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48" w:rsidRPr="008E2D89" w:rsidRDefault="00D82B48" w:rsidP="00D82B48">
      <w:pPr>
        <w:pStyle w:val="Title"/>
        <w:jc w:val="center"/>
        <w:rPr>
          <w:lang w:val="fr-FR"/>
        </w:rPr>
      </w:pPr>
      <w:bookmarkStart w:id="0" w:name="_GoBack"/>
      <w:bookmarkEnd w:id="0"/>
      <w:r w:rsidRPr="008E2D89">
        <w:rPr>
          <w:noProof/>
          <w:lang w:val="fr-BE" w:eastAsia="fr-BE"/>
        </w:rPr>
        <w:drawing>
          <wp:inline distT="0" distB="0" distL="0" distR="0" wp14:anchorId="28E4E3F1" wp14:editId="70096C24">
            <wp:extent cx="19812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469" cy="79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48" w:rsidRPr="008E2D89" w:rsidRDefault="00D82B48" w:rsidP="00963FA0">
      <w:pPr>
        <w:pStyle w:val="Title"/>
        <w:rPr>
          <w:lang w:val="fr-FR"/>
        </w:rPr>
      </w:pPr>
    </w:p>
    <w:p w:rsidR="002C53BE" w:rsidRPr="008E2D89" w:rsidRDefault="002859E8" w:rsidP="000F6784">
      <w:pPr>
        <w:pStyle w:val="Title"/>
        <w:spacing w:line="360" w:lineRule="auto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RÉUNION DU GFP</w:t>
      </w:r>
    </w:p>
    <w:p w:rsidR="009A4CFE" w:rsidRPr="008E2D89" w:rsidRDefault="00274A6F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  <w:r w:rsidRP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29-30 </w:t>
      </w:r>
      <w:r w:rsidR="008E2D89" w:rsidRP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janvier </w:t>
      </w:r>
      <w:r w:rsidRP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2013, Bru</w:t>
      </w:r>
      <w:r w:rsid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xelles</w:t>
      </w:r>
      <w:r w:rsidRP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 </w:t>
      </w:r>
    </w:p>
    <w:p w:rsidR="00274A6F" w:rsidRPr="008E2D89" w:rsidRDefault="00A7113B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  <w:r w:rsidRP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ITUH, </w:t>
      </w:r>
      <w:r w:rsidR="00274A6F" w:rsidRP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Bd </w:t>
      </w:r>
      <w:r w:rsidR="0087202F" w:rsidRP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du R</w:t>
      </w:r>
      <w:r w:rsidR="00274A6F" w:rsidRP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oi Albert II, 5</w:t>
      </w:r>
      <w:r w:rsid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 – salle </w:t>
      </w:r>
      <w:r w:rsidR="00D650FE" w:rsidRP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E, </w:t>
      </w:r>
      <w:r w:rsid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premier étage</w:t>
      </w:r>
    </w:p>
    <w:p w:rsidR="000F6784" w:rsidRPr="008E2D89" w:rsidRDefault="00C4784D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  <w:r w:rsidRP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R</w:t>
      </w:r>
      <w:r w:rsid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APPORT</w:t>
      </w:r>
    </w:p>
    <w:p w:rsidR="00F87374" w:rsidRPr="008E2D89" w:rsidRDefault="00F87374" w:rsidP="00A7113B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</w:p>
    <w:p w:rsidR="00C4784D" w:rsidRPr="008E2D89" w:rsidRDefault="00A7113B" w:rsidP="005C5496">
      <w:pPr>
        <w:spacing w:line="240" w:lineRule="auto"/>
        <w:ind w:left="284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  <w:r w:rsidRP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29 </w:t>
      </w:r>
      <w:r w:rsid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 janvier</w:t>
      </w:r>
      <w:r w:rsidR="00F87374" w:rsidRP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: </w:t>
      </w:r>
    </w:p>
    <w:p w:rsidR="00C140E5" w:rsidRPr="008E2D89" w:rsidRDefault="00C140E5" w:rsidP="00C4784D">
      <w:pPr>
        <w:spacing w:line="240" w:lineRule="auto"/>
        <w:ind w:left="284"/>
        <w:rPr>
          <w:rFonts w:asciiTheme="majorHAnsi" w:eastAsiaTheme="majorEastAsia" w:hAnsiTheme="majorHAnsi" w:cstheme="majorBidi"/>
          <w:b/>
          <w:bCs/>
          <w:sz w:val="24"/>
          <w:szCs w:val="32"/>
          <w:lang w:val="fr-FR"/>
        </w:rPr>
      </w:pPr>
      <w:r w:rsidRPr="008E2D89">
        <w:rPr>
          <w:rFonts w:asciiTheme="majorHAnsi" w:eastAsiaTheme="majorEastAsia" w:hAnsiTheme="majorHAnsi" w:cstheme="majorBidi"/>
          <w:b/>
          <w:bCs/>
          <w:sz w:val="24"/>
          <w:szCs w:val="32"/>
          <w:lang w:val="fr-FR"/>
        </w:rPr>
        <w:t>09</w:t>
      </w:r>
      <w:r w:rsidR="008E2D89">
        <w:rPr>
          <w:rFonts w:asciiTheme="majorHAnsi" w:eastAsiaTheme="majorEastAsia" w:hAnsiTheme="majorHAnsi" w:cstheme="majorBidi"/>
          <w:b/>
          <w:bCs/>
          <w:sz w:val="24"/>
          <w:szCs w:val="32"/>
          <w:lang w:val="fr-FR"/>
        </w:rPr>
        <w:t>h</w:t>
      </w:r>
      <w:r w:rsidRPr="008E2D89">
        <w:rPr>
          <w:rFonts w:asciiTheme="majorHAnsi" w:eastAsiaTheme="majorEastAsia" w:hAnsiTheme="majorHAnsi" w:cstheme="majorBidi"/>
          <w:b/>
          <w:bCs/>
          <w:sz w:val="24"/>
          <w:szCs w:val="32"/>
          <w:lang w:val="fr-FR"/>
        </w:rPr>
        <w:t>00-12</w:t>
      </w:r>
      <w:r w:rsidR="008E2D89">
        <w:rPr>
          <w:rFonts w:asciiTheme="majorHAnsi" w:eastAsiaTheme="majorEastAsia" w:hAnsiTheme="majorHAnsi" w:cstheme="majorBidi"/>
          <w:b/>
          <w:bCs/>
          <w:sz w:val="24"/>
          <w:szCs w:val="32"/>
          <w:lang w:val="fr-FR"/>
        </w:rPr>
        <w:t>h</w:t>
      </w:r>
      <w:r w:rsidRPr="008E2D89">
        <w:rPr>
          <w:rFonts w:asciiTheme="majorHAnsi" w:eastAsiaTheme="majorEastAsia" w:hAnsiTheme="majorHAnsi" w:cstheme="majorBidi"/>
          <w:b/>
          <w:bCs/>
          <w:sz w:val="24"/>
          <w:szCs w:val="32"/>
          <w:lang w:val="fr-FR"/>
        </w:rPr>
        <w:t>30</w:t>
      </w:r>
    </w:p>
    <w:p w:rsidR="00A7113B" w:rsidRPr="008E2D89" w:rsidRDefault="00AF5253" w:rsidP="00C4784D">
      <w:pPr>
        <w:spacing w:line="240" w:lineRule="auto"/>
        <w:ind w:left="284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Évaluation </w:t>
      </w:r>
      <w:r w:rsidR="00685964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du RSCD</w:t>
      </w:r>
      <w:r w:rsidR="00C4784D" w:rsidRP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 </w:t>
      </w:r>
      <w:r w:rsidR="00A7113B" w:rsidRP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 </w:t>
      </w:r>
    </w:p>
    <w:p w:rsidR="00C4784D" w:rsidRPr="008E2D89" w:rsidRDefault="00685964" w:rsidP="00C4784D">
      <w:pPr>
        <w:pStyle w:val="ListParagraph"/>
        <w:spacing w:after="120" w:line="360" w:lineRule="auto"/>
        <w:ind w:left="360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Premiers éléments des commentaires </w:t>
      </w:r>
      <w:r w:rsidR="007D7CFE">
        <w:rPr>
          <w:i/>
          <w:sz w:val="28"/>
          <w:szCs w:val="28"/>
          <w:lang w:val="fr-FR"/>
        </w:rPr>
        <w:t>concernant</w:t>
      </w:r>
      <w:r>
        <w:rPr>
          <w:i/>
          <w:sz w:val="28"/>
          <w:szCs w:val="28"/>
          <w:lang w:val="fr-FR"/>
        </w:rPr>
        <w:t xml:space="preserve"> l’évaluation</w:t>
      </w:r>
    </w:p>
    <w:p w:rsidR="00656C6F" w:rsidRPr="00F05739" w:rsidRDefault="0090239F" w:rsidP="002650BB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sz w:val="28"/>
          <w:szCs w:val="28"/>
          <w:lang w:val="fr-BE"/>
        </w:rPr>
      </w:pPr>
      <w:r w:rsidRPr="00F05739">
        <w:rPr>
          <w:sz w:val="28"/>
          <w:szCs w:val="28"/>
          <w:lang w:val="fr-BE"/>
        </w:rPr>
        <w:t>Au niveau EXTERNE</w:t>
      </w:r>
      <w:r w:rsidR="00892A13" w:rsidRPr="00F05739">
        <w:rPr>
          <w:sz w:val="28"/>
          <w:szCs w:val="28"/>
          <w:lang w:val="fr-BE"/>
        </w:rPr>
        <w:t xml:space="preserve">: </w:t>
      </w:r>
      <w:r w:rsidR="00F05739" w:rsidRPr="00F05739">
        <w:rPr>
          <w:sz w:val="28"/>
          <w:szCs w:val="28"/>
          <w:lang w:val="fr-BE"/>
        </w:rPr>
        <w:t>le RSCD a assuré une visibilité et une crédibilité aux syndicats en matière de développement mais il reste encore un long chemin à parcourir</w:t>
      </w:r>
      <w:r w:rsidR="00892A13" w:rsidRPr="00F05739">
        <w:rPr>
          <w:sz w:val="28"/>
          <w:szCs w:val="28"/>
          <w:lang w:val="fr-BE"/>
        </w:rPr>
        <w:t>;</w:t>
      </w:r>
    </w:p>
    <w:p w:rsidR="00920EA3" w:rsidRPr="008E2D89" w:rsidRDefault="00C91F78" w:rsidP="002650BB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Au niveau</w:t>
      </w:r>
      <w:r w:rsidR="000C20C3">
        <w:rPr>
          <w:sz w:val="28"/>
          <w:szCs w:val="28"/>
          <w:lang w:val="fr-FR"/>
        </w:rPr>
        <w:t xml:space="preserve"> INTERNE</w:t>
      </w:r>
      <w:r w:rsidR="00892A13" w:rsidRPr="008E2D89">
        <w:rPr>
          <w:sz w:val="28"/>
          <w:szCs w:val="28"/>
          <w:lang w:val="fr-FR"/>
        </w:rPr>
        <w:t xml:space="preserve">: </w:t>
      </w:r>
    </w:p>
    <w:p w:rsidR="002B6A7E" w:rsidRPr="002B6A7E" w:rsidRDefault="00474FB1" w:rsidP="006E6AE2">
      <w:pPr>
        <w:pStyle w:val="ListParagraph"/>
        <w:numPr>
          <w:ilvl w:val="1"/>
          <w:numId w:val="6"/>
        </w:numPr>
        <w:spacing w:after="120" w:line="240" w:lineRule="auto"/>
        <w:ind w:left="1080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Les p</w:t>
      </w:r>
      <w:r w:rsidR="002B6A7E" w:rsidRPr="002B6A7E">
        <w:rPr>
          <w:sz w:val="28"/>
          <w:szCs w:val="28"/>
          <w:lang w:val="fr-BE"/>
        </w:rPr>
        <w:t xml:space="preserve">rincipes et directives syndicaux en matière d’efficacité </w:t>
      </w:r>
      <w:r w:rsidR="002B6A7E">
        <w:rPr>
          <w:sz w:val="28"/>
          <w:szCs w:val="28"/>
          <w:lang w:val="fr-BE"/>
        </w:rPr>
        <w:t xml:space="preserve">du développement sont considérés comme un actif pour </w:t>
      </w:r>
      <w:r>
        <w:rPr>
          <w:sz w:val="28"/>
          <w:szCs w:val="28"/>
          <w:lang w:val="fr-BE"/>
        </w:rPr>
        <w:t>renforcer</w:t>
      </w:r>
      <w:r w:rsidR="002B6A7E">
        <w:rPr>
          <w:sz w:val="28"/>
          <w:szCs w:val="28"/>
          <w:lang w:val="fr-BE"/>
        </w:rPr>
        <w:t xml:space="preserve"> la cohérence et la coordination entre les organisations syndicales;</w:t>
      </w:r>
    </w:p>
    <w:p w:rsidR="002650BB" w:rsidRPr="008E2D89" w:rsidRDefault="00FD3B6E" w:rsidP="006E6AE2">
      <w:pPr>
        <w:pStyle w:val="ListParagraph"/>
        <w:numPr>
          <w:ilvl w:val="1"/>
          <w:numId w:val="6"/>
        </w:numPr>
        <w:spacing w:after="12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RSCD a également amélioré les capacités des organisations membres au niveau politique et technique et a renforcé les partenariats et les connaissances sur les projets de développement parmi les membres</w:t>
      </w:r>
      <w:r w:rsidR="00920EA3" w:rsidRPr="008E2D89">
        <w:rPr>
          <w:sz w:val="28"/>
          <w:szCs w:val="28"/>
          <w:lang w:val="fr-FR"/>
        </w:rPr>
        <w:t>;</w:t>
      </w:r>
    </w:p>
    <w:p w:rsidR="004166A1" w:rsidRPr="008E2D89" w:rsidRDefault="00FD3B6E" w:rsidP="006E6AE2">
      <w:pPr>
        <w:pStyle w:val="ListParagraph"/>
        <w:numPr>
          <w:ilvl w:val="1"/>
          <w:numId w:val="6"/>
        </w:numPr>
        <w:spacing w:after="12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RSCD est toujours considéré comme une « initiative basée sur les projets »</w:t>
      </w:r>
      <w:r w:rsidR="00920EA3" w:rsidRPr="008E2D89">
        <w:rPr>
          <w:sz w:val="28"/>
          <w:szCs w:val="28"/>
          <w:lang w:val="fr-FR"/>
        </w:rPr>
        <w:t>;</w:t>
      </w:r>
      <w:r w:rsidR="004166A1" w:rsidRPr="008E2D89">
        <w:rPr>
          <w:sz w:val="28"/>
          <w:szCs w:val="28"/>
          <w:lang w:val="fr-FR"/>
        </w:rPr>
        <w:t xml:space="preserve"> </w:t>
      </w:r>
    </w:p>
    <w:p w:rsidR="00FD3B6E" w:rsidRPr="00FD3B6E" w:rsidRDefault="00FD3B6E" w:rsidP="006E6AE2">
      <w:pPr>
        <w:pStyle w:val="ListParagraph"/>
        <w:numPr>
          <w:ilvl w:val="1"/>
          <w:numId w:val="6"/>
        </w:numPr>
        <w:spacing w:after="120" w:line="240" w:lineRule="auto"/>
        <w:ind w:left="1080"/>
        <w:jc w:val="both"/>
        <w:rPr>
          <w:sz w:val="28"/>
          <w:szCs w:val="28"/>
          <w:lang w:val="fr-BE"/>
        </w:rPr>
      </w:pPr>
      <w:r w:rsidRPr="00FD3B6E">
        <w:rPr>
          <w:sz w:val="28"/>
          <w:szCs w:val="28"/>
          <w:lang w:val="fr-BE"/>
        </w:rPr>
        <w:t xml:space="preserve">Bien qu’elle se soit améliorée avec le temps, la participation du Sud doit </w:t>
      </w:r>
      <w:r>
        <w:rPr>
          <w:sz w:val="28"/>
          <w:szCs w:val="28"/>
          <w:lang w:val="fr-BE"/>
        </w:rPr>
        <w:t>être amélioré</w:t>
      </w:r>
      <w:r w:rsidR="007D7CFE">
        <w:rPr>
          <w:sz w:val="28"/>
          <w:szCs w:val="28"/>
          <w:lang w:val="fr-BE"/>
        </w:rPr>
        <w:t xml:space="preserve">e. De plus, l’engagement des FSI demeure faible. </w:t>
      </w:r>
    </w:p>
    <w:p w:rsidR="00892A13" w:rsidRPr="00FD3B6E" w:rsidRDefault="00892A13" w:rsidP="006E6AE2">
      <w:pPr>
        <w:pStyle w:val="ListParagraph"/>
        <w:spacing w:after="120" w:line="240" w:lineRule="auto"/>
        <w:ind w:left="360"/>
        <w:jc w:val="both"/>
        <w:rPr>
          <w:sz w:val="28"/>
          <w:szCs w:val="28"/>
          <w:lang w:val="en-US"/>
        </w:rPr>
      </w:pPr>
    </w:p>
    <w:p w:rsidR="007D7CFE" w:rsidRPr="007D7CFE" w:rsidRDefault="007D7CFE" w:rsidP="00C4784D">
      <w:pPr>
        <w:pStyle w:val="ListParagraph"/>
        <w:spacing w:after="120" w:line="360" w:lineRule="auto"/>
        <w:ind w:left="360"/>
        <w:rPr>
          <w:i/>
          <w:sz w:val="28"/>
          <w:szCs w:val="28"/>
          <w:lang w:val="fr-BE"/>
        </w:rPr>
      </w:pPr>
      <w:r w:rsidRPr="007D7CFE">
        <w:rPr>
          <w:i/>
          <w:sz w:val="28"/>
          <w:szCs w:val="28"/>
          <w:lang w:val="fr-BE"/>
        </w:rPr>
        <w:lastRenderedPageBreak/>
        <w:t>Recueil des apports supplémentaires en vue de l’évaluation:</w:t>
      </w:r>
      <w:r>
        <w:rPr>
          <w:i/>
          <w:sz w:val="28"/>
          <w:szCs w:val="28"/>
          <w:lang w:val="fr-BE"/>
        </w:rPr>
        <w:t xml:space="preserve"> remarques générales</w:t>
      </w:r>
    </w:p>
    <w:p w:rsidR="00085732" w:rsidRDefault="00085732" w:rsidP="00C02B47">
      <w:pPr>
        <w:pStyle w:val="ListParagraph"/>
        <w:numPr>
          <w:ilvl w:val="0"/>
          <w:numId w:val="6"/>
        </w:numPr>
        <w:spacing w:after="120"/>
        <w:jc w:val="both"/>
        <w:rPr>
          <w:sz w:val="28"/>
          <w:szCs w:val="28"/>
          <w:lang w:val="fr-BE"/>
        </w:rPr>
      </w:pPr>
      <w:r w:rsidRPr="00085732">
        <w:rPr>
          <w:sz w:val="28"/>
          <w:szCs w:val="28"/>
          <w:lang w:val="fr-BE"/>
        </w:rPr>
        <w:t xml:space="preserve">Des commentaires sur la « reconnaissance » du réseau doivent </w:t>
      </w:r>
      <w:r>
        <w:rPr>
          <w:sz w:val="28"/>
          <w:szCs w:val="28"/>
          <w:lang w:val="fr-BE"/>
        </w:rPr>
        <w:t xml:space="preserve">également </w:t>
      </w:r>
      <w:r w:rsidRPr="00085732">
        <w:rPr>
          <w:sz w:val="28"/>
          <w:szCs w:val="28"/>
          <w:lang w:val="fr-BE"/>
        </w:rPr>
        <w:t>être rech</w:t>
      </w:r>
      <w:r>
        <w:rPr>
          <w:sz w:val="28"/>
          <w:szCs w:val="28"/>
          <w:lang w:val="fr-BE"/>
        </w:rPr>
        <w:t>erchés parmi les acteurs externes (institutionnels et non gouvernementaux);</w:t>
      </w:r>
    </w:p>
    <w:p w:rsidR="00085732" w:rsidRDefault="005335E6" w:rsidP="00C02B47">
      <w:pPr>
        <w:pStyle w:val="ListParagraph"/>
        <w:numPr>
          <w:ilvl w:val="0"/>
          <w:numId w:val="6"/>
        </w:numPr>
        <w:spacing w:after="120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Les facteurs externes (notamment les politiques gouvernementales) doivent également </w:t>
      </w:r>
      <w:r w:rsidR="00474FB1">
        <w:rPr>
          <w:sz w:val="28"/>
          <w:szCs w:val="28"/>
          <w:lang w:val="fr-BE"/>
        </w:rPr>
        <w:t>être pris</w:t>
      </w:r>
      <w:r>
        <w:rPr>
          <w:sz w:val="28"/>
          <w:szCs w:val="28"/>
          <w:lang w:val="fr-BE"/>
        </w:rPr>
        <w:t xml:space="preserve"> en compte dans l’évaluation de l’influence exercée par le RSCD sur les organisations nationales;</w:t>
      </w:r>
    </w:p>
    <w:p w:rsidR="005335E6" w:rsidRDefault="00C82470" w:rsidP="00C02B47">
      <w:pPr>
        <w:pStyle w:val="ListParagraph"/>
        <w:numPr>
          <w:ilvl w:val="0"/>
          <w:numId w:val="6"/>
        </w:numPr>
        <w:spacing w:after="120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Il convient de prêter une attention particulière aux entraves et obstacles susceptibles d’empêcher certaines organisations de rejoindre le réseau;</w:t>
      </w:r>
    </w:p>
    <w:p w:rsidR="00C82470" w:rsidRDefault="00C82470" w:rsidP="00C02B47">
      <w:pPr>
        <w:pStyle w:val="ListParagraph"/>
        <w:numPr>
          <w:ilvl w:val="0"/>
          <w:numId w:val="6"/>
        </w:numPr>
        <w:spacing w:after="120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Une plus grande attention et un plus grand soutien devraient être </w:t>
      </w:r>
      <w:r w:rsidR="008C5129">
        <w:rPr>
          <w:sz w:val="28"/>
          <w:szCs w:val="28"/>
          <w:lang w:val="fr-BE"/>
        </w:rPr>
        <w:t>accordés aux organisations dans le Sud aux échelons régional et national afin de leur permettre de structurer leur participation et représentation;</w:t>
      </w:r>
    </w:p>
    <w:p w:rsidR="008C5129" w:rsidRPr="00085732" w:rsidRDefault="008C5129" w:rsidP="00C02B47">
      <w:pPr>
        <w:pStyle w:val="ListParagraph"/>
        <w:numPr>
          <w:ilvl w:val="0"/>
          <w:numId w:val="6"/>
        </w:numPr>
        <w:spacing w:after="120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Quelle est la « masse critique » nécessaire pour évaluer le degré de capacité de représentation suffisante du RSCD (voir également d’autres réseaux dans l’environnement syndical)</w:t>
      </w:r>
      <w:r w:rsidR="00474FB1">
        <w:rPr>
          <w:sz w:val="28"/>
          <w:szCs w:val="28"/>
          <w:lang w:val="fr-BE"/>
        </w:rPr>
        <w:t>?</w:t>
      </w:r>
    </w:p>
    <w:p w:rsidR="007064DD" w:rsidRDefault="007064DD" w:rsidP="00FB5157">
      <w:pPr>
        <w:pStyle w:val="ListParagraph"/>
        <w:spacing w:after="120" w:line="360" w:lineRule="auto"/>
        <w:ind w:left="360"/>
        <w:rPr>
          <w:i/>
          <w:sz w:val="28"/>
          <w:szCs w:val="28"/>
          <w:lang w:val="fr-FR"/>
        </w:rPr>
      </w:pPr>
    </w:p>
    <w:p w:rsidR="00FB5157" w:rsidRPr="002D0ED1" w:rsidRDefault="002D0ED1" w:rsidP="00FB5157">
      <w:pPr>
        <w:pStyle w:val="ListParagraph"/>
        <w:spacing w:after="120" w:line="360" w:lineRule="auto"/>
        <w:ind w:left="360"/>
        <w:rPr>
          <w:i/>
          <w:sz w:val="28"/>
          <w:szCs w:val="28"/>
          <w:lang w:val="fr-BE"/>
        </w:rPr>
      </w:pPr>
      <w:r w:rsidRPr="007D7CFE">
        <w:rPr>
          <w:i/>
          <w:sz w:val="28"/>
          <w:szCs w:val="28"/>
          <w:lang w:val="fr-BE"/>
        </w:rPr>
        <w:t>Recueil des apports supplémentaires en vue de l’évaluation</w:t>
      </w:r>
      <w:r w:rsidRPr="002D0ED1">
        <w:rPr>
          <w:i/>
          <w:sz w:val="28"/>
          <w:szCs w:val="28"/>
          <w:lang w:val="fr-BE"/>
        </w:rPr>
        <w:t>: group</w:t>
      </w:r>
      <w:r w:rsidR="00474FB1">
        <w:rPr>
          <w:i/>
          <w:sz w:val="28"/>
          <w:szCs w:val="28"/>
          <w:lang w:val="fr-BE"/>
        </w:rPr>
        <w:t>e</w:t>
      </w:r>
      <w:r w:rsidRPr="002D0ED1">
        <w:rPr>
          <w:i/>
          <w:sz w:val="28"/>
          <w:szCs w:val="28"/>
          <w:lang w:val="fr-BE"/>
        </w:rPr>
        <w:t>s de travail</w:t>
      </w:r>
    </w:p>
    <w:p w:rsidR="005945B7" w:rsidRDefault="002D0ED1" w:rsidP="003768FA">
      <w:pPr>
        <w:pStyle w:val="ListParagraph"/>
        <w:numPr>
          <w:ilvl w:val="0"/>
          <w:numId w:val="6"/>
        </w:numPr>
        <w:spacing w:after="120"/>
        <w:jc w:val="both"/>
        <w:rPr>
          <w:sz w:val="28"/>
          <w:szCs w:val="28"/>
          <w:lang w:val="fr-BE"/>
        </w:rPr>
      </w:pPr>
      <w:r w:rsidRPr="005945B7">
        <w:rPr>
          <w:sz w:val="28"/>
          <w:szCs w:val="28"/>
          <w:lang w:val="fr-BE"/>
        </w:rPr>
        <w:t xml:space="preserve">En termes de plaidoyer, </w:t>
      </w:r>
      <w:r w:rsidR="005945B7" w:rsidRPr="005945B7">
        <w:rPr>
          <w:sz w:val="28"/>
          <w:szCs w:val="28"/>
          <w:lang w:val="fr-BE"/>
        </w:rPr>
        <w:t xml:space="preserve">nous avons </w:t>
      </w:r>
      <w:r w:rsidR="005945B7">
        <w:rPr>
          <w:sz w:val="28"/>
          <w:szCs w:val="28"/>
          <w:lang w:val="fr-BE"/>
        </w:rPr>
        <w:t>plus de succès et sommes plus efficaces avec les partenaires externes qu’avec notre propre environnement syndical</w:t>
      </w:r>
      <w:r w:rsidR="00B57FDA">
        <w:rPr>
          <w:sz w:val="28"/>
          <w:szCs w:val="28"/>
          <w:lang w:val="fr-BE"/>
        </w:rPr>
        <w:t xml:space="preserve">, dans la mesure où </w:t>
      </w:r>
      <w:r w:rsidR="00D60C10">
        <w:rPr>
          <w:sz w:val="28"/>
          <w:szCs w:val="28"/>
          <w:lang w:val="fr-BE"/>
        </w:rPr>
        <w:t>le programme de développement n’est pas placé au rang de priorité dans l’ordre du jour syndical;</w:t>
      </w:r>
    </w:p>
    <w:p w:rsidR="00D60C10" w:rsidRDefault="00D60C10" w:rsidP="003768FA">
      <w:pPr>
        <w:pStyle w:val="ListParagraph"/>
        <w:numPr>
          <w:ilvl w:val="0"/>
          <w:numId w:val="6"/>
        </w:numPr>
        <w:spacing w:after="120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L’intégration du RSCD à la CSI devrait </w:t>
      </w:r>
      <w:r w:rsidR="000C06FB">
        <w:rPr>
          <w:sz w:val="28"/>
          <w:szCs w:val="28"/>
          <w:lang w:val="fr-BE"/>
        </w:rPr>
        <w:t xml:space="preserve">être améliorée; les degrés d’opérationnalisation </w:t>
      </w:r>
      <w:r w:rsidR="00C6303B">
        <w:rPr>
          <w:sz w:val="28"/>
          <w:szCs w:val="28"/>
          <w:lang w:val="fr-BE"/>
        </w:rPr>
        <w:t>diffèrent d’une région à l’autre</w:t>
      </w:r>
      <w:r w:rsidR="000C06FB">
        <w:rPr>
          <w:sz w:val="28"/>
          <w:szCs w:val="28"/>
          <w:lang w:val="fr-BE"/>
        </w:rPr>
        <w:t>;</w:t>
      </w:r>
    </w:p>
    <w:p w:rsidR="000C06FB" w:rsidRPr="005945B7" w:rsidRDefault="00C6303B" w:rsidP="003768FA">
      <w:pPr>
        <w:pStyle w:val="ListParagraph"/>
        <w:numPr>
          <w:ilvl w:val="0"/>
          <w:numId w:val="6"/>
        </w:numPr>
        <w:spacing w:after="120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La pluralité des points de vue et des </w:t>
      </w:r>
      <w:r w:rsidR="003C01B8">
        <w:rPr>
          <w:sz w:val="28"/>
          <w:szCs w:val="28"/>
          <w:lang w:val="fr-BE"/>
        </w:rPr>
        <w:t>stratégies fait partie intégrante du réseau: des publics différents et, par conséquent, des attentes différentes, bien qu’</w:t>
      </w:r>
      <w:r w:rsidR="00E1415D">
        <w:rPr>
          <w:sz w:val="28"/>
          <w:szCs w:val="28"/>
          <w:lang w:val="fr-BE"/>
        </w:rPr>
        <w:t>ils ne puissent être considérés comme « différents »: par exemple, les acteurs du développement/aid</w:t>
      </w:r>
      <w:r w:rsidR="009323EE">
        <w:rPr>
          <w:sz w:val="28"/>
          <w:szCs w:val="28"/>
          <w:lang w:val="fr-BE"/>
        </w:rPr>
        <w:t>e</w:t>
      </w:r>
      <w:r w:rsidR="00E1415D">
        <w:rPr>
          <w:sz w:val="28"/>
          <w:szCs w:val="28"/>
          <w:lang w:val="fr-BE"/>
        </w:rPr>
        <w:t xml:space="preserve">/projet </w:t>
      </w:r>
      <w:r w:rsidR="004F6FBA">
        <w:rPr>
          <w:sz w:val="28"/>
          <w:szCs w:val="28"/>
          <w:lang w:val="fr-BE"/>
        </w:rPr>
        <w:t xml:space="preserve">et les responsables-dirigeants du plaidoyer/politique. Devons-nous les </w:t>
      </w:r>
      <w:r w:rsidR="004F6FBA">
        <w:rPr>
          <w:sz w:val="28"/>
          <w:szCs w:val="28"/>
          <w:lang w:val="fr-BE"/>
        </w:rPr>
        <w:lastRenderedPageBreak/>
        <w:t>diversifier ou non? Si tel est le cas, qu</w:t>
      </w:r>
      <w:r w:rsidR="00474FB1">
        <w:rPr>
          <w:sz w:val="28"/>
          <w:szCs w:val="28"/>
          <w:lang w:val="fr-BE"/>
        </w:rPr>
        <w:t>’est-ce que cela</w:t>
      </w:r>
      <w:r w:rsidR="004F6FBA">
        <w:rPr>
          <w:sz w:val="28"/>
          <w:szCs w:val="28"/>
          <w:lang w:val="fr-BE"/>
        </w:rPr>
        <w:t xml:space="preserve"> signifie en termes de gouvernance, de participation et d’activités? </w:t>
      </w:r>
    </w:p>
    <w:p w:rsidR="00820D54" w:rsidRPr="008E2D89" w:rsidRDefault="00820D54" w:rsidP="00820D54">
      <w:pPr>
        <w:pStyle w:val="ListParagraph"/>
        <w:spacing w:after="120"/>
        <w:jc w:val="both"/>
        <w:rPr>
          <w:sz w:val="28"/>
          <w:szCs w:val="28"/>
          <w:lang w:val="fr-FR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390FD4" w:rsidRPr="008E2D89" w:rsidTr="00390FD4">
        <w:tc>
          <w:tcPr>
            <w:tcW w:w="8425" w:type="dxa"/>
          </w:tcPr>
          <w:p w:rsidR="00390FD4" w:rsidRPr="008E2D89" w:rsidRDefault="00390FD4" w:rsidP="00145F97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  <w:r w:rsidRPr="008E2D89">
              <w:rPr>
                <w:sz w:val="28"/>
                <w:szCs w:val="28"/>
                <w:lang w:val="fr-FR"/>
              </w:rPr>
              <w:t xml:space="preserve">POINTS </w:t>
            </w:r>
            <w:r w:rsidR="00145F97">
              <w:rPr>
                <w:sz w:val="28"/>
                <w:szCs w:val="28"/>
                <w:lang w:val="fr-FR"/>
              </w:rPr>
              <w:t>D’</w:t>
            </w:r>
            <w:r w:rsidRPr="008E2D89">
              <w:rPr>
                <w:sz w:val="28"/>
                <w:szCs w:val="28"/>
                <w:lang w:val="fr-FR"/>
              </w:rPr>
              <w:t>ACTION</w:t>
            </w:r>
          </w:p>
        </w:tc>
      </w:tr>
      <w:tr w:rsidR="00390FD4" w:rsidRPr="008E2D89" w:rsidTr="00390FD4">
        <w:tc>
          <w:tcPr>
            <w:tcW w:w="8425" w:type="dxa"/>
          </w:tcPr>
          <w:p w:rsidR="00390FD4" w:rsidRPr="008E2D89" w:rsidRDefault="00145F97" w:rsidP="009465B2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Un questionnaire d’évaluation sera envoyé à l’ensemble du RSCD (après vérification par le GFP)</w:t>
            </w:r>
            <w:r w:rsidR="00390FD4" w:rsidRPr="008E2D89">
              <w:rPr>
                <w:sz w:val="28"/>
                <w:szCs w:val="28"/>
                <w:lang w:val="fr-FR"/>
              </w:rPr>
              <w:t>;</w:t>
            </w:r>
          </w:p>
          <w:p w:rsidR="00F91A06" w:rsidRDefault="00145F97" w:rsidP="00390FD4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sz w:val="28"/>
                <w:szCs w:val="28"/>
                <w:lang w:val="fr-BE"/>
              </w:rPr>
            </w:pPr>
            <w:r w:rsidRPr="00F91A06">
              <w:rPr>
                <w:sz w:val="28"/>
                <w:szCs w:val="28"/>
                <w:lang w:val="fr-BE"/>
              </w:rPr>
              <w:t>Une interview sera organisée avec des acteurs internes et externes (y compris les gouvernements, les</w:t>
            </w:r>
            <w:r w:rsidR="00F91A06" w:rsidRPr="00F91A06">
              <w:rPr>
                <w:sz w:val="28"/>
                <w:szCs w:val="28"/>
                <w:lang w:val="fr-BE"/>
              </w:rPr>
              <w:t xml:space="preserve"> agents internationaux, régionaux et les OSC): le </w:t>
            </w:r>
            <w:r w:rsidR="00F91A06">
              <w:rPr>
                <w:sz w:val="28"/>
                <w:szCs w:val="28"/>
                <w:lang w:val="fr-BE"/>
              </w:rPr>
              <w:t>secré</w:t>
            </w:r>
            <w:r w:rsidR="00F91A06" w:rsidRPr="00F91A06">
              <w:rPr>
                <w:sz w:val="28"/>
                <w:szCs w:val="28"/>
                <w:lang w:val="fr-BE"/>
              </w:rPr>
              <w:t xml:space="preserve">tariat enverra un projet de liste au GFP pour </w:t>
            </w:r>
            <w:r w:rsidR="00F91A06">
              <w:rPr>
                <w:sz w:val="28"/>
                <w:szCs w:val="28"/>
                <w:lang w:val="fr-BE"/>
              </w:rPr>
              <w:t>qu’il soumette ses apports;</w:t>
            </w:r>
          </w:p>
          <w:p w:rsidR="00F91A06" w:rsidRDefault="00F91A06" w:rsidP="00390FD4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Deux réunions possibles</w:t>
            </w:r>
            <w:r w:rsidR="00FF47AE">
              <w:rPr>
                <w:sz w:val="28"/>
                <w:szCs w:val="28"/>
                <w:lang w:val="fr-BE"/>
              </w:rPr>
              <w:t xml:space="preserve"> avec des groupes de discussion ciblés (différentes parties prenantes) </w:t>
            </w:r>
            <w:r w:rsidR="00474FB1">
              <w:rPr>
                <w:sz w:val="28"/>
                <w:szCs w:val="28"/>
                <w:lang w:val="fr-BE"/>
              </w:rPr>
              <w:t xml:space="preserve">à </w:t>
            </w:r>
            <w:r w:rsidR="00FF47AE">
              <w:rPr>
                <w:sz w:val="28"/>
                <w:szCs w:val="28"/>
                <w:lang w:val="fr-BE"/>
              </w:rPr>
              <w:t>l’échelle nationale;</w:t>
            </w:r>
          </w:p>
          <w:p w:rsidR="00FF47AE" w:rsidRPr="00F91A06" w:rsidRDefault="00FF47AE" w:rsidP="00390FD4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Le projet de rapport sera envoyé au GFP (fin mars) préalabl</w:t>
            </w:r>
            <w:r w:rsidR="00D05594">
              <w:rPr>
                <w:sz w:val="28"/>
                <w:szCs w:val="28"/>
                <w:lang w:val="fr-BE"/>
              </w:rPr>
              <w:t xml:space="preserve">ement à sa distribution aux fins d’une discussion durant la réunion générale au Danemark. </w:t>
            </w:r>
          </w:p>
          <w:p w:rsidR="00390FD4" w:rsidRPr="008E2D89" w:rsidRDefault="00390FD4" w:rsidP="00D05594">
            <w:pPr>
              <w:pStyle w:val="ListParagraph"/>
              <w:spacing w:after="120"/>
              <w:jc w:val="both"/>
              <w:rPr>
                <w:sz w:val="28"/>
                <w:szCs w:val="28"/>
                <w:lang w:val="fr-FR"/>
              </w:rPr>
            </w:pPr>
          </w:p>
        </w:tc>
      </w:tr>
    </w:tbl>
    <w:p w:rsidR="00D05594" w:rsidRDefault="00D05594" w:rsidP="00AD1164">
      <w:pPr>
        <w:spacing w:line="240" w:lineRule="auto"/>
        <w:ind w:left="284"/>
        <w:rPr>
          <w:rFonts w:asciiTheme="majorHAnsi" w:eastAsiaTheme="majorEastAsia" w:hAnsiTheme="majorHAnsi" w:cstheme="majorBidi"/>
          <w:b/>
          <w:bCs/>
          <w:sz w:val="24"/>
          <w:szCs w:val="32"/>
          <w:lang w:val="fr-FR"/>
        </w:rPr>
      </w:pPr>
    </w:p>
    <w:p w:rsidR="009465B2" w:rsidRPr="008E2D89" w:rsidRDefault="00C140E5" w:rsidP="00AD1164">
      <w:pPr>
        <w:spacing w:line="240" w:lineRule="auto"/>
        <w:ind w:left="284"/>
        <w:rPr>
          <w:rFonts w:asciiTheme="majorHAnsi" w:eastAsiaTheme="majorEastAsia" w:hAnsiTheme="majorHAnsi" w:cstheme="majorBidi"/>
          <w:b/>
          <w:bCs/>
          <w:sz w:val="24"/>
          <w:szCs w:val="32"/>
          <w:lang w:val="fr-FR"/>
        </w:rPr>
      </w:pPr>
      <w:r w:rsidRPr="008E2D89">
        <w:rPr>
          <w:rFonts w:asciiTheme="majorHAnsi" w:eastAsiaTheme="majorEastAsia" w:hAnsiTheme="majorHAnsi" w:cstheme="majorBidi"/>
          <w:b/>
          <w:bCs/>
          <w:sz w:val="24"/>
          <w:szCs w:val="32"/>
          <w:lang w:val="fr-FR"/>
        </w:rPr>
        <w:t>14</w:t>
      </w:r>
      <w:r w:rsidR="00D05594">
        <w:rPr>
          <w:rFonts w:asciiTheme="majorHAnsi" w:eastAsiaTheme="majorEastAsia" w:hAnsiTheme="majorHAnsi" w:cstheme="majorBidi"/>
          <w:b/>
          <w:bCs/>
          <w:sz w:val="24"/>
          <w:szCs w:val="32"/>
          <w:lang w:val="fr-FR"/>
        </w:rPr>
        <w:t>h</w:t>
      </w:r>
      <w:r w:rsidRPr="008E2D89">
        <w:rPr>
          <w:rFonts w:asciiTheme="majorHAnsi" w:eastAsiaTheme="majorEastAsia" w:hAnsiTheme="majorHAnsi" w:cstheme="majorBidi"/>
          <w:b/>
          <w:bCs/>
          <w:sz w:val="24"/>
          <w:szCs w:val="32"/>
          <w:lang w:val="fr-FR"/>
        </w:rPr>
        <w:t>00h-17</w:t>
      </w:r>
      <w:r w:rsidR="00D05594">
        <w:rPr>
          <w:rFonts w:asciiTheme="majorHAnsi" w:eastAsiaTheme="majorEastAsia" w:hAnsiTheme="majorHAnsi" w:cstheme="majorBidi"/>
          <w:b/>
          <w:bCs/>
          <w:sz w:val="24"/>
          <w:szCs w:val="32"/>
          <w:lang w:val="fr-FR"/>
        </w:rPr>
        <w:t>h</w:t>
      </w:r>
      <w:r w:rsidRPr="008E2D89">
        <w:rPr>
          <w:rFonts w:asciiTheme="majorHAnsi" w:eastAsiaTheme="majorEastAsia" w:hAnsiTheme="majorHAnsi" w:cstheme="majorBidi"/>
          <w:b/>
          <w:bCs/>
          <w:sz w:val="24"/>
          <w:szCs w:val="32"/>
          <w:lang w:val="fr-FR"/>
        </w:rPr>
        <w:t>00</w:t>
      </w:r>
    </w:p>
    <w:p w:rsidR="00C4784D" w:rsidRPr="008E2D89" w:rsidRDefault="00D05594" w:rsidP="006E6AE2">
      <w:pPr>
        <w:spacing w:line="240" w:lineRule="auto"/>
        <w:ind w:left="284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Gouvernance du RSCD</w:t>
      </w:r>
      <w:r w:rsidR="00C4784D" w:rsidRP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 </w:t>
      </w:r>
    </w:p>
    <w:p w:rsidR="00C4784D" w:rsidRPr="008E2D89" w:rsidRDefault="00C4784D" w:rsidP="00C4784D">
      <w:pPr>
        <w:pStyle w:val="ListParagraph"/>
        <w:spacing w:line="240" w:lineRule="auto"/>
        <w:ind w:left="360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</w:p>
    <w:p w:rsidR="004A62F2" w:rsidRPr="008E2D89" w:rsidRDefault="00A7113B" w:rsidP="00C4784D">
      <w:pPr>
        <w:pStyle w:val="ListParagraph"/>
        <w:spacing w:line="240" w:lineRule="auto"/>
        <w:ind w:left="360"/>
        <w:rPr>
          <w:i/>
          <w:sz w:val="28"/>
          <w:szCs w:val="28"/>
          <w:lang w:val="fr-FR"/>
        </w:rPr>
      </w:pPr>
      <w:r w:rsidRPr="008E2D89">
        <w:rPr>
          <w:i/>
          <w:sz w:val="28"/>
          <w:szCs w:val="28"/>
          <w:lang w:val="fr-FR"/>
        </w:rPr>
        <w:t xml:space="preserve">Discussion </w:t>
      </w:r>
      <w:r w:rsidR="00D0496E">
        <w:rPr>
          <w:i/>
          <w:sz w:val="28"/>
          <w:szCs w:val="28"/>
          <w:lang w:val="fr-FR"/>
        </w:rPr>
        <w:t>sur la gouvernance et les modalités de travail au sein du RSCD</w:t>
      </w:r>
    </w:p>
    <w:p w:rsidR="00C94B82" w:rsidRPr="008E2D89" w:rsidRDefault="00C94B82" w:rsidP="00C4784D">
      <w:pPr>
        <w:pStyle w:val="ListParagraph"/>
        <w:spacing w:line="240" w:lineRule="auto"/>
        <w:ind w:left="360"/>
        <w:rPr>
          <w:sz w:val="28"/>
          <w:szCs w:val="28"/>
          <w:lang w:val="fr-FR"/>
        </w:rPr>
      </w:pPr>
    </w:p>
    <w:p w:rsidR="00D0496E" w:rsidRDefault="00C94B82" w:rsidP="00656C6F">
      <w:pPr>
        <w:pStyle w:val="ListParagraph"/>
        <w:spacing w:line="240" w:lineRule="auto"/>
        <w:ind w:left="360"/>
        <w:jc w:val="both"/>
        <w:rPr>
          <w:sz w:val="28"/>
          <w:szCs w:val="28"/>
          <w:lang w:val="fr-FR"/>
        </w:rPr>
      </w:pPr>
      <w:r w:rsidRPr="008E2D89">
        <w:rPr>
          <w:sz w:val="28"/>
          <w:szCs w:val="28"/>
          <w:lang w:val="fr-FR"/>
        </w:rPr>
        <w:t>A</w:t>
      </w:r>
      <w:r w:rsidR="00D0496E">
        <w:rPr>
          <w:sz w:val="28"/>
          <w:szCs w:val="28"/>
          <w:lang w:val="fr-FR"/>
        </w:rPr>
        <w:t xml:space="preserve">près </w:t>
      </w:r>
      <w:r w:rsidRPr="008E2D89">
        <w:rPr>
          <w:sz w:val="28"/>
          <w:szCs w:val="28"/>
          <w:lang w:val="fr-FR"/>
        </w:rPr>
        <w:t>2</w:t>
      </w:r>
      <w:r w:rsidR="005B5B9C" w:rsidRPr="008E2D89">
        <w:rPr>
          <w:sz w:val="28"/>
          <w:szCs w:val="28"/>
          <w:lang w:val="fr-FR"/>
        </w:rPr>
        <w:t>/4</w:t>
      </w:r>
      <w:r w:rsidRPr="008E2D89">
        <w:rPr>
          <w:sz w:val="28"/>
          <w:szCs w:val="28"/>
          <w:lang w:val="fr-FR"/>
        </w:rPr>
        <w:t xml:space="preserve"> </w:t>
      </w:r>
      <w:r w:rsidR="00D0496E">
        <w:rPr>
          <w:sz w:val="28"/>
          <w:szCs w:val="28"/>
          <w:lang w:val="fr-FR"/>
        </w:rPr>
        <w:t xml:space="preserve">années de travail, nous souhaitons réviser les cadres institutionnels et les méthodes de travail du réseau. </w:t>
      </w:r>
      <w:r w:rsidR="00474FB1">
        <w:rPr>
          <w:sz w:val="28"/>
          <w:szCs w:val="28"/>
          <w:lang w:val="fr-FR"/>
        </w:rPr>
        <w:t xml:space="preserve">Un trop grand nombre </w:t>
      </w:r>
      <w:r w:rsidR="00D0496E">
        <w:rPr>
          <w:sz w:val="28"/>
          <w:szCs w:val="28"/>
          <w:lang w:val="fr-FR"/>
        </w:rPr>
        <w:t>de réunions et de séminaires de formation sont organisés, risquant de surcharger</w:t>
      </w:r>
      <w:r w:rsidR="00046A02">
        <w:rPr>
          <w:sz w:val="28"/>
          <w:szCs w:val="28"/>
          <w:lang w:val="fr-FR"/>
        </w:rPr>
        <w:t xml:space="preserve"> le</w:t>
      </w:r>
      <w:r w:rsidR="00D0496E">
        <w:rPr>
          <w:sz w:val="28"/>
          <w:szCs w:val="28"/>
          <w:lang w:val="fr-FR"/>
        </w:rPr>
        <w:t xml:space="preserve"> travail </w:t>
      </w:r>
      <w:r w:rsidR="00046A02">
        <w:rPr>
          <w:sz w:val="28"/>
          <w:szCs w:val="28"/>
          <w:lang w:val="fr-FR"/>
        </w:rPr>
        <w:t>d</w:t>
      </w:r>
      <w:r w:rsidR="00D0496E">
        <w:rPr>
          <w:sz w:val="28"/>
          <w:szCs w:val="28"/>
          <w:lang w:val="fr-FR"/>
        </w:rPr>
        <w:t>es organisations régionales et nationales</w:t>
      </w:r>
      <w:r w:rsidR="00046A02">
        <w:rPr>
          <w:sz w:val="28"/>
          <w:szCs w:val="28"/>
          <w:lang w:val="fr-FR"/>
        </w:rPr>
        <w:t>.</w:t>
      </w:r>
      <w:r w:rsidR="00D0496E">
        <w:rPr>
          <w:sz w:val="28"/>
          <w:szCs w:val="28"/>
          <w:lang w:val="fr-FR"/>
        </w:rPr>
        <w:t xml:space="preserve"> </w:t>
      </w:r>
    </w:p>
    <w:p w:rsidR="00D84B1F" w:rsidRPr="008E2D89" w:rsidRDefault="00D84B1F" w:rsidP="00656C6F">
      <w:pPr>
        <w:pStyle w:val="ListParagraph"/>
        <w:spacing w:line="240" w:lineRule="auto"/>
        <w:ind w:left="360"/>
        <w:jc w:val="both"/>
        <w:rPr>
          <w:sz w:val="28"/>
          <w:szCs w:val="28"/>
          <w:lang w:val="fr-FR"/>
        </w:rPr>
      </w:pPr>
    </w:p>
    <w:p w:rsidR="00D84B1F" w:rsidRPr="008E2D89" w:rsidRDefault="00D0496E" w:rsidP="00656C6F">
      <w:pPr>
        <w:pStyle w:val="ListParagraph"/>
        <w:spacing w:line="240" w:lineRule="auto"/>
        <w:ind w:left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Remarques générales</w:t>
      </w:r>
      <w:r w:rsidR="00D84B1F" w:rsidRPr="008E2D89">
        <w:rPr>
          <w:sz w:val="28"/>
          <w:szCs w:val="28"/>
          <w:lang w:val="fr-FR"/>
        </w:rPr>
        <w:t>:</w:t>
      </w:r>
    </w:p>
    <w:p w:rsidR="00ED0DC1" w:rsidRPr="008E2D89" w:rsidRDefault="00ED0DC1" w:rsidP="00656C6F">
      <w:pPr>
        <w:pStyle w:val="ListParagraph"/>
        <w:spacing w:line="240" w:lineRule="auto"/>
        <w:ind w:left="360"/>
        <w:jc w:val="both"/>
        <w:rPr>
          <w:sz w:val="28"/>
          <w:szCs w:val="28"/>
          <w:lang w:val="fr-FR"/>
        </w:rPr>
      </w:pPr>
    </w:p>
    <w:p w:rsidR="009C34A8" w:rsidRPr="008E2D89" w:rsidRDefault="00D0496E" w:rsidP="006E6AE2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  <w:szCs w:val="28"/>
          <w:lang w:val="fr-FR"/>
        </w:rPr>
      </w:pPr>
      <w:r w:rsidRPr="00975EBE">
        <w:rPr>
          <w:sz w:val="28"/>
          <w:szCs w:val="28"/>
          <w:u w:val="single"/>
          <w:lang w:val="fr-BE"/>
        </w:rPr>
        <w:t>Comment la CSI</w:t>
      </w:r>
      <w:r w:rsidR="00975EBE" w:rsidRPr="00975EBE">
        <w:rPr>
          <w:sz w:val="28"/>
          <w:szCs w:val="28"/>
          <w:u w:val="single"/>
          <w:lang w:val="fr-BE"/>
        </w:rPr>
        <w:t xml:space="preserve"> est-elle liée au réseau?</w:t>
      </w:r>
      <w:r w:rsidR="00D84B1F" w:rsidRPr="00975EBE">
        <w:rPr>
          <w:sz w:val="28"/>
          <w:szCs w:val="28"/>
          <w:lang w:val="fr-BE"/>
        </w:rPr>
        <w:t xml:space="preserve">: question de fond. </w:t>
      </w:r>
      <w:r w:rsidR="00975EBE">
        <w:rPr>
          <w:sz w:val="28"/>
          <w:szCs w:val="28"/>
          <w:lang w:val="fr-BE"/>
        </w:rPr>
        <w:t>La coopération au développement mérite une plus</w:t>
      </w:r>
      <w:r w:rsidR="004974F2">
        <w:rPr>
          <w:sz w:val="28"/>
          <w:szCs w:val="28"/>
          <w:lang w:val="fr-BE"/>
        </w:rPr>
        <w:t xml:space="preserve"> grande priorité au sein de la CSI;</w:t>
      </w:r>
    </w:p>
    <w:p w:rsidR="00AD1164" w:rsidRPr="008E2D89" w:rsidRDefault="00AD1164" w:rsidP="00AD1164">
      <w:pPr>
        <w:pStyle w:val="ListParagraph"/>
        <w:spacing w:line="240" w:lineRule="auto"/>
        <w:jc w:val="both"/>
        <w:rPr>
          <w:sz w:val="28"/>
          <w:szCs w:val="28"/>
          <w:lang w:val="fr-FR"/>
        </w:rPr>
      </w:pPr>
    </w:p>
    <w:p w:rsidR="004974F2" w:rsidRPr="004974F2" w:rsidRDefault="004974F2" w:rsidP="00AD11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fr-FR"/>
        </w:rPr>
      </w:pPr>
      <w:r w:rsidRPr="004974F2">
        <w:rPr>
          <w:sz w:val="28"/>
          <w:szCs w:val="28"/>
          <w:u w:val="single"/>
          <w:lang w:val="fr-FR"/>
        </w:rPr>
        <w:t>La nature multi-acteurs du réseau ne peut être cristallisée dans de simples cadres</w:t>
      </w:r>
      <w:r w:rsidR="0035735B">
        <w:rPr>
          <w:sz w:val="28"/>
          <w:szCs w:val="28"/>
          <w:u w:val="single"/>
          <w:lang w:val="fr-FR"/>
        </w:rPr>
        <w:t xml:space="preserve"> institutionnels réglementaires basés sur les affiliations. </w:t>
      </w:r>
      <w:r w:rsidR="0035735B">
        <w:rPr>
          <w:sz w:val="28"/>
          <w:szCs w:val="28"/>
          <w:lang w:val="fr-FR"/>
        </w:rPr>
        <w:t xml:space="preserve">Elle doit </w:t>
      </w:r>
      <w:r w:rsidR="002F10A8">
        <w:rPr>
          <w:sz w:val="28"/>
          <w:szCs w:val="28"/>
          <w:lang w:val="fr-FR"/>
        </w:rPr>
        <w:t>demeurer</w:t>
      </w:r>
      <w:r w:rsidR="0035735B">
        <w:rPr>
          <w:sz w:val="28"/>
          <w:szCs w:val="28"/>
          <w:lang w:val="fr-FR"/>
        </w:rPr>
        <w:t xml:space="preserve"> </w:t>
      </w:r>
      <w:r w:rsidR="002F10A8">
        <w:rPr>
          <w:sz w:val="28"/>
          <w:szCs w:val="28"/>
          <w:lang w:val="fr-FR"/>
        </w:rPr>
        <w:t xml:space="preserve">informelle et flexible afin d’être inclusive (FSI et OS). Les règles doivent être basées sur un consensus. La reconnaissance </w:t>
      </w:r>
      <w:r w:rsidR="002F10A8">
        <w:rPr>
          <w:sz w:val="28"/>
          <w:szCs w:val="28"/>
          <w:lang w:val="fr-FR"/>
        </w:rPr>
        <w:lastRenderedPageBreak/>
        <w:t>officielle du réseau par chaque partie prenante, y compris la CSI dans ses structures de gouvernance, n’est, de la sorte, pas entravée;</w:t>
      </w:r>
    </w:p>
    <w:p w:rsidR="004974F2" w:rsidRPr="004974F2" w:rsidRDefault="004974F2" w:rsidP="004974F2">
      <w:pPr>
        <w:pStyle w:val="ListParagraph"/>
        <w:rPr>
          <w:sz w:val="28"/>
          <w:szCs w:val="28"/>
          <w:u w:val="single"/>
          <w:lang w:val="fr-FR"/>
        </w:rPr>
      </w:pPr>
    </w:p>
    <w:p w:rsidR="009F571F" w:rsidRDefault="009F571F" w:rsidP="00AD11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Les réseaux régionaux doivent être renforcés</w:t>
      </w:r>
      <w:r w:rsidR="00032BD7" w:rsidRPr="008E2D89">
        <w:rPr>
          <w:sz w:val="28"/>
          <w:szCs w:val="28"/>
          <w:lang w:val="fr-FR"/>
        </w:rPr>
        <w:t xml:space="preserve">. </w:t>
      </w:r>
      <w:r>
        <w:rPr>
          <w:sz w:val="28"/>
          <w:szCs w:val="28"/>
          <w:lang w:val="fr-FR"/>
        </w:rPr>
        <w:t xml:space="preserve">Les réunions et plans d’action du RSCD doivent refléter la situation dans les régions. </w:t>
      </w:r>
      <w:r w:rsidR="00087FAD">
        <w:rPr>
          <w:sz w:val="28"/>
          <w:szCs w:val="28"/>
          <w:lang w:val="fr-FR"/>
        </w:rPr>
        <w:t xml:space="preserve">Tel est le cas en Amérique latine et il devrait en aller de même dans les autres continents. Le soutien aux réseaux </w:t>
      </w:r>
      <w:r w:rsidR="00ED2255">
        <w:rPr>
          <w:sz w:val="28"/>
          <w:szCs w:val="28"/>
          <w:lang w:val="fr-FR"/>
        </w:rPr>
        <w:t>de développement régionaux (promotion, organisations d’aide, échanges entre pairs/Sud-Sud) est crucial pour la prochaine étape du réseau afin d’exercer une influence ascendante en ce qui concerne la participation et les apports. Cette approche contribuerait également à soutenir la participation ciblée des représentants du Sud à l’échelle mondiale;</w:t>
      </w:r>
    </w:p>
    <w:p w:rsidR="00AD1164" w:rsidRPr="008E2D89" w:rsidRDefault="00AD1164" w:rsidP="00AD1164">
      <w:pPr>
        <w:spacing w:after="0" w:line="240" w:lineRule="auto"/>
        <w:jc w:val="both"/>
        <w:rPr>
          <w:sz w:val="28"/>
          <w:szCs w:val="28"/>
          <w:lang w:val="fr-FR"/>
        </w:rPr>
      </w:pPr>
    </w:p>
    <w:p w:rsidR="00AD1164" w:rsidRPr="00A83468" w:rsidRDefault="00ED2255" w:rsidP="00AD11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fr-FR"/>
        </w:rPr>
      </w:pPr>
      <w:r w:rsidRPr="00A83468">
        <w:rPr>
          <w:sz w:val="28"/>
          <w:szCs w:val="28"/>
          <w:u w:val="single"/>
          <w:lang w:val="fr-FR"/>
        </w:rPr>
        <w:t>Le secr</w:t>
      </w:r>
      <w:r w:rsidR="00A83468" w:rsidRPr="00A83468">
        <w:rPr>
          <w:sz w:val="28"/>
          <w:szCs w:val="28"/>
          <w:u w:val="single"/>
          <w:lang w:val="fr-FR"/>
        </w:rPr>
        <w:t>é</w:t>
      </w:r>
      <w:r w:rsidRPr="00A83468">
        <w:rPr>
          <w:sz w:val="28"/>
          <w:szCs w:val="28"/>
          <w:u w:val="single"/>
          <w:lang w:val="fr-FR"/>
        </w:rPr>
        <w:t xml:space="preserve">tariat ne peut faire face à une </w:t>
      </w:r>
      <w:r w:rsidR="00A83468" w:rsidRPr="00A83468">
        <w:rPr>
          <w:sz w:val="28"/>
          <w:szCs w:val="28"/>
          <w:u w:val="single"/>
          <w:lang w:val="fr-FR"/>
        </w:rPr>
        <w:t>lourde charge de travail en ce qui concerne le suivi et la repr</w:t>
      </w:r>
      <w:r w:rsidR="00A83468">
        <w:rPr>
          <w:sz w:val="28"/>
          <w:szCs w:val="28"/>
          <w:u w:val="single"/>
          <w:lang w:val="fr-FR"/>
        </w:rPr>
        <w:t>é</w:t>
      </w:r>
      <w:r w:rsidR="00A83468" w:rsidRPr="00A83468">
        <w:rPr>
          <w:sz w:val="28"/>
          <w:szCs w:val="28"/>
          <w:u w:val="single"/>
          <w:lang w:val="fr-FR"/>
        </w:rPr>
        <w:t>sentation à l’</w:t>
      </w:r>
      <w:r w:rsidR="00A83468">
        <w:rPr>
          <w:sz w:val="28"/>
          <w:szCs w:val="28"/>
          <w:u w:val="single"/>
          <w:lang w:val="fr-FR"/>
        </w:rPr>
        <w:t>échelle mondiale</w:t>
      </w:r>
      <w:r w:rsidR="00A83468">
        <w:rPr>
          <w:sz w:val="28"/>
          <w:szCs w:val="28"/>
          <w:lang w:val="fr-FR"/>
        </w:rPr>
        <w:t xml:space="preserve"> compte tenu de l’évolution grandissante à l’échelle régionale et nationale</w:t>
      </w:r>
      <w:r w:rsidR="00293EE6" w:rsidRPr="00A83468">
        <w:rPr>
          <w:sz w:val="28"/>
          <w:szCs w:val="28"/>
          <w:lang w:val="fr-FR"/>
        </w:rPr>
        <w:t>;</w:t>
      </w:r>
    </w:p>
    <w:p w:rsidR="00AD1164" w:rsidRPr="00A83468" w:rsidRDefault="00AD1164" w:rsidP="00AD1164">
      <w:pPr>
        <w:pStyle w:val="ListParagraph"/>
        <w:spacing w:after="0" w:line="240" w:lineRule="auto"/>
        <w:jc w:val="both"/>
        <w:rPr>
          <w:sz w:val="28"/>
          <w:szCs w:val="28"/>
          <w:lang w:val="fr-FR"/>
        </w:rPr>
      </w:pPr>
    </w:p>
    <w:p w:rsidR="00460E73" w:rsidRPr="008E2D89" w:rsidRDefault="00A83468" w:rsidP="00AD11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Le</w:t>
      </w:r>
      <w:r w:rsidR="00B106E5">
        <w:rPr>
          <w:sz w:val="28"/>
          <w:szCs w:val="28"/>
          <w:u w:val="single"/>
          <w:lang w:val="fr-FR"/>
        </w:rPr>
        <w:t>s régions du CRPE et</w:t>
      </w:r>
      <w:r w:rsidR="00293EE6" w:rsidRPr="008E2D89">
        <w:rPr>
          <w:sz w:val="28"/>
          <w:szCs w:val="28"/>
          <w:u w:val="single"/>
          <w:lang w:val="fr-FR"/>
        </w:rPr>
        <w:t xml:space="preserve"> MENA</w:t>
      </w:r>
      <w:r w:rsidR="00293EE6" w:rsidRPr="008E2D89">
        <w:rPr>
          <w:sz w:val="28"/>
          <w:szCs w:val="28"/>
          <w:lang w:val="fr-FR"/>
        </w:rPr>
        <w:t xml:space="preserve"> </w:t>
      </w:r>
      <w:r w:rsidR="00B106E5">
        <w:rPr>
          <w:sz w:val="28"/>
          <w:szCs w:val="28"/>
          <w:lang w:val="fr-FR"/>
        </w:rPr>
        <w:t>doivent être impliquées dans une plus grande mesure.</w:t>
      </w:r>
    </w:p>
    <w:p w:rsidR="00460E73" w:rsidRPr="008E2D89" w:rsidRDefault="00460E73" w:rsidP="00460E73">
      <w:pPr>
        <w:pStyle w:val="ListParagraph"/>
        <w:spacing w:line="240" w:lineRule="auto"/>
        <w:jc w:val="both"/>
        <w:rPr>
          <w:sz w:val="28"/>
          <w:szCs w:val="28"/>
          <w:u w:val="single"/>
          <w:lang w:val="fr-FR"/>
        </w:rPr>
      </w:pPr>
    </w:p>
    <w:p w:rsidR="00460E73" w:rsidRPr="008E2D89" w:rsidRDefault="00460E73" w:rsidP="00460E73">
      <w:pPr>
        <w:pStyle w:val="ListParagraph"/>
        <w:spacing w:line="240" w:lineRule="auto"/>
        <w:jc w:val="both"/>
        <w:rPr>
          <w:sz w:val="28"/>
          <w:szCs w:val="28"/>
          <w:lang w:val="fr-FR"/>
        </w:rPr>
      </w:pPr>
    </w:p>
    <w:p w:rsidR="00C94B82" w:rsidRPr="008E2D89" w:rsidRDefault="00B106E5" w:rsidP="005C5496">
      <w:pPr>
        <w:spacing w:line="240" w:lineRule="auto"/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Voies à suivre</w:t>
      </w:r>
      <w:r w:rsidR="00ED0DC1" w:rsidRPr="008E2D89">
        <w:rPr>
          <w:b/>
          <w:sz w:val="28"/>
          <w:szCs w:val="28"/>
          <w:u w:val="single"/>
          <w:lang w:val="fr-FR"/>
        </w:rPr>
        <w:t>:</w:t>
      </w:r>
    </w:p>
    <w:p w:rsidR="00421F80" w:rsidRDefault="00421F80" w:rsidP="00460E73">
      <w:pPr>
        <w:pStyle w:val="ListParagraph"/>
        <w:spacing w:line="240" w:lineRule="auto"/>
        <w:ind w:left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sera nécessaire de procéder à une</w:t>
      </w:r>
      <w:r w:rsidR="00B106E5">
        <w:rPr>
          <w:sz w:val="28"/>
          <w:szCs w:val="28"/>
          <w:lang w:val="fr-FR"/>
        </w:rPr>
        <w:t xml:space="preserve"> future révision du mandat, des règles et des objectifs actuels du RSCD </w:t>
      </w:r>
      <w:r>
        <w:rPr>
          <w:sz w:val="28"/>
          <w:szCs w:val="28"/>
          <w:lang w:val="fr-FR"/>
        </w:rPr>
        <w:t>lors de la prochaine réunion générale. Des changements dans la gouvernance (voir ci-dessous) seront débattus et décidés durant la réunion générale en avril 2013.</w:t>
      </w:r>
    </w:p>
    <w:p w:rsidR="00497CB4" w:rsidRPr="008E2D89" w:rsidRDefault="00497CB4" w:rsidP="005C5496">
      <w:pPr>
        <w:pStyle w:val="ListParagraph"/>
        <w:spacing w:line="240" w:lineRule="auto"/>
        <w:ind w:left="1080"/>
        <w:jc w:val="both"/>
        <w:rPr>
          <w:sz w:val="28"/>
          <w:szCs w:val="28"/>
          <w:lang w:val="fr-FR"/>
        </w:rPr>
      </w:pPr>
    </w:p>
    <w:p w:rsidR="00293EE6" w:rsidRPr="008E2D89" w:rsidRDefault="00421F80" w:rsidP="004572B9">
      <w:pPr>
        <w:pStyle w:val="ListParagraph"/>
        <w:numPr>
          <w:ilvl w:val="1"/>
          <w:numId w:val="3"/>
        </w:numPr>
        <w:spacing w:line="240" w:lineRule="auto"/>
        <w:ind w:left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Réunions générales</w:t>
      </w:r>
      <w:r w:rsidR="00B635F9" w:rsidRPr="008E2D89">
        <w:rPr>
          <w:sz w:val="28"/>
          <w:szCs w:val="28"/>
          <w:lang w:val="fr-FR"/>
        </w:rPr>
        <w:t>:</w:t>
      </w:r>
      <w:r w:rsidR="004A62F2" w:rsidRPr="008E2D89">
        <w:rPr>
          <w:sz w:val="28"/>
          <w:szCs w:val="28"/>
          <w:lang w:val="fr-FR"/>
        </w:rPr>
        <w:t xml:space="preserve"> </w:t>
      </w:r>
    </w:p>
    <w:p w:rsidR="00F34FC4" w:rsidRPr="008E2D89" w:rsidRDefault="00293EE6" w:rsidP="004572B9">
      <w:pPr>
        <w:pStyle w:val="ListParagraph"/>
        <w:numPr>
          <w:ilvl w:val="0"/>
          <w:numId w:val="5"/>
        </w:numPr>
        <w:spacing w:line="240" w:lineRule="auto"/>
        <w:ind w:left="709" w:hanging="425"/>
        <w:jc w:val="both"/>
        <w:rPr>
          <w:sz w:val="28"/>
          <w:szCs w:val="28"/>
          <w:lang w:val="fr-FR"/>
        </w:rPr>
      </w:pPr>
      <w:r w:rsidRPr="008E2D89">
        <w:rPr>
          <w:i/>
          <w:sz w:val="28"/>
          <w:szCs w:val="28"/>
          <w:lang w:val="fr-FR"/>
        </w:rPr>
        <w:t>C</w:t>
      </w:r>
      <w:r w:rsidR="004A62F2" w:rsidRPr="008E2D89">
        <w:rPr>
          <w:i/>
          <w:sz w:val="28"/>
          <w:szCs w:val="28"/>
          <w:lang w:val="fr-FR"/>
        </w:rPr>
        <w:t>omposition</w:t>
      </w:r>
      <w:r w:rsidRPr="008E2D89">
        <w:rPr>
          <w:i/>
          <w:sz w:val="28"/>
          <w:szCs w:val="28"/>
          <w:lang w:val="fr-FR"/>
        </w:rPr>
        <w:t>:</w:t>
      </w:r>
      <w:r w:rsidRPr="008E2D89">
        <w:rPr>
          <w:sz w:val="28"/>
          <w:szCs w:val="28"/>
          <w:lang w:val="fr-FR"/>
        </w:rPr>
        <w:t xml:space="preserve"> </w:t>
      </w:r>
      <w:r w:rsidR="00421F80">
        <w:rPr>
          <w:sz w:val="28"/>
          <w:szCs w:val="28"/>
          <w:lang w:val="fr-FR"/>
        </w:rPr>
        <w:t>élargissement de la représentation régionale du Sud à 5 par région (A</w:t>
      </w:r>
      <w:r w:rsidR="00046A02">
        <w:rPr>
          <w:sz w:val="28"/>
          <w:szCs w:val="28"/>
          <w:lang w:val="fr-FR"/>
        </w:rPr>
        <w:t>L</w:t>
      </w:r>
      <w:r w:rsidR="00421F80">
        <w:rPr>
          <w:sz w:val="28"/>
          <w:szCs w:val="28"/>
          <w:lang w:val="fr-FR"/>
        </w:rPr>
        <w:t>, AP, Afrique), y compris le CRPE</w:t>
      </w:r>
      <w:r w:rsidR="002E7AED">
        <w:rPr>
          <w:sz w:val="28"/>
          <w:szCs w:val="28"/>
          <w:lang w:val="fr-FR"/>
        </w:rPr>
        <w:t xml:space="preserve"> et la région </w:t>
      </w:r>
      <w:r w:rsidR="00AD1164" w:rsidRPr="008E2D89">
        <w:rPr>
          <w:sz w:val="28"/>
          <w:szCs w:val="28"/>
          <w:lang w:val="fr-FR"/>
        </w:rPr>
        <w:t>MENA</w:t>
      </w:r>
    </w:p>
    <w:p w:rsidR="002E7AED" w:rsidRDefault="002E7AED" w:rsidP="004572B9">
      <w:pPr>
        <w:pStyle w:val="ListParagraph"/>
        <w:numPr>
          <w:ilvl w:val="0"/>
          <w:numId w:val="5"/>
        </w:numPr>
        <w:spacing w:line="240" w:lineRule="auto"/>
        <w:ind w:left="709" w:hanging="425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Désignation des participants « permanents » </w:t>
      </w:r>
      <w:r w:rsidR="00D55465">
        <w:rPr>
          <w:sz w:val="28"/>
          <w:szCs w:val="28"/>
          <w:lang w:val="fr-FR"/>
        </w:rPr>
        <w:t>par les organisations, indiquant les suppléants possibles (qui devront recevoir toutes les informations et intervenir si besoin est)</w:t>
      </w:r>
    </w:p>
    <w:p w:rsidR="00D55465" w:rsidRDefault="00D55465" w:rsidP="004572B9">
      <w:pPr>
        <w:pStyle w:val="ListParagraph"/>
        <w:numPr>
          <w:ilvl w:val="0"/>
          <w:numId w:val="5"/>
        </w:numPr>
        <w:spacing w:line="240" w:lineRule="auto"/>
        <w:ind w:left="709" w:hanging="425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Fournir une définition des organisations solidaires (organisations syndicales/qui soutiennent les syndicats) afin de permettre une meilleure compréhension des « critères » d’affiliation</w:t>
      </w:r>
    </w:p>
    <w:p w:rsidR="009534E9" w:rsidRDefault="00AD1164" w:rsidP="004572B9">
      <w:pPr>
        <w:pStyle w:val="ListParagraph"/>
        <w:numPr>
          <w:ilvl w:val="0"/>
          <w:numId w:val="5"/>
        </w:numPr>
        <w:spacing w:line="240" w:lineRule="auto"/>
        <w:ind w:left="709" w:hanging="425"/>
        <w:jc w:val="both"/>
        <w:rPr>
          <w:sz w:val="28"/>
          <w:szCs w:val="28"/>
          <w:lang w:val="fr-BE"/>
        </w:rPr>
      </w:pPr>
      <w:r w:rsidRPr="009534E9">
        <w:rPr>
          <w:i/>
          <w:sz w:val="28"/>
          <w:szCs w:val="28"/>
          <w:lang w:val="fr-BE"/>
        </w:rPr>
        <w:t>Mandat</w:t>
      </w:r>
      <w:r w:rsidR="00B31717" w:rsidRPr="009534E9">
        <w:rPr>
          <w:i/>
          <w:sz w:val="28"/>
          <w:szCs w:val="28"/>
          <w:lang w:val="fr-BE"/>
        </w:rPr>
        <w:t>:</w:t>
      </w:r>
      <w:r w:rsidR="00B31717" w:rsidRPr="009534E9">
        <w:rPr>
          <w:sz w:val="28"/>
          <w:szCs w:val="28"/>
          <w:lang w:val="fr-BE"/>
        </w:rPr>
        <w:t xml:space="preserve"> </w:t>
      </w:r>
      <w:r w:rsidR="009534E9" w:rsidRPr="009534E9">
        <w:rPr>
          <w:sz w:val="28"/>
          <w:szCs w:val="28"/>
          <w:lang w:val="fr-BE"/>
        </w:rPr>
        <w:t xml:space="preserve">prise de </w:t>
      </w:r>
      <w:r w:rsidR="00D55465" w:rsidRPr="009534E9">
        <w:rPr>
          <w:sz w:val="28"/>
          <w:szCs w:val="28"/>
          <w:lang w:val="fr-BE"/>
        </w:rPr>
        <w:t>d</w:t>
      </w:r>
      <w:r w:rsidR="009534E9" w:rsidRPr="009534E9">
        <w:rPr>
          <w:sz w:val="28"/>
          <w:szCs w:val="28"/>
          <w:lang w:val="fr-BE"/>
        </w:rPr>
        <w:t>é</w:t>
      </w:r>
      <w:r w:rsidR="00D55465" w:rsidRPr="009534E9">
        <w:rPr>
          <w:sz w:val="28"/>
          <w:szCs w:val="28"/>
          <w:lang w:val="fr-BE"/>
        </w:rPr>
        <w:t xml:space="preserve">cisions </w:t>
      </w:r>
      <w:r w:rsidR="009534E9" w:rsidRPr="009534E9">
        <w:rPr>
          <w:sz w:val="28"/>
          <w:szCs w:val="28"/>
          <w:lang w:val="fr-BE"/>
        </w:rPr>
        <w:t xml:space="preserve">politiques et établissement des </w:t>
      </w:r>
      <w:r w:rsidR="009534E9">
        <w:rPr>
          <w:sz w:val="28"/>
          <w:szCs w:val="28"/>
          <w:lang w:val="fr-BE"/>
        </w:rPr>
        <w:t>orientations, axés sur des débats thématiques (</w:t>
      </w:r>
      <w:r w:rsidR="00800AEC">
        <w:rPr>
          <w:sz w:val="28"/>
          <w:szCs w:val="28"/>
          <w:lang w:val="fr-BE"/>
        </w:rPr>
        <w:t>limitant la gouvernance si besoin est)</w:t>
      </w:r>
    </w:p>
    <w:p w:rsidR="00800AEC" w:rsidRPr="009534E9" w:rsidRDefault="00800AEC" w:rsidP="004572B9">
      <w:pPr>
        <w:pStyle w:val="ListParagraph"/>
        <w:numPr>
          <w:ilvl w:val="0"/>
          <w:numId w:val="5"/>
        </w:numPr>
        <w:spacing w:line="240" w:lineRule="auto"/>
        <w:ind w:left="709" w:hanging="425"/>
        <w:jc w:val="both"/>
        <w:rPr>
          <w:sz w:val="28"/>
          <w:szCs w:val="28"/>
          <w:lang w:val="fr-BE"/>
        </w:rPr>
      </w:pPr>
      <w:r>
        <w:rPr>
          <w:i/>
          <w:sz w:val="28"/>
          <w:szCs w:val="28"/>
          <w:lang w:val="fr-BE"/>
        </w:rPr>
        <w:lastRenderedPageBreak/>
        <w:t xml:space="preserve">Nombre de réunions: </w:t>
      </w:r>
      <w:r>
        <w:rPr>
          <w:sz w:val="28"/>
          <w:szCs w:val="28"/>
          <w:lang w:val="fr-BE"/>
        </w:rPr>
        <w:t>deux réunions de 2/3 jours par an</w:t>
      </w:r>
    </w:p>
    <w:p w:rsidR="00AD1164" w:rsidRPr="008E2D89" w:rsidRDefault="00AD1164" w:rsidP="00AD1164">
      <w:pPr>
        <w:pStyle w:val="ListParagraph"/>
        <w:spacing w:line="240" w:lineRule="auto"/>
        <w:ind w:left="709"/>
        <w:jc w:val="both"/>
        <w:rPr>
          <w:sz w:val="28"/>
          <w:szCs w:val="28"/>
          <w:lang w:val="fr-FR"/>
        </w:rPr>
      </w:pPr>
    </w:p>
    <w:p w:rsidR="00F34FC4" w:rsidRPr="008E2D89" w:rsidRDefault="00800AEC" w:rsidP="004572B9">
      <w:pPr>
        <w:pStyle w:val="ListParagraph"/>
        <w:numPr>
          <w:ilvl w:val="1"/>
          <w:numId w:val="3"/>
        </w:numPr>
        <w:spacing w:line="240" w:lineRule="auto"/>
        <w:ind w:left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GFP</w:t>
      </w:r>
      <w:r w:rsidR="00293EE6" w:rsidRPr="008E2D89">
        <w:rPr>
          <w:sz w:val="28"/>
          <w:szCs w:val="28"/>
          <w:lang w:val="fr-FR"/>
        </w:rPr>
        <w:t xml:space="preserve">: </w:t>
      </w:r>
    </w:p>
    <w:p w:rsidR="00800AEC" w:rsidRDefault="00F34FC4" w:rsidP="004572B9">
      <w:pPr>
        <w:pStyle w:val="ListParagraph"/>
        <w:numPr>
          <w:ilvl w:val="0"/>
          <w:numId w:val="5"/>
        </w:numPr>
        <w:spacing w:line="240" w:lineRule="auto"/>
        <w:ind w:left="709" w:hanging="425"/>
        <w:jc w:val="both"/>
        <w:rPr>
          <w:sz w:val="28"/>
          <w:szCs w:val="28"/>
          <w:lang w:val="fr-BE"/>
        </w:rPr>
      </w:pPr>
      <w:r w:rsidRPr="00800AEC">
        <w:rPr>
          <w:i/>
          <w:sz w:val="28"/>
          <w:szCs w:val="28"/>
          <w:lang w:val="fr-BE"/>
        </w:rPr>
        <w:t>Composition:</w:t>
      </w:r>
      <w:r w:rsidRPr="00800AEC">
        <w:rPr>
          <w:sz w:val="28"/>
          <w:szCs w:val="28"/>
          <w:lang w:val="fr-BE"/>
        </w:rPr>
        <w:t xml:space="preserve"> </w:t>
      </w:r>
      <w:r w:rsidR="00800AEC" w:rsidRPr="00800AEC">
        <w:rPr>
          <w:sz w:val="28"/>
          <w:szCs w:val="28"/>
          <w:lang w:val="fr-BE"/>
        </w:rPr>
        <w:t>accroissement du nombre de membres par région (deux organisations affiliées</w:t>
      </w:r>
      <w:r w:rsidR="00AA14BC">
        <w:rPr>
          <w:sz w:val="28"/>
          <w:szCs w:val="28"/>
          <w:lang w:val="fr-BE"/>
        </w:rPr>
        <w:t xml:space="preserve">, chacune délégant </w:t>
      </w:r>
      <w:r w:rsidR="00800AEC" w:rsidRPr="00800AEC">
        <w:rPr>
          <w:sz w:val="28"/>
          <w:szCs w:val="28"/>
          <w:lang w:val="fr-BE"/>
        </w:rPr>
        <w:t xml:space="preserve">un représentant </w:t>
      </w:r>
      <w:r w:rsidR="00AA14BC">
        <w:rPr>
          <w:sz w:val="28"/>
          <w:szCs w:val="28"/>
          <w:lang w:val="fr-BE"/>
        </w:rPr>
        <w:t>ré</w:t>
      </w:r>
      <w:r w:rsidR="00800AEC" w:rsidRPr="00800AEC">
        <w:rPr>
          <w:sz w:val="28"/>
          <w:szCs w:val="28"/>
          <w:lang w:val="fr-BE"/>
        </w:rPr>
        <w:t>gional</w:t>
      </w:r>
      <w:r w:rsidR="00AA14BC">
        <w:rPr>
          <w:sz w:val="28"/>
          <w:szCs w:val="28"/>
          <w:lang w:val="fr-BE"/>
        </w:rPr>
        <w:t>) avec un mandat limité dans le temps; la participation des régions MENA et PERC doit faire l’objet d’une évaluation</w:t>
      </w:r>
    </w:p>
    <w:p w:rsidR="00AA14BC" w:rsidRDefault="00E27D5E" w:rsidP="004572B9">
      <w:pPr>
        <w:pStyle w:val="ListParagraph"/>
        <w:numPr>
          <w:ilvl w:val="0"/>
          <w:numId w:val="5"/>
        </w:numPr>
        <w:spacing w:line="240" w:lineRule="auto"/>
        <w:ind w:left="709" w:hanging="425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Désignation par les organisations, indiquant les suppléants</w:t>
      </w:r>
    </w:p>
    <w:p w:rsidR="00E27D5E" w:rsidRDefault="005C59F4" w:rsidP="004572B9">
      <w:pPr>
        <w:pStyle w:val="ListParagraph"/>
        <w:numPr>
          <w:ilvl w:val="0"/>
          <w:numId w:val="5"/>
        </w:numPr>
        <w:spacing w:line="240" w:lineRule="auto"/>
        <w:ind w:left="709" w:hanging="425"/>
        <w:jc w:val="both"/>
        <w:rPr>
          <w:sz w:val="28"/>
          <w:szCs w:val="28"/>
          <w:lang w:val="fr-BE"/>
        </w:rPr>
      </w:pPr>
      <w:r w:rsidRPr="00E27D5E">
        <w:rPr>
          <w:i/>
          <w:sz w:val="28"/>
          <w:szCs w:val="28"/>
          <w:lang w:val="fr-BE"/>
        </w:rPr>
        <w:t>M</w:t>
      </w:r>
      <w:r w:rsidR="00460E73" w:rsidRPr="00E27D5E">
        <w:rPr>
          <w:i/>
          <w:sz w:val="28"/>
          <w:szCs w:val="28"/>
          <w:lang w:val="fr-BE"/>
        </w:rPr>
        <w:t>andat:</w:t>
      </w:r>
      <w:r w:rsidR="00460E73" w:rsidRPr="00E27D5E">
        <w:rPr>
          <w:sz w:val="28"/>
          <w:szCs w:val="28"/>
          <w:lang w:val="fr-BE"/>
        </w:rPr>
        <w:t xml:space="preserve"> </w:t>
      </w:r>
      <w:r w:rsidR="00E27D5E" w:rsidRPr="00E27D5E">
        <w:rPr>
          <w:sz w:val="28"/>
          <w:szCs w:val="28"/>
          <w:lang w:val="fr-BE"/>
        </w:rPr>
        <w:t>suivi des activités et des question</w:t>
      </w:r>
      <w:r w:rsidR="00E27D5E">
        <w:rPr>
          <w:sz w:val="28"/>
          <w:szCs w:val="28"/>
          <w:lang w:val="fr-BE"/>
        </w:rPr>
        <w:t xml:space="preserve">s de gestion (présentation de rapports); prise de décisions administratives entre les réunions générales, </w:t>
      </w:r>
      <w:r w:rsidR="00C54A09">
        <w:rPr>
          <w:sz w:val="28"/>
          <w:szCs w:val="28"/>
          <w:lang w:val="fr-BE"/>
        </w:rPr>
        <w:t>gestion de la représentation</w:t>
      </w:r>
    </w:p>
    <w:p w:rsidR="00C54A09" w:rsidRPr="00E27D5E" w:rsidRDefault="00C54A09" w:rsidP="004572B9">
      <w:pPr>
        <w:pStyle w:val="ListParagraph"/>
        <w:numPr>
          <w:ilvl w:val="0"/>
          <w:numId w:val="5"/>
        </w:numPr>
        <w:spacing w:line="240" w:lineRule="auto"/>
        <w:ind w:left="709" w:hanging="425"/>
        <w:jc w:val="both"/>
        <w:rPr>
          <w:sz w:val="28"/>
          <w:szCs w:val="28"/>
          <w:lang w:val="fr-BE"/>
        </w:rPr>
      </w:pPr>
      <w:r>
        <w:rPr>
          <w:i/>
          <w:sz w:val="28"/>
          <w:szCs w:val="28"/>
          <w:lang w:val="fr-BE"/>
        </w:rPr>
        <w:t>Réunions:</w:t>
      </w:r>
      <w:r>
        <w:rPr>
          <w:sz w:val="28"/>
          <w:szCs w:val="28"/>
          <w:lang w:val="fr-BE"/>
        </w:rPr>
        <w:t xml:space="preserve"> 1 ou 2 par an, parallèlement aux réunions générales</w:t>
      </w:r>
    </w:p>
    <w:p w:rsidR="00E27D5E" w:rsidRPr="00E27D5E" w:rsidRDefault="00E27D5E" w:rsidP="00C54A09">
      <w:pPr>
        <w:pStyle w:val="ListParagraph"/>
        <w:spacing w:line="240" w:lineRule="auto"/>
        <w:ind w:left="709"/>
        <w:jc w:val="both"/>
        <w:rPr>
          <w:sz w:val="28"/>
          <w:szCs w:val="28"/>
          <w:lang w:val="fr-BE"/>
        </w:rPr>
      </w:pPr>
    </w:p>
    <w:p w:rsidR="00497CB4" w:rsidRPr="008E2D89" w:rsidRDefault="00497CB4" w:rsidP="00BF57A1">
      <w:pPr>
        <w:pStyle w:val="ListParagraph"/>
        <w:spacing w:line="240" w:lineRule="auto"/>
        <w:ind w:left="698"/>
        <w:jc w:val="both"/>
        <w:rPr>
          <w:sz w:val="28"/>
          <w:szCs w:val="28"/>
          <w:lang w:val="fr-FR"/>
        </w:rPr>
      </w:pPr>
    </w:p>
    <w:p w:rsidR="0054107C" w:rsidRPr="00C54A09" w:rsidRDefault="00C54A09" w:rsidP="00BF57A1">
      <w:pPr>
        <w:pStyle w:val="ListParagraph"/>
        <w:numPr>
          <w:ilvl w:val="1"/>
          <w:numId w:val="3"/>
        </w:numPr>
        <w:spacing w:line="240" w:lineRule="auto"/>
        <w:ind w:left="360"/>
        <w:jc w:val="both"/>
        <w:rPr>
          <w:sz w:val="28"/>
          <w:szCs w:val="28"/>
          <w:lang w:val="fr-BE"/>
        </w:rPr>
      </w:pPr>
      <w:r w:rsidRPr="00C54A09">
        <w:rPr>
          <w:sz w:val="28"/>
          <w:szCs w:val="28"/>
          <w:lang w:val="fr-BE"/>
        </w:rPr>
        <w:t>Domaines de travail et méthodologies</w:t>
      </w:r>
      <w:r w:rsidR="004A62F2" w:rsidRPr="00C54A09">
        <w:rPr>
          <w:sz w:val="28"/>
          <w:szCs w:val="28"/>
          <w:lang w:val="fr-BE"/>
        </w:rPr>
        <w:t xml:space="preserve">: </w:t>
      </w:r>
    </w:p>
    <w:p w:rsidR="00A54A72" w:rsidRPr="00A54A72" w:rsidRDefault="00C54A09" w:rsidP="0092087C">
      <w:pPr>
        <w:pStyle w:val="ListParagraph"/>
        <w:numPr>
          <w:ilvl w:val="0"/>
          <w:numId w:val="5"/>
        </w:numPr>
        <w:spacing w:line="240" w:lineRule="auto"/>
        <w:ind w:left="709" w:hanging="425"/>
        <w:jc w:val="both"/>
        <w:rPr>
          <w:sz w:val="28"/>
          <w:szCs w:val="28"/>
          <w:lang w:val="fr-FR"/>
        </w:rPr>
      </w:pPr>
      <w:r w:rsidRPr="00C54A09">
        <w:rPr>
          <w:i/>
          <w:sz w:val="28"/>
          <w:szCs w:val="28"/>
          <w:lang w:val="fr-BE"/>
        </w:rPr>
        <w:t xml:space="preserve">Prise de décisions concernant les documents de position: </w:t>
      </w:r>
      <w:r w:rsidR="00046A02">
        <w:rPr>
          <w:sz w:val="28"/>
          <w:szCs w:val="28"/>
          <w:lang w:val="fr-BE"/>
        </w:rPr>
        <w:t xml:space="preserve">les </w:t>
      </w:r>
      <w:r w:rsidRPr="00C54A09">
        <w:rPr>
          <w:sz w:val="28"/>
          <w:szCs w:val="28"/>
          <w:lang w:val="fr-BE"/>
        </w:rPr>
        <w:t>r</w:t>
      </w:r>
      <w:r>
        <w:rPr>
          <w:sz w:val="28"/>
          <w:szCs w:val="28"/>
          <w:lang w:val="fr-BE"/>
        </w:rPr>
        <w:t>é</w:t>
      </w:r>
      <w:r w:rsidRPr="00C54A09">
        <w:rPr>
          <w:sz w:val="28"/>
          <w:szCs w:val="28"/>
          <w:lang w:val="fr-BE"/>
        </w:rPr>
        <w:t>unions physiques</w:t>
      </w:r>
      <w:r w:rsidR="00A54A72">
        <w:rPr>
          <w:sz w:val="28"/>
          <w:szCs w:val="28"/>
          <w:lang w:val="fr-BE"/>
        </w:rPr>
        <w:t xml:space="preserve"> du groupe de travail uniquement ne sont pas une approche appropriée pour disposer de processus de prise de décisions inclusifs. Les documents politiques doivent être envoyés à l’ensemble du RSCD et</w:t>
      </w:r>
      <w:r w:rsidR="00055B24">
        <w:rPr>
          <w:sz w:val="28"/>
          <w:szCs w:val="28"/>
          <w:lang w:val="fr-BE"/>
        </w:rPr>
        <w:t xml:space="preserve"> une procédure d’approbation devra être mise en application. Les réunions ad hoc seront de toute façon maintenues, ouvertes à tous les membres intéressés du RSCD, complétant les consultations en ligne et le travail commun de rédaction;</w:t>
      </w:r>
    </w:p>
    <w:p w:rsidR="0092087C" w:rsidRPr="008E2D89" w:rsidRDefault="0092087C" w:rsidP="0092087C">
      <w:pPr>
        <w:pStyle w:val="ListParagraph"/>
        <w:spacing w:line="240" w:lineRule="auto"/>
        <w:ind w:left="709"/>
        <w:jc w:val="both"/>
        <w:rPr>
          <w:sz w:val="28"/>
          <w:szCs w:val="28"/>
          <w:lang w:val="fr-FR"/>
        </w:rPr>
      </w:pPr>
    </w:p>
    <w:p w:rsidR="007B3607" w:rsidRPr="00055B24" w:rsidRDefault="008056E9" w:rsidP="00BF57A1">
      <w:pPr>
        <w:pStyle w:val="ListParagraph"/>
        <w:numPr>
          <w:ilvl w:val="0"/>
          <w:numId w:val="5"/>
        </w:numPr>
        <w:spacing w:line="240" w:lineRule="auto"/>
        <w:ind w:left="1080" w:hanging="425"/>
        <w:jc w:val="both"/>
        <w:rPr>
          <w:sz w:val="28"/>
          <w:szCs w:val="28"/>
          <w:lang w:val="fr-FR"/>
        </w:rPr>
      </w:pPr>
      <w:r w:rsidRPr="00055B24">
        <w:rPr>
          <w:i/>
          <w:sz w:val="28"/>
          <w:szCs w:val="28"/>
          <w:lang w:val="fr-FR"/>
        </w:rPr>
        <w:t>S</w:t>
      </w:r>
      <w:r w:rsidR="00055B24" w:rsidRPr="00055B24">
        <w:rPr>
          <w:i/>
          <w:sz w:val="28"/>
          <w:szCs w:val="28"/>
          <w:lang w:val="fr-FR"/>
        </w:rPr>
        <w:t>éminaires</w:t>
      </w:r>
      <w:r w:rsidRPr="00055B24">
        <w:rPr>
          <w:i/>
          <w:sz w:val="28"/>
          <w:szCs w:val="28"/>
          <w:lang w:val="fr-FR"/>
        </w:rPr>
        <w:t>:</w:t>
      </w:r>
      <w:r w:rsidR="00E16801" w:rsidRPr="00055B24">
        <w:rPr>
          <w:sz w:val="28"/>
          <w:szCs w:val="28"/>
          <w:lang w:val="fr-FR"/>
        </w:rPr>
        <w:t xml:space="preserve"> </w:t>
      </w:r>
      <w:r w:rsidR="00055B24" w:rsidRPr="00055B24">
        <w:rPr>
          <w:sz w:val="28"/>
          <w:szCs w:val="28"/>
          <w:lang w:val="fr-FR"/>
        </w:rPr>
        <w:t xml:space="preserve">les séminaires thématiques devront être utilisés comme points de départ pour les axes de travail sur des questions spécifiques. </w:t>
      </w:r>
    </w:p>
    <w:p w:rsidR="007B3607" w:rsidRPr="008E2D89" w:rsidRDefault="007B3607" w:rsidP="00BF57A1">
      <w:pPr>
        <w:pStyle w:val="ListParagraph"/>
        <w:spacing w:line="240" w:lineRule="auto"/>
        <w:ind w:left="1080"/>
        <w:jc w:val="both"/>
        <w:rPr>
          <w:sz w:val="28"/>
          <w:szCs w:val="28"/>
          <w:lang w:val="fr-FR"/>
        </w:rPr>
      </w:pPr>
    </w:p>
    <w:p w:rsidR="0054107C" w:rsidRPr="008E2D89" w:rsidRDefault="00297164" w:rsidP="00BF57A1">
      <w:pPr>
        <w:pStyle w:val="ListParagraph"/>
        <w:numPr>
          <w:ilvl w:val="1"/>
          <w:numId w:val="3"/>
        </w:numPr>
        <w:spacing w:line="240" w:lineRule="auto"/>
        <w:ind w:left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Stratégie et instruments de communication et de visibilité</w:t>
      </w:r>
      <w:r w:rsidR="0054107C" w:rsidRPr="008E2D89">
        <w:rPr>
          <w:sz w:val="28"/>
          <w:szCs w:val="28"/>
          <w:lang w:val="fr-FR"/>
        </w:rPr>
        <w:t>:</w:t>
      </w:r>
    </w:p>
    <w:p w:rsidR="00DE6506" w:rsidRPr="008E2D89" w:rsidRDefault="00297164" w:rsidP="00BF57A1">
      <w:pPr>
        <w:pStyle w:val="ListParagraph"/>
        <w:numPr>
          <w:ilvl w:val="0"/>
          <w:numId w:val="5"/>
        </w:numPr>
        <w:spacing w:line="240" w:lineRule="auto"/>
        <w:ind w:left="709" w:hanging="425"/>
        <w:jc w:val="both"/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Bulletin d’information</w:t>
      </w:r>
      <w:r w:rsidR="00497CB4" w:rsidRPr="008E2D89">
        <w:rPr>
          <w:sz w:val="28"/>
          <w:szCs w:val="28"/>
          <w:lang w:val="fr-FR"/>
        </w:rPr>
        <w:t xml:space="preserve">: </w:t>
      </w:r>
    </w:p>
    <w:p w:rsidR="00297164" w:rsidRDefault="00297164" w:rsidP="00297164">
      <w:pPr>
        <w:pStyle w:val="ListParagraph"/>
        <w:numPr>
          <w:ilvl w:val="0"/>
          <w:numId w:val="5"/>
        </w:numPr>
        <w:spacing w:line="240" w:lineRule="auto"/>
        <w:ind w:left="1418" w:hanging="284"/>
        <w:jc w:val="both"/>
        <w:rPr>
          <w:sz w:val="28"/>
          <w:szCs w:val="28"/>
          <w:lang w:val="fr-BE"/>
        </w:rPr>
      </w:pPr>
      <w:r w:rsidRPr="00297164">
        <w:rPr>
          <w:sz w:val="28"/>
          <w:szCs w:val="28"/>
          <w:lang w:val="fr-BE"/>
        </w:rPr>
        <w:t>Non seulement aux fins d’information mais également d’analyse. Des év</w:t>
      </w:r>
      <w:r>
        <w:rPr>
          <w:sz w:val="28"/>
          <w:szCs w:val="28"/>
          <w:lang w:val="fr-BE"/>
        </w:rPr>
        <w:t>a</w:t>
      </w:r>
      <w:r w:rsidRPr="00297164">
        <w:rPr>
          <w:sz w:val="28"/>
          <w:szCs w:val="28"/>
          <w:lang w:val="fr-BE"/>
        </w:rPr>
        <w:t xml:space="preserve">luations critiques devront </w:t>
      </w:r>
      <w:r w:rsidR="009C4580">
        <w:rPr>
          <w:sz w:val="28"/>
          <w:szCs w:val="28"/>
          <w:lang w:val="fr-BE"/>
        </w:rPr>
        <w:t>être réalisées sur les activités du RSCD et des événements externes pertinents;</w:t>
      </w:r>
    </w:p>
    <w:p w:rsidR="009C4580" w:rsidRPr="00297164" w:rsidRDefault="009C4580" w:rsidP="00297164">
      <w:pPr>
        <w:pStyle w:val="ListParagraph"/>
        <w:numPr>
          <w:ilvl w:val="0"/>
          <w:numId w:val="5"/>
        </w:numPr>
        <w:spacing w:line="240" w:lineRule="auto"/>
        <w:ind w:left="1418" w:hanging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La diffusion par les structures régionales aux organisations affiliées nationales sur le continent est nécessaire; </w:t>
      </w:r>
    </w:p>
    <w:p w:rsidR="0054107C" w:rsidRPr="008E2D89" w:rsidRDefault="00CC4040" w:rsidP="0092087C">
      <w:pPr>
        <w:pStyle w:val="ListParagraph"/>
        <w:numPr>
          <w:ilvl w:val="0"/>
          <w:numId w:val="5"/>
        </w:numPr>
        <w:spacing w:line="240" w:lineRule="auto"/>
        <w:ind w:left="1418" w:hanging="28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BE"/>
        </w:rPr>
        <w:t xml:space="preserve">Deux </w:t>
      </w:r>
      <w:r w:rsidR="005826C6" w:rsidRPr="00CC4040">
        <w:rPr>
          <w:sz w:val="28"/>
          <w:szCs w:val="28"/>
          <w:lang w:val="fr-BE"/>
        </w:rPr>
        <w:t>page</w:t>
      </w:r>
      <w:r w:rsidRPr="00CC4040">
        <w:rPr>
          <w:sz w:val="28"/>
          <w:szCs w:val="28"/>
          <w:lang w:val="fr-BE"/>
        </w:rPr>
        <w:t>s sur les questions politiques</w:t>
      </w:r>
      <w:r>
        <w:rPr>
          <w:sz w:val="28"/>
          <w:szCs w:val="28"/>
          <w:lang w:val="fr-BE"/>
        </w:rPr>
        <w:t>: très utiles</w:t>
      </w:r>
      <w:r w:rsidR="00CE5D9D">
        <w:rPr>
          <w:sz w:val="28"/>
          <w:szCs w:val="28"/>
          <w:lang w:val="fr-FR"/>
        </w:rPr>
        <w:t>;</w:t>
      </w:r>
      <w:r w:rsidR="00497CB4" w:rsidRPr="008E2D89">
        <w:rPr>
          <w:sz w:val="28"/>
          <w:szCs w:val="28"/>
          <w:lang w:val="fr-FR"/>
        </w:rPr>
        <w:t xml:space="preserve"> </w:t>
      </w:r>
    </w:p>
    <w:p w:rsidR="00BC2E5E" w:rsidRPr="008E2D89" w:rsidRDefault="00CC4040" w:rsidP="00BF57A1">
      <w:pPr>
        <w:pStyle w:val="ListParagraph"/>
        <w:numPr>
          <w:ilvl w:val="0"/>
          <w:numId w:val="5"/>
        </w:numPr>
        <w:spacing w:line="240" w:lineRule="auto"/>
        <w:ind w:left="709" w:hanging="425"/>
        <w:jc w:val="both"/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Documents sur le développement</w:t>
      </w:r>
      <w:r w:rsidR="00497CB4" w:rsidRPr="008E2D89">
        <w:rPr>
          <w:i/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 xml:space="preserve"> l’élaboration occasionnelle est</w:t>
      </w:r>
      <w:r w:rsidR="00046A02">
        <w:rPr>
          <w:sz w:val="28"/>
          <w:szCs w:val="28"/>
          <w:lang w:val="fr-FR"/>
        </w:rPr>
        <w:t xml:space="preserve"> appropriée;</w:t>
      </w:r>
      <w:r w:rsidR="006C4485" w:rsidRPr="008E2D89">
        <w:rPr>
          <w:sz w:val="28"/>
          <w:szCs w:val="28"/>
          <w:lang w:val="fr-FR"/>
        </w:rPr>
        <w:t xml:space="preserve"> </w:t>
      </w:r>
    </w:p>
    <w:p w:rsidR="00CE5D9D" w:rsidRPr="00CE5D9D" w:rsidRDefault="00CE5D9D" w:rsidP="0092087C">
      <w:pPr>
        <w:pStyle w:val="ListParagraph"/>
        <w:numPr>
          <w:ilvl w:val="0"/>
          <w:numId w:val="5"/>
        </w:numPr>
        <w:spacing w:line="240" w:lineRule="auto"/>
        <w:ind w:left="1418" w:hanging="284"/>
        <w:jc w:val="both"/>
        <w:rPr>
          <w:sz w:val="28"/>
          <w:szCs w:val="28"/>
          <w:lang w:val="fr-BE"/>
        </w:rPr>
      </w:pPr>
      <w:r w:rsidRPr="00CE5D9D">
        <w:rPr>
          <w:sz w:val="28"/>
          <w:szCs w:val="28"/>
          <w:lang w:val="fr-BE"/>
        </w:rPr>
        <w:lastRenderedPageBreak/>
        <w:t>Une</w:t>
      </w:r>
      <w:r w:rsidR="00956CB7" w:rsidRPr="00CE5D9D">
        <w:rPr>
          <w:sz w:val="28"/>
          <w:szCs w:val="28"/>
          <w:lang w:val="fr-BE"/>
        </w:rPr>
        <w:t xml:space="preserve"> publication </w:t>
      </w:r>
      <w:r w:rsidRPr="00CE5D9D">
        <w:rPr>
          <w:sz w:val="28"/>
          <w:szCs w:val="28"/>
          <w:lang w:val="fr-BE"/>
        </w:rPr>
        <w:t>sur l’é</w:t>
      </w:r>
      <w:r w:rsidR="006C4485" w:rsidRPr="00CE5D9D">
        <w:rPr>
          <w:sz w:val="28"/>
          <w:szCs w:val="28"/>
          <w:lang w:val="fr-BE"/>
        </w:rPr>
        <w:t>valuation/histo</w:t>
      </w:r>
      <w:r w:rsidRPr="00CE5D9D">
        <w:rPr>
          <w:sz w:val="28"/>
          <w:szCs w:val="28"/>
          <w:lang w:val="fr-BE"/>
        </w:rPr>
        <w:t xml:space="preserve">ire de l’engagement </w:t>
      </w:r>
      <w:r>
        <w:rPr>
          <w:sz w:val="28"/>
          <w:szCs w:val="28"/>
          <w:lang w:val="fr-BE"/>
        </w:rPr>
        <w:t>syndical dans le programme de l’efficacité du développement et principaux messages;</w:t>
      </w:r>
    </w:p>
    <w:p w:rsidR="00CE5D9D" w:rsidRPr="00CE5D9D" w:rsidRDefault="00CE5D9D" w:rsidP="00BF57A1">
      <w:pPr>
        <w:pStyle w:val="ListParagraph"/>
        <w:numPr>
          <w:ilvl w:val="0"/>
          <w:numId w:val="5"/>
        </w:numPr>
        <w:spacing w:line="240" w:lineRule="auto"/>
        <w:ind w:left="709" w:hanging="425"/>
        <w:jc w:val="both"/>
        <w:rPr>
          <w:sz w:val="28"/>
          <w:szCs w:val="28"/>
          <w:lang w:val="fr-BE"/>
        </w:rPr>
      </w:pPr>
      <w:r w:rsidRPr="00CE5D9D">
        <w:rPr>
          <w:i/>
          <w:sz w:val="28"/>
          <w:szCs w:val="28"/>
          <w:lang w:val="fr-BE"/>
        </w:rPr>
        <w:t>Base de données sur les projets:</w:t>
      </w:r>
      <w:r w:rsidR="00497CB4" w:rsidRPr="00CE5D9D">
        <w:rPr>
          <w:sz w:val="28"/>
          <w:szCs w:val="28"/>
          <w:lang w:val="fr-BE"/>
        </w:rPr>
        <w:t xml:space="preserve"> </w:t>
      </w:r>
      <w:r w:rsidRPr="00CE5D9D">
        <w:rPr>
          <w:sz w:val="28"/>
          <w:szCs w:val="28"/>
          <w:lang w:val="fr-BE"/>
        </w:rPr>
        <w:t xml:space="preserve">nous devons adopter des approches </w:t>
      </w:r>
      <w:r w:rsidR="00A35F1A">
        <w:rPr>
          <w:sz w:val="28"/>
          <w:szCs w:val="28"/>
          <w:lang w:val="fr-BE"/>
        </w:rPr>
        <w:t>individualisées en vue d’un suivi;</w:t>
      </w:r>
    </w:p>
    <w:p w:rsidR="00A35F1A" w:rsidRPr="00A35F1A" w:rsidRDefault="00A35F1A" w:rsidP="00BF57A1">
      <w:pPr>
        <w:pStyle w:val="ListParagraph"/>
        <w:numPr>
          <w:ilvl w:val="0"/>
          <w:numId w:val="5"/>
        </w:numPr>
        <w:spacing w:line="240" w:lineRule="auto"/>
        <w:ind w:left="709" w:hanging="425"/>
        <w:jc w:val="both"/>
        <w:rPr>
          <w:sz w:val="28"/>
          <w:szCs w:val="28"/>
          <w:lang w:val="fr-BE"/>
        </w:rPr>
      </w:pPr>
      <w:r w:rsidRPr="00A35F1A">
        <w:rPr>
          <w:i/>
          <w:sz w:val="28"/>
          <w:szCs w:val="28"/>
          <w:lang w:val="fr-BE"/>
        </w:rPr>
        <w:t>Autres</w:t>
      </w:r>
      <w:r w:rsidR="0054107C" w:rsidRPr="00A35F1A">
        <w:rPr>
          <w:i/>
          <w:sz w:val="28"/>
          <w:szCs w:val="28"/>
          <w:lang w:val="fr-BE"/>
        </w:rPr>
        <w:t xml:space="preserve"> instruments</w:t>
      </w:r>
      <w:r w:rsidR="0054107C" w:rsidRPr="00A35F1A">
        <w:rPr>
          <w:sz w:val="28"/>
          <w:szCs w:val="28"/>
          <w:lang w:val="fr-BE"/>
        </w:rPr>
        <w:t xml:space="preserve"> (</w:t>
      </w:r>
      <w:r w:rsidR="00284687" w:rsidRPr="00A35F1A">
        <w:rPr>
          <w:sz w:val="28"/>
          <w:szCs w:val="28"/>
          <w:lang w:val="fr-BE"/>
        </w:rPr>
        <w:t>n</w:t>
      </w:r>
      <w:r w:rsidRPr="00A35F1A">
        <w:rPr>
          <w:sz w:val="28"/>
          <w:szCs w:val="28"/>
          <w:lang w:val="fr-BE"/>
        </w:rPr>
        <w:t>ouvelles brochures</w:t>
      </w:r>
      <w:r w:rsidR="00284687" w:rsidRPr="00A35F1A">
        <w:rPr>
          <w:sz w:val="28"/>
          <w:szCs w:val="28"/>
          <w:lang w:val="fr-BE"/>
        </w:rPr>
        <w:t>, n</w:t>
      </w:r>
      <w:r w:rsidRPr="00A35F1A">
        <w:rPr>
          <w:sz w:val="28"/>
          <w:szCs w:val="28"/>
          <w:lang w:val="fr-BE"/>
        </w:rPr>
        <w:t>ouveau lo</w:t>
      </w:r>
      <w:r w:rsidR="00284687" w:rsidRPr="00A35F1A">
        <w:rPr>
          <w:sz w:val="28"/>
          <w:szCs w:val="28"/>
          <w:lang w:val="fr-BE"/>
        </w:rPr>
        <w:t>go</w:t>
      </w:r>
      <w:r w:rsidR="00956CB7" w:rsidRPr="00A35F1A">
        <w:rPr>
          <w:sz w:val="28"/>
          <w:szCs w:val="28"/>
          <w:lang w:val="fr-BE"/>
        </w:rPr>
        <w:t xml:space="preserve"> (?)</w:t>
      </w:r>
      <w:r w:rsidR="00284687" w:rsidRPr="00A35F1A">
        <w:rPr>
          <w:sz w:val="28"/>
          <w:szCs w:val="28"/>
          <w:lang w:val="fr-BE"/>
        </w:rPr>
        <w:t xml:space="preserve">, </w:t>
      </w:r>
      <w:r w:rsidRPr="00A35F1A">
        <w:rPr>
          <w:sz w:val="28"/>
          <w:szCs w:val="28"/>
          <w:lang w:val="fr-BE"/>
        </w:rPr>
        <w:t>rapport des résultats du RSCD distribué à un public plus large;</w:t>
      </w:r>
      <w:r>
        <w:rPr>
          <w:sz w:val="28"/>
          <w:szCs w:val="28"/>
          <w:lang w:val="fr-BE"/>
        </w:rPr>
        <w:t xml:space="preserve"> probablement un vidéo clip sur le travail du réseau);</w:t>
      </w:r>
    </w:p>
    <w:p w:rsidR="00B040DF" w:rsidRPr="008E2D89" w:rsidRDefault="00A35F1A" w:rsidP="00BF57A1">
      <w:pPr>
        <w:pStyle w:val="ListParagraph"/>
        <w:numPr>
          <w:ilvl w:val="0"/>
          <w:numId w:val="5"/>
        </w:numPr>
        <w:spacing w:line="240" w:lineRule="auto"/>
        <w:ind w:left="709" w:hanging="425"/>
        <w:jc w:val="both"/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Site web</w:t>
      </w:r>
      <w:r w:rsidR="00B040DF" w:rsidRPr="008E2D89">
        <w:rPr>
          <w:i/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 xml:space="preserve"> ajouter le calendrier d’activités.</w:t>
      </w:r>
      <w:r w:rsidR="00B040DF" w:rsidRPr="008E2D89">
        <w:rPr>
          <w:sz w:val="28"/>
          <w:szCs w:val="28"/>
          <w:lang w:val="fr-FR"/>
        </w:rPr>
        <w:t xml:space="preserve"> </w:t>
      </w:r>
    </w:p>
    <w:p w:rsidR="00B040DF" w:rsidRPr="008E2D89" w:rsidRDefault="00B040DF" w:rsidP="00B040DF">
      <w:pPr>
        <w:pStyle w:val="ListParagraph"/>
        <w:spacing w:line="240" w:lineRule="auto"/>
        <w:ind w:left="1800"/>
        <w:jc w:val="both"/>
        <w:rPr>
          <w:sz w:val="28"/>
          <w:szCs w:val="28"/>
          <w:lang w:val="fr-FR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B040DF" w:rsidRPr="008E2D89" w:rsidTr="00B040DF">
        <w:tc>
          <w:tcPr>
            <w:tcW w:w="8647" w:type="dxa"/>
          </w:tcPr>
          <w:p w:rsidR="00B040DF" w:rsidRPr="008E2D89" w:rsidRDefault="00B040DF" w:rsidP="00A35F1A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  <w:r w:rsidRPr="008E2D89">
              <w:rPr>
                <w:sz w:val="28"/>
                <w:szCs w:val="28"/>
                <w:lang w:val="fr-FR"/>
              </w:rPr>
              <w:t xml:space="preserve">POINTS </w:t>
            </w:r>
            <w:r w:rsidR="00A35F1A">
              <w:rPr>
                <w:sz w:val="28"/>
                <w:szCs w:val="28"/>
                <w:lang w:val="fr-FR"/>
              </w:rPr>
              <w:t>D’</w:t>
            </w:r>
            <w:r w:rsidRPr="008E2D89">
              <w:rPr>
                <w:sz w:val="28"/>
                <w:szCs w:val="28"/>
                <w:lang w:val="fr-FR"/>
              </w:rPr>
              <w:t>ACTION</w:t>
            </w:r>
          </w:p>
        </w:tc>
      </w:tr>
      <w:tr w:rsidR="00B040DF" w:rsidRPr="008E2D89" w:rsidTr="00B040DF">
        <w:tc>
          <w:tcPr>
            <w:tcW w:w="8647" w:type="dxa"/>
          </w:tcPr>
          <w:p w:rsidR="00B040DF" w:rsidRPr="000F71E3" w:rsidRDefault="000F71E3" w:rsidP="00B040D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FR"/>
              </w:rPr>
              <w:t xml:space="preserve">Présenter le document révisé sur le mandat et la gouvernance à la réunion générale du RSCD en avril </w:t>
            </w:r>
          </w:p>
          <w:p w:rsidR="000F71E3" w:rsidRDefault="000F71E3" w:rsidP="00B040D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fr-BE"/>
              </w:rPr>
            </w:pPr>
            <w:r w:rsidRPr="000F71E3">
              <w:rPr>
                <w:sz w:val="28"/>
                <w:szCs w:val="28"/>
                <w:lang w:val="fr-BE"/>
              </w:rPr>
              <w:t>Présenter le projet de rapport sur les résultats du RSCD pour le public en général à</w:t>
            </w:r>
            <w:r>
              <w:rPr>
                <w:sz w:val="28"/>
                <w:szCs w:val="28"/>
                <w:lang w:val="fr-BE"/>
              </w:rPr>
              <w:t xml:space="preserve"> </w:t>
            </w:r>
            <w:r w:rsidRPr="000F71E3">
              <w:rPr>
                <w:sz w:val="28"/>
                <w:szCs w:val="28"/>
                <w:lang w:val="fr-BE"/>
              </w:rPr>
              <w:t>la ré</w:t>
            </w:r>
            <w:r>
              <w:rPr>
                <w:sz w:val="28"/>
                <w:szCs w:val="28"/>
                <w:lang w:val="fr-BE"/>
              </w:rPr>
              <w:t>union générale du RSCD en avril</w:t>
            </w:r>
          </w:p>
          <w:p w:rsidR="000F71E3" w:rsidRDefault="000F71E3" w:rsidP="00B040D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 xml:space="preserve">Ajouter le calendrier d’activités sur le site web </w:t>
            </w:r>
            <w:r w:rsidR="007E4D6B">
              <w:rPr>
                <w:sz w:val="28"/>
                <w:szCs w:val="28"/>
                <w:lang w:val="fr-BE"/>
              </w:rPr>
              <w:t>et rechercher un style plus communicatif (notamment un programme commenté)</w:t>
            </w:r>
          </w:p>
          <w:p w:rsidR="00B040DF" w:rsidRPr="008E2D89" w:rsidRDefault="00B040DF" w:rsidP="00046A02">
            <w:pPr>
              <w:pStyle w:val="ListParagraph"/>
              <w:rPr>
                <w:sz w:val="28"/>
                <w:szCs w:val="28"/>
                <w:lang w:val="fr-FR"/>
              </w:rPr>
            </w:pPr>
          </w:p>
        </w:tc>
      </w:tr>
    </w:tbl>
    <w:p w:rsidR="005C5496" w:rsidRPr="008E2D89" w:rsidRDefault="005C5496" w:rsidP="00F87374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</w:p>
    <w:p w:rsidR="00C4784D" w:rsidRPr="008E2D89" w:rsidRDefault="00A7113B" w:rsidP="00F87374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  <w:r w:rsidRP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30 </w:t>
      </w:r>
      <w:r w:rsidR="007E4D6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janvier</w:t>
      </w:r>
      <w:r w:rsidR="00F87374" w:rsidRP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: </w:t>
      </w:r>
    </w:p>
    <w:p w:rsidR="00BC2E5E" w:rsidRPr="008E2D89" w:rsidRDefault="00BC2E5E" w:rsidP="00EF76A9">
      <w:pPr>
        <w:spacing w:line="240" w:lineRule="auto"/>
        <w:rPr>
          <w:rFonts w:asciiTheme="majorHAnsi" w:eastAsiaTheme="majorEastAsia" w:hAnsiTheme="majorHAnsi" w:cstheme="majorBidi"/>
          <w:b/>
          <w:bCs/>
          <w:sz w:val="24"/>
          <w:szCs w:val="32"/>
          <w:lang w:val="fr-FR"/>
        </w:rPr>
      </w:pPr>
      <w:r w:rsidRPr="008E2D89">
        <w:rPr>
          <w:rFonts w:asciiTheme="majorHAnsi" w:eastAsiaTheme="majorEastAsia" w:hAnsiTheme="majorHAnsi" w:cstheme="majorBidi"/>
          <w:b/>
          <w:bCs/>
          <w:sz w:val="24"/>
          <w:szCs w:val="32"/>
          <w:lang w:val="fr-FR"/>
        </w:rPr>
        <w:t>09</w:t>
      </w:r>
      <w:r w:rsidR="007E4D6B">
        <w:rPr>
          <w:rFonts w:asciiTheme="majorHAnsi" w:eastAsiaTheme="majorEastAsia" w:hAnsiTheme="majorHAnsi" w:cstheme="majorBidi"/>
          <w:b/>
          <w:bCs/>
          <w:sz w:val="24"/>
          <w:szCs w:val="32"/>
          <w:lang w:val="fr-FR"/>
        </w:rPr>
        <w:t>h</w:t>
      </w:r>
      <w:r w:rsidRPr="008E2D89">
        <w:rPr>
          <w:rFonts w:asciiTheme="majorHAnsi" w:eastAsiaTheme="majorEastAsia" w:hAnsiTheme="majorHAnsi" w:cstheme="majorBidi"/>
          <w:b/>
          <w:bCs/>
          <w:sz w:val="24"/>
          <w:szCs w:val="32"/>
          <w:lang w:val="fr-FR"/>
        </w:rPr>
        <w:t>00h-12</w:t>
      </w:r>
      <w:r w:rsidR="007E4D6B">
        <w:rPr>
          <w:rFonts w:asciiTheme="majorHAnsi" w:eastAsiaTheme="majorEastAsia" w:hAnsiTheme="majorHAnsi" w:cstheme="majorBidi"/>
          <w:b/>
          <w:bCs/>
          <w:sz w:val="24"/>
          <w:szCs w:val="32"/>
          <w:lang w:val="fr-FR"/>
        </w:rPr>
        <w:t>h</w:t>
      </w:r>
      <w:r w:rsidRPr="008E2D89">
        <w:rPr>
          <w:rFonts w:asciiTheme="majorHAnsi" w:eastAsiaTheme="majorEastAsia" w:hAnsiTheme="majorHAnsi" w:cstheme="majorBidi"/>
          <w:b/>
          <w:bCs/>
          <w:sz w:val="24"/>
          <w:szCs w:val="32"/>
          <w:lang w:val="fr-FR"/>
        </w:rPr>
        <w:t>30</w:t>
      </w:r>
    </w:p>
    <w:p w:rsidR="0054107C" w:rsidRPr="008E2D89" w:rsidRDefault="007E4D6B" w:rsidP="00EF76A9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Planification future du RSCD</w:t>
      </w:r>
      <w:r w:rsidR="00F87374" w:rsidRPr="008E2D89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 </w:t>
      </w:r>
    </w:p>
    <w:p w:rsidR="0054107C" w:rsidRPr="008E2D89" w:rsidRDefault="0054107C" w:rsidP="00C4784D">
      <w:pPr>
        <w:spacing w:line="240" w:lineRule="auto"/>
        <w:rPr>
          <w:i/>
          <w:sz w:val="28"/>
          <w:szCs w:val="28"/>
          <w:lang w:val="fr-FR"/>
        </w:rPr>
      </w:pPr>
      <w:r w:rsidRPr="008E2D89">
        <w:rPr>
          <w:i/>
          <w:sz w:val="28"/>
          <w:szCs w:val="28"/>
          <w:lang w:val="fr-FR"/>
        </w:rPr>
        <w:t xml:space="preserve">Concept </w:t>
      </w:r>
      <w:r w:rsidR="007E4D6B">
        <w:rPr>
          <w:i/>
          <w:sz w:val="28"/>
          <w:szCs w:val="28"/>
          <w:lang w:val="fr-FR"/>
        </w:rPr>
        <w:t xml:space="preserve">et activités pour </w:t>
      </w:r>
      <w:r w:rsidRPr="008E2D89">
        <w:rPr>
          <w:i/>
          <w:sz w:val="28"/>
          <w:szCs w:val="28"/>
          <w:lang w:val="fr-FR"/>
        </w:rPr>
        <w:t>2013-2016</w:t>
      </w:r>
    </w:p>
    <w:p w:rsidR="0054107C" w:rsidRPr="008E2D89" w:rsidRDefault="007E4D6B" w:rsidP="00BF57A1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Renforcement des capacités</w:t>
      </w:r>
    </w:p>
    <w:p w:rsidR="009C20A3" w:rsidRPr="007E4D6B" w:rsidDel="00BC2E5E" w:rsidRDefault="007E4D6B" w:rsidP="009C20A3">
      <w:pPr>
        <w:pStyle w:val="ListParagraph"/>
        <w:spacing w:line="240" w:lineRule="auto"/>
        <w:ind w:left="108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Cet objectif sera débattu avec les régions dans le cadre de la campagne globale « d’organisation » de la CSI</w:t>
      </w:r>
      <w:r w:rsidR="009C20A3" w:rsidRPr="007E4D6B">
        <w:rPr>
          <w:sz w:val="28"/>
          <w:szCs w:val="28"/>
          <w:lang w:val="fr-FR"/>
        </w:rPr>
        <w:t>.</w:t>
      </w:r>
    </w:p>
    <w:p w:rsidR="00581555" w:rsidRPr="007E4D6B" w:rsidRDefault="00581555" w:rsidP="00581555">
      <w:pPr>
        <w:pStyle w:val="ListParagraph"/>
        <w:spacing w:line="240" w:lineRule="auto"/>
        <w:ind w:left="1800"/>
        <w:rPr>
          <w:sz w:val="28"/>
          <w:szCs w:val="28"/>
          <w:lang w:val="fr-FR"/>
        </w:rPr>
      </w:pPr>
    </w:p>
    <w:p w:rsidR="009465B2" w:rsidRPr="008E2D89" w:rsidRDefault="00D70BFD" w:rsidP="00BF57A1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Plaidoyer et programme de développement international </w:t>
      </w:r>
      <w:r w:rsidR="009465B2" w:rsidRPr="008E2D89">
        <w:rPr>
          <w:lang w:val="fr-FR"/>
        </w:rPr>
        <w:t xml:space="preserve"> </w:t>
      </w:r>
      <w:r>
        <w:rPr>
          <w:sz w:val="28"/>
          <w:szCs w:val="28"/>
          <w:highlight w:val="yellow"/>
          <w:lang w:val="fr-FR"/>
        </w:rPr>
        <w:t>VOIR</w:t>
      </w:r>
      <w:r w:rsidR="009465B2" w:rsidRPr="008E2D89">
        <w:rPr>
          <w:sz w:val="28"/>
          <w:szCs w:val="28"/>
          <w:highlight w:val="yellow"/>
          <w:lang w:val="fr-FR"/>
        </w:rPr>
        <w:t xml:space="preserve"> DOCUMENT</w:t>
      </w:r>
    </w:p>
    <w:p w:rsidR="0028236F" w:rsidRPr="008E2D89" w:rsidRDefault="00D70BFD" w:rsidP="00BF57A1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Ajouter la composante de l’UE:</w:t>
      </w:r>
      <w:r w:rsidR="0028236F" w:rsidRPr="008E2D8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Forum politique pour le développement </w:t>
      </w:r>
      <w:r w:rsidR="0028236F" w:rsidRPr="008E2D89">
        <w:rPr>
          <w:sz w:val="28"/>
          <w:szCs w:val="28"/>
          <w:lang w:val="fr-FR"/>
        </w:rPr>
        <w:t xml:space="preserve">= </w:t>
      </w:r>
      <w:r>
        <w:rPr>
          <w:sz w:val="28"/>
          <w:szCs w:val="28"/>
          <w:lang w:val="fr-FR"/>
        </w:rPr>
        <w:t>secteur privé</w:t>
      </w:r>
      <w:r w:rsidR="00BC2E5E" w:rsidRPr="008E2D89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 xml:space="preserve">on constate des chevauchements avec d’autres domaines de travail </w:t>
      </w:r>
      <w:r w:rsidR="00BC2E5E" w:rsidRPr="008E2D89">
        <w:rPr>
          <w:sz w:val="28"/>
          <w:szCs w:val="28"/>
          <w:lang w:val="fr-FR"/>
        </w:rPr>
        <w:t xml:space="preserve">(ESP) </w:t>
      </w:r>
      <w:r w:rsidR="005D4592">
        <w:rPr>
          <w:sz w:val="28"/>
          <w:szCs w:val="28"/>
          <w:lang w:val="fr-FR"/>
        </w:rPr>
        <w:t>en matière d’i</w:t>
      </w:r>
      <w:r w:rsidR="00BC2E5E" w:rsidRPr="008E2D89">
        <w:rPr>
          <w:sz w:val="28"/>
          <w:szCs w:val="28"/>
          <w:u w:val="single"/>
          <w:lang w:val="fr-FR"/>
        </w:rPr>
        <w:t>nvest</w:t>
      </w:r>
      <w:r w:rsidR="005D4592">
        <w:rPr>
          <w:sz w:val="28"/>
          <w:szCs w:val="28"/>
          <w:u w:val="single"/>
          <w:lang w:val="fr-FR"/>
        </w:rPr>
        <w:t>isse</w:t>
      </w:r>
      <w:r w:rsidR="00BC2E5E" w:rsidRPr="008E2D89">
        <w:rPr>
          <w:sz w:val="28"/>
          <w:szCs w:val="28"/>
          <w:u w:val="single"/>
          <w:lang w:val="fr-FR"/>
        </w:rPr>
        <w:t xml:space="preserve">ment, </w:t>
      </w:r>
      <w:r w:rsidR="005D4592">
        <w:rPr>
          <w:sz w:val="28"/>
          <w:szCs w:val="28"/>
          <w:u w:val="single"/>
          <w:lang w:val="fr-FR"/>
        </w:rPr>
        <w:t>de commerce</w:t>
      </w:r>
      <w:r w:rsidR="00BC2E5E" w:rsidRPr="008E2D89">
        <w:rPr>
          <w:sz w:val="28"/>
          <w:szCs w:val="28"/>
          <w:u w:val="single"/>
          <w:lang w:val="fr-FR"/>
        </w:rPr>
        <w:t>, …</w:t>
      </w:r>
      <w:r w:rsidR="00F93FEC" w:rsidRPr="008E2D89">
        <w:rPr>
          <w:sz w:val="28"/>
          <w:szCs w:val="28"/>
          <w:lang w:val="fr-FR"/>
        </w:rPr>
        <w:t xml:space="preserve">; </w:t>
      </w:r>
      <w:r w:rsidR="005D4592">
        <w:rPr>
          <w:sz w:val="28"/>
          <w:szCs w:val="28"/>
          <w:lang w:val="fr-FR"/>
        </w:rPr>
        <w:t xml:space="preserve">lien avec </w:t>
      </w:r>
      <w:r w:rsidR="005D4592" w:rsidRPr="00046A02">
        <w:rPr>
          <w:sz w:val="28"/>
          <w:szCs w:val="28"/>
          <w:u w:val="single"/>
          <w:lang w:val="fr-FR"/>
        </w:rPr>
        <w:t>l’approche ba</w:t>
      </w:r>
      <w:r w:rsidR="007F4D00" w:rsidRPr="00046A02">
        <w:rPr>
          <w:sz w:val="28"/>
          <w:szCs w:val="28"/>
          <w:u w:val="single"/>
          <w:lang w:val="fr-FR"/>
        </w:rPr>
        <w:t>sée sur les droits humains et le</w:t>
      </w:r>
      <w:r w:rsidR="005D4592" w:rsidRPr="00046A02">
        <w:rPr>
          <w:sz w:val="28"/>
          <w:szCs w:val="28"/>
          <w:u w:val="single"/>
          <w:lang w:val="fr-FR"/>
        </w:rPr>
        <w:t xml:space="preserve"> déliement de l’aide</w:t>
      </w:r>
      <w:r w:rsidR="005D4592">
        <w:rPr>
          <w:sz w:val="28"/>
          <w:szCs w:val="28"/>
          <w:lang w:val="fr-FR"/>
        </w:rPr>
        <w:t xml:space="preserve"> en termes de critères et d’instruments pour appuyer les projets de développement.</w:t>
      </w:r>
      <w:r w:rsidR="00066A9E" w:rsidRPr="008E2D89">
        <w:rPr>
          <w:sz w:val="28"/>
          <w:szCs w:val="28"/>
          <w:lang w:val="fr-FR"/>
        </w:rPr>
        <w:t xml:space="preserve">  </w:t>
      </w:r>
      <w:r w:rsidR="00326635" w:rsidRPr="008E2D89">
        <w:rPr>
          <w:sz w:val="28"/>
          <w:szCs w:val="28"/>
          <w:lang w:val="fr-FR"/>
        </w:rPr>
        <w:t xml:space="preserve"> </w:t>
      </w:r>
    </w:p>
    <w:p w:rsidR="005D4592" w:rsidRPr="005D4592" w:rsidRDefault="005D4592" w:rsidP="00BC2E5E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  <w:lang w:val="fr-BE"/>
        </w:rPr>
      </w:pPr>
      <w:r w:rsidRPr="005D4592">
        <w:rPr>
          <w:sz w:val="28"/>
          <w:szCs w:val="28"/>
          <w:lang w:val="fr-BE"/>
        </w:rPr>
        <w:t>Mettre sur pied des réseaux régionaux de développement (peuvent</w:t>
      </w:r>
      <w:r>
        <w:rPr>
          <w:sz w:val="28"/>
          <w:szCs w:val="28"/>
          <w:lang w:val="fr-BE"/>
        </w:rPr>
        <w:t xml:space="preserve"> </w:t>
      </w:r>
      <w:r w:rsidR="000641E7">
        <w:rPr>
          <w:sz w:val="28"/>
          <w:szCs w:val="28"/>
          <w:lang w:val="fr-BE"/>
        </w:rPr>
        <w:t>être inclus dans la composante d</w:t>
      </w:r>
      <w:r w:rsidR="007F4D00">
        <w:rPr>
          <w:sz w:val="28"/>
          <w:szCs w:val="28"/>
          <w:lang w:val="fr-BE"/>
        </w:rPr>
        <w:t>u</w:t>
      </w:r>
      <w:r w:rsidR="000641E7">
        <w:rPr>
          <w:sz w:val="28"/>
          <w:szCs w:val="28"/>
          <w:lang w:val="fr-BE"/>
        </w:rPr>
        <w:t xml:space="preserve"> plaidoyer – objectif </w:t>
      </w:r>
      <w:r w:rsidR="0085160D">
        <w:rPr>
          <w:sz w:val="28"/>
          <w:szCs w:val="28"/>
          <w:lang w:val="fr-BE"/>
        </w:rPr>
        <w:t>2, et</w:t>
      </w:r>
      <w:r w:rsidR="000641E7">
        <w:rPr>
          <w:sz w:val="28"/>
          <w:szCs w:val="28"/>
          <w:lang w:val="fr-BE"/>
        </w:rPr>
        <w:t xml:space="preserve"> les </w:t>
      </w:r>
      <w:r w:rsidR="000641E7">
        <w:rPr>
          <w:sz w:val="28"/>
          <w:szCs w:val="28"/>
          <w:lang w:val="fr-BE"/>
        </w:rPr>
        <w:lastRenderedPageBreak/>
        <w:t xml:space="preserve">ressources seront disponibles </w:t>
      </w:r>
      <w:r w:rsidR="007F4D00">
        <w:rPr>
          <w:sz w:val="28"/>
          <w:szCs w:val="28"/>
          <w:lang w:val="fr-BE"/>
        </w:rPr>
        <w:t>dans le cadre de la CPDE (plateforme d’OSC pour l’efficacité du développement)</w:t>
      </w:r>
      <w:r w:rsidR="0085160D">
        <w:rPr>
          <w:sz w:val="28"/>
          <w:szCs w:val="28"/>
          <w:lang w:val="fr-BE"/>
        </w:rPr>
        <w:t>.</w:t>
      </w:r>
    </w:p>
    <w:p w:rsidR="00026026" w:rsidRPr="007F4D00" w:rsidRDefault="00026026" w:rsidP="0028236F">
      <w:pPr>
        <w:pStyle w:val="ListParagraph"/>
        <w:spacing w:line="240" w:lineRule="auto"/>
        <w:ind w:left="1800"/>
        <w:rPr>
          <w:sz w:val="28"/>
          <w:szCs w:val="28"/>
          <w:lang w:val="fr-BE"/>
        </w:rPr>
      </w:pPr>
    </w:p>
    <w:p w:rsidR="005C5496" w:rsidRPr="008E2D89" w:rsidRDefault="007F4D00" w:rsidP="00BF57A1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Partenariats syndicaux </w:t>
      </w:r>
      <w:r w:rsidR="0085160D">
        <w:rPr>
          <w:sz w:val="28"/>
          <w:szCs w:val="28"/>
          <w:highlight w:val="yellow"/>
          <w:lang w:val="fr-FR"/>
        </w:rPr>
        <w:t xml:space="preserve">VOIR </w:t>
      </w:r>
      <w:r w:rsidR="009465B2" w:rsidRPr="008E2D89">
        <w:rPr>
          <w:sz w:val="28"/>
          <w:szCs w:val="28"/>
          <w:highlight w:val="yellow"/>
          <w:lang w:val="fr-FR"/>
        </w:rPr>
        <w:t>DOCUMENT</w:t>
      </w:r>
    </w:p>
    <w:p w:rsidR="0085160D" w:rsidRDefault="00B563B5" w:rsidP="00B563B5">
      <w:pPr>
        <w:spacing w:line="240" w:lineRule="auto"/>
        <w:ind w:left="709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</w:t>
      </w:r>
      <w:r w:rsidR="0085160D">
        <w:rPr>
          <w:sz w:val="28"/>
          <w:szCs w:val="28"/>
          <w:lang w:val="fr-FR"/>
        </w:rPr>
        <w:t>es organisations du</w:t>
      </w:r>
      <w:r>
        <w:rPr>
          <w:sz w:val="28"/>
          <w:szCs w:val="28"/>
          <w:lang w:val="fr-FR"/>
        </w:rPr>
        <w:t> </w:t>
      </w:r>
      <w:r w:rsidR="00DB05F7">
        <w:rPr>
          <w:sz w:val="28"/>
          <w:szCs w:val="28"/>
          <w:lang w:val="fr-FR"/>
        </w:rPr>
        <w:t>Nord font de plus en plus l’objet de pressions exercées par les donateurs pour qu’elles présentent les résultats et l’</w:t>
      </w:r>
      <w:r w:rsidR="00C5781D">
        <w:rPr>
          <w:sz w:val="28"/>
          <w:szCs w:val="28"/>
          <w:lang w:val="fr-FR"/>
        </w:rPr>
        <w:t xml:space="preserve">assignation des fonds. De même, les organisations du Sud se voient imposer de nombreuses et différentes conditionnalités par les gouvernements et syndicats donateurs. Cet axe de travail </w:t>
      </w:r>
      <w:r w:rsidR="00E67F77">
        <w:rPr>
          <w:sz w:val="28"/>
          <w:szCs w:val="28"/>
          <w:lang w:val="fr-FR"/>
        </w:rPr>
        <w:t xml:space="preserve"> porte sur ce type de questions. Remarques: la présentation de résultats est cruciale pour l’organisation syndicale par rapport à ses destinataires dans l’UE. Ce point doit être davantage souligné dans les résultats </w:t>
      </w:r>
      <w:r w:rsidR="00FC0583">
        <w:rPr>
          <w:sz w:val="28"/>
          <w:szCs w:val="28"/>
          <w:lang w:val="fr-FR"/>
        </w:rPr>
        <w:t xml:space="preserve">dans le prochain cadre logique du projet. </w:t>
      </w:r>
    </w:p>
    <w:p w:rsidR="0054107C" w:rsidRPr="008E2D89" w:rsidRDefault="00FC0583" w:rsidP="00C4784D">
      <w:pPr>
        <w:spacing w:line="240" w:lineRule="auto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Plan d’action du RSCD</w:t>
      </w:r>
    </w:p>
    <w:p w:rsidR="00066A9E" w:rsidRPr="008E2D89" w:rsidRDefault="00FC0583" w:rsidP="00BF57A1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Ordre du jour actuel du programme </w:t>
      </w:r>
      <w:r w:rsidR="0054107C" w:rsidRPr="008E2D89">
        <w:rPr>
          <w:sz w:val="28"/>
          <w:szCs w:val="28"/>
          <w:lang w:val="fr-FR"/>
        </w:rPr>
        <w:t>(</w:t>
      </w:r>
      <w:r>
        <w:rPr>
          <w:sz w:val="28"/>
          <w:szCs w:val="28"/>
          <w:lang w:val="fr-FR"/>
        </w:rPr>
        <w:t>avril</w:t>
      </w:r>
      <w:r w:rsidR="0054107C" w:rsidRPr="008E2D89">
        <w:rPr>
          <w:sz w:val="28"/>
          <w:szCs w:val="28"/>
          <w:lang w:val="fr-FR"/>
        </w:rPr>
        <w:t xml:space="preserve"> 2013)</w:t>
      </w:r>
    </w:p>
    <w:p w:rsidR="00461270" w:rsidRPr="008E2D89" w:rsidRDefault="00461270" w:rsidP="00461270">
      <w:pPr>
        <w:pStyle w:val="ListParagraph"/>
        <w:spacing w:line="240" w:lineRule="auto"/>
        <w:ind w:left="1080"/>
        <w:rPr>
          <w:sz w:val="28"/>
          <w:szCs w:val="28"/>
          <w:lang w:val="fr-FR"/>
        </w:rPr>
      </w:pPr>
    </w:p>
    <w:p w:rsidR="00F87374" w:rsidRPr="008E2D89" w:rsidRDefault="00FC0583" w:rsidP="00A5596C">
      <w:pPr>
        <w:pStyle w:val="ListParagraph"/>
        <w:spacing w:line="240" w:lineRule="auto"/>
        <w:ind w:left="108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Ajouter et détailler la composante de l’UE</w:t>
      </w:r>
      <w:r w:rsidR="0092087C" w:rsidRPr="008E2D89">
        <w:rPr>
          <w:sz w:val="28"/>
          <w:szCs w:val="28"/>
          <w:lang w:val="fr-FR"/>
        </w:rPr>
        <w:t xml:space="preserve"> </w:t>
      </w:r>
      <w:r w:rsidR="00A5596C" w:rsidRPr="008E2D89">
        <w:rPr>
          <w:sz w:val="28"/>
          <w:szCs w:val="28"/>
          <w:lang w:val="fr-FR"/>
        </w:rPr>
        <w:t xml:space="preserve"> </w:t>
      </w:r>
    </w:p>
    <w:p w:rsidR="00A7113B" w:rsidRPr="008E2D89" w:rsidRDefault="00A7113B" w:rsidP="00D71269">
      <w:pPr>
        <w:rPr>
          <w:i/>
          <w:sz w:val="28"/>
          <w:szCs w:val="28"/>
          <w:lang w:val="fr-FR"/>
        </w:rPr>
      </w:pPr>
      <w:r w:rsidRPr="008E2D89">
        <w:rPr>
          <w:i/>
          <w:sz w:val="28"/>
          <w:szCs w:val="28"/>
          <w:lang w:val="fr-FR"/>
        </w:rPr>
        <w:t>Pr</w:t>
      </w:r>
      <w:r w:rsidR="00FC0583">
        <w:rPr>
          <w:i/>
          <w:sz w:val="28"/>
          <w:szCs w:val="28"/>
          <w:lang w:val="fr-FR"/>
        </w:rPr>
        <w:t>éparation de la prochaine réunion générale en avril</w:t>
      </w:r>
    </w:p>
    <w:p w:rsidR="00383881" w:rsidRDefault="00383881" w:rsidP="008F24A6">
      <w:pPr>
        <w:pStyle w:val="ListParagraph"/>
        <w:numPr>
          <w:ilvl w:val="0"/>
          <w:numId w:val="5"/>
        </w:numPr>
        <w:rPr>
          <w:sz w:val="28"/>
          <w:szCs w:val="28"/>
          <w:lang w:val="fr-BE"/>
        </w:rPr>
      </w:pPr>
      <w:r w:rsidRPr="00383881">
        <w:rPr>
          <w:sz w:val="28"/>
          <w:szCs w:val="28"/>
          <w:lang w:val="fr-BE"/>
        </w:rPr>
        <w:t>Bref rapport d’activités</w:t>
      </w:r>
      <w:r w:rsidR="00D71269" w:rsidRPr="00383881">
        <w:rPr>
          <w:sz w:val="28"/>
          <w:szCs w:val="28"/>
          <w:lang w:val="fr-BE"/>
        </w:rPr>
        <w:t xml:space="preserve">: </w:t>
      </w:r>
      <w:r w:rsidRPr="00383881">
        <w:rPr>
          <w:sz w:val="28"/>
          <w:szCs w:val="28"/>
          <w:lang w:val="fr-BE"/>
        </w:rPr>
        <w:t>pourrait également inclure</w:t>
      </w:r>
      <w:r w:rsidR="00C918A9">
        <w:rPr>
          <w:sz w:val="28"/>
          <w:szCs w:val="28"/>
          <w:lang w:val="fr-BE"/>
        </w:rPr>
        <w:t xml:space="preserve"> la recherche dans le secteur privé et le guide de suivi et d’évaluation</w:t>
      </w:r>
    </w:p>
    <w:p w:rsidR="00C918A9" w:rsidRDefault="00C918A9" w:rsidP="008F24A6">
      <w:pPr>
        <w:pStyle w:val="ListParagraph"/>
        <w:numPr>
          <w:ilvl w:val="0"/>
          <w:numId w:val="5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Présentation du rapport d’évaluation</w:t>
      </w:r>
    </w:p>
    <w:p w:rsidR="00C918A9" w:rsidRDefault="00C918A9" w:rsidP="008F24A6">
      <w:pPr>
        <w:pStyle w:val="ListParagraph"/>
        <w:numPr>
          <w:ilvl w:val="0"/>
          <w:numId w:val="5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Structure de la nouvelle gouvernance du RSCD (document de mission mis à jour)</w:t>
      </w:r>
    </w:p>
    <w:p w:rsidR="00C918A9" w:rsidRDefault="00C918A9" w:rsidP="008F24A6">
      <w:pPr>
        <w:pStyle w:val="ListParagraph"/>
        <w:numPr>
          <w:ilvl w:val="0"/>
          <w:numId w:val="5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Planification de la nouvelle phase du projet (mettant en évidence l’expérience de l’Amérique latine dans le cadre du renforcement des capacités des réseaux régionaux)</w:t>
      </w:r>
    </w:p>
    <w:p w:rsidR="008F24A6" w:rsidRPr="00D100D2" w:rsidRDefault="00C918A9" w:rsidP="008F24A6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D100D2">
        <w:rPr>
          <w:sz w:val="28"/>
          <w:szCs w:val="28"/>
          <w:lang w:val="fr-BE"/>
        </w:rPr>
        <w:t>Politiques: proposition d’invitation de personnalités externes de haut niveau (</w:t>
      </w:r>
      <w:r w:rsidR="00D100D2" w:rsidRPr="00D100D2">
        <w:rPr>
          <w:sz w:val="28"/>
          <w:szCs w:val="28"/>
          <w:lang w:val="fr-BE"/>
        </w:rPr>
        <w:t>groupe de haut niveau pour l’après-2015, Suède, Danemark, Royaume-Uni, France, UE</w:t>
      </w:r>
      <w:r w:rsidR="00250F7B" w:rsidRPr="00D100D2">
        <w:rPr>
          <w:sz w:val="28"/>
          <w:szCs w:val="28"/>
          <w:lang w:val="fr-BE"/>
        </w:rPr>
        <w:t>-</w:t>
      </w:r>
      <w:r w:rsidR="00D100D2" w:rsidRPr="00D100D2">
        <w:rPr>
          <w:sz w:val="28"/>
          <w:szCs w:val="28"/>
          <w:lang w:val="fr-BE"/>
        </w:rPr>
        <w:t xml:space="preserve">M. </w:t>
      </w:r>
      <w:r w:rsidR="00250F7B" w:rsidRPr="00D100D2">
        <w:rPr>
          <w:sz w:val="28"/>
          <w:szCs w:val="28"/>
          <w:lang w:val="en-US"/>
        </w:rPr>
        <w:t>Piebalgs)</w:t>
      </w:r>
    </w:p>
    <w:p w:rsidR="00250F7B" w:rsidRPr="00D100D2" w:rsidRDefault="00250F7B" w:rsidP="008F24A6">
      <w:pPr>
        <w:pStyle w:val="ListParagraph"/>
        <w:rPr>
          <w:sz w:val="28"/>
          <w:szCs w:val="28"/>
          <w:lang w:val="en-US"/>
        </w:rPr>
      </w:pPr>
      <w:r w:rsidRPr="00D100D2">
        <w:rPr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D43D6" w:rsidRPr="008E2D89" w:rsidTr="00B040DF">
        <w:tc>
          <w:tcPr>
            <w:tcW w:w="8647" w:type="dxa"/>
          </w:tcPr>
          <w:p w:rsidR="00ED43D6" w:rsidRPr="008E2D89" w:rsidRDefault="008F189A" w:rsidP="00D100D2">
            <w:pPr>
              <w:pStyle w:val="ListParagraph"/>
              <w:ind w:left="0"/>
              <w:rPr>
                <w:sz w:val="28"/>
                <w:szCs w:val="28"/>
                <w:lang w:val="fr-FR"/>
              </w:rPr>
            </w:pPr>
            <w:r w:rsidRPr="008E2D89">
              <w:rPr>
                <w:sz w:val="28"/>
                <w:szCs w:val="28"/>
                <w:lang w:val="fr-FR"/>
              </w:rPr>
              <w:t xml:space="preserve">POINTS </w:t>
            </w:r>
            <w:r w:rsidR="00D100D2">
              <w:rPr>
                <w:sz w:val="28"/>
                <w:szCs w:val="28"/>
                <w:lang w:val="fr-FR"/>
              </w:rPr>
              <w:t>D’</w:t>
            </w:r>
            <w:r w:rsidRPr="008E2D89">
              <w:rPr>
                <w:sz w:val="28"/>
                <w:szCs w:val="28"/>
                <w:lang w:val="fr-FR"/>
              </w:rPr>
              <w:t>ACTION</w:t>
            </w:r>
          </w:p>
        </w:tc>
      </w:tr>
      <w:tr w:rsidR="00ED43D6" w:rsidRPr="008E2D89" w:rsidTr="00B040DF">
        <w:tc>
          <w:tcPr>
            <w:tcW w:w="8647" w:type="dxa"/>
          </w:tcPr>
          <w:p w:rsidR="00ED43D6" w:rsidRPr="00D100D2" w:rsidRDefault="00D100D2" w:rsidP="00A5596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FR"/>
              </w:rPr>
              <w:t xml:space="preserve">Envoi du projet d’ordre du jour de la réunion générale au GFP vers la mi-mars pour observations et approbation </w:t>
            </w:r>
          </w:p>
          <w:p w:rsidR="008A1D39" w:rsidRPr="008E2D89" w:rsidRDefault="0050752F" w:rsidP="0050752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Lettres de soutien au nouveau projet des principaux destinataires </w:t>
            </w:r>
            <w:r>
              <w:rPr>
                <w:sz w:val="28"/>
                <w:szCs w:val="28"/>
                <w:lang w:val="fr-FR"/>
              </w:rPr>
              <w:lastRenderedPageBreak/>
              <w:t xml:space="preserve">syndicaux </w:t>
            </w:r>
          </w:p>
        </w:tc>
      </w:tr>
    </w:tbl>
    <w:p w:rsidR="00A7113B" w:rsidRPr="008E2D89" w:rsidRDefault="00A7113B" w:rsidP="00AC35F5">
      <w:pPr>
        <w:spacing w:line="480" w:lineRule="auto"/>
        <w:rPr>
          <w:sz w:val="36"/>
          <w:szCs w:val="36"/>
          <w:lang w:val="fr-FR"/>
        </w:rPr>
      </w:pPr>
    </w:p>
    <w:sectPr w:rsidR="00A7113B" w:rsidRPr="008E2D89" w:rsidSect="00F87374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D4" w:rsidRDefault="00E737D4" w:rsidP="003C7D9F">
      <w:pPr>
        <w:spacing w:after="0" w:line="240" w:lineRule="auto"/>
      </w:pPr>
      <w:r>
        <w:separator/>
      </w:r>
    </w:p>
  </w:endnote>
  <w:endnote w:type="continuationSeparator" w:id="0">
    <w:p w:rsidR="00E737D4" w:rsidRDefault="00E737D4" w:rsidP="003C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255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164" w:rsidRDefault="00AD11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B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35E6" w:rsidRDefault="00AD1164" w:rsidP="005335E6">
    <w:pPr>
      <w:pStyle w:val="Footer"/>
      <w:rPr>
        <w:i/>
        <w:sz w:val="18"/>
        <w:szCs w:val="18"/>
        <w:lang w:val="fr-FR"/>
      </w:rPr>
    </w:pPr>
    <w:r w:rsidRPr="005335E6">
      <w:rPr>
        <w:noProof/>
        <w:lang w:val="fr-BE"/>
      </w:rPr>
      <w:t xml:space="preserve">           </w:t>
    </w:r>
    <w:r>
      <w:rPr>
        <w:noProof/>
        <w:lang w:val="fr-BE" w:eastAsia="fr-BE"/>
      </w:rPr>
      <w:drawing>
        <wp:inline distT="0" distB="0" distL="0" distR="0" wp14:anchorId="69F15EAF" wp14:editId="6BCA4686">
          <wp:extent cx="353308" cy="235538"/>
          <wp:effectExtent l="19050" t="0" r="8642" b="0"/>
          <wp:docPr id="6" name="Picture 1" descr="eu ban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ann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303" cy="24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35E6">
      <w:rPr>
        <w:noProof/>
        <w:lang w:val="fr-BE"/>
      </w:rPr>
      <w:t xml:space="preserve">    </w:t>
    </w:r>
    <w:r w:rsidR="005335E6">
      <w:rPr>
        <w:i/>
        <w:sz w:val="18"/>
        <w:szCs w:val="18"/>
        <w:lang w:val="fr-FR"/>
      </w:rPr>
      <w:t>Av</w:t>
    </w:r>
    <w:r w:rsidR="005335E6" w:rsidRPr="005A4213">
      <w:rPr>
        <w:i/>
        <w:sz w:val="18"/>
        <w:szCs w:val="18"/>
        <w:lang w:val="fr-FR"/>
      </w:rPr>
      <w:t xml:space="preserve">ec le soutien de la CSI et du </w:t>
    </w:r>
    <w:r w:rsidR="005335E6">
      <w:rPr>
        <w:i/>
        <w:sz w:val="18"/>
        <w:szCs w:val="18"/>
        <w:lang w:val="fr-FR"/>
      </w:rPr>
      <w:t>Programme thématique de l’UE « Les acteurs non étatiques et les autorités</w:t>
    </w:r>
  </w:p>
  <w:p w:rsidR="00AD1164" w:rsidRDefault="005335E6" w:rsidP="005335E6">
    <w:pPr>
      <w:pStyle w:val="Footer"/>
      <w:ind w:left="1418" w:hanging="142"/>
    </w:pPr>
    <w:r w:rsidRPr="005335E6">
      <w:rPr>
        <w:i/>
        <w:sz w:val="18"/>
        <w:szCs w:val="18"/>
        <w:lang w:val="fr-BE"/>
      </w:rPr>
      <w:t xml:space="preserve"> </w:t>
    </w:r>
    <w:r w:rsidRPr="005335E6">
      <w:rPr>
        <w:i/>
        <w:sz w:val="18"/>
        <w:szCs w:val="18"/>
        <w:lang w:val="en-US"/>
      </w:rPr>
      <w:t>locales »</w:t>
    </w:r>
    <w:r w:rsidR="00AD1164">
      <w:tab/>
    </w:r>
    <w:r w:rsidR="00AD1164">
      <w:tab/>
    </w:r>
  </w:p>
  <w:p w:rsidR="00AD1164" w:rsidRDefault="00AD1164" w:rsidP="00274A6F">
    <w:pPr>
      <w:pStyle w:val="Footer"/>
      <w:tabs>
        <w:tab w:val="clear" w:pos="4513"/>
        <w:tab w:val="clear" w:pos="9026"/>
        <w:tab w:val="left" w:pos="29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D4" w:rsidRDefault="00E737D4" w:rsidP="003C7D9F">
      <w:pPr>
        <w:spacing w:after="0" w:line="240" w:lineRule="auto"/>
      </w:pPr>
      <w:r>
        <w:separator/>
      </w:r>
    </w:p>
  </w:footnote>
  <w:footnote w:type="continuationSeparator" w:id="0">
    <w:p w:rsidR="00E737D4" w:rsidRDefault="00E737D4" w:rsidP="003C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CE7"/>
    <w:multiLevelType w:val="hybridMultilevel"/>
    <w:tmpl w:val="9A4E4F6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F6927"/>
    <w:multiLevelType w:val="hybridMultilevel"/>
    <w:tmpl w:val="4C105AC0"/>
    <w:lvl w:ilvl="0" w:tplc="25A8ED2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06A82"/>
    <w:multiLevelType w:val="hybridMultilevel"/>
    <w:tmpl w:val="8C844BA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52C8D"/>
    <w:multiLevelType w:val="hybridMultilevel"/>
    <w:tmpl w:val="CE3EA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3FA4"/>
    <w:multiLevelType w:val="hybridMultilevel"/>
    <w:tmpl w:val="90BA99F4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0E03E0"/>
    <w:multiLevelType w:val="hybridMultilevel"/>
    <w:tmpl w:val="CF06C740"/>
    <w:lvl w:ilvl="0" w:tplc="012A1000">
      <w:start w:val="30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6B50312F"/>
    <w:multiLevelType w:val="hybridMultilevel"/>
    <w:tmpl w:val="7A78D760"/>
    <w:lvl w:ilvl="0" w:tplc="95C6499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D278F"/>
    <w:multiLevelType w:val="hybridMultilevel"/>
    <w:tmpl w:val="2E3402AC"/>
    <w:lvl w:ilvl="0" w:tplc="012A100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A0"/>
    <w:rsid w:val="00026026"/>
    <w:rsid w:val="00032601"/>
    <w:rsid w:val="00032BD7"/>
    <w:rsid w:val="000455F5"/>
    <w:rsid w:val="00046A02"/>
    <w:rsid w:val="00055B24"/>
    <w:rsid w:val="000641E7"/>
    <w:rsid w:val="00066A9E"/>
    <w:rsid w:val="00085732"/>
    <w:rsid w:val="00087FAD"/>
    <w:rsid w:val="000A2D28"/>
    <w:rsid w:val="000B38E7"/>
    <w:rsid w:val="000B4DBD"/>
    <w:rsid w:val="000C06FB"/>
    <w:rsid w:val="000C20C3"/>
    <w:rsid w:val="000C2F3C"/>
    <w:rsid w:val="000E62F4"/>
    <w:rsid w:val="000F6784"/>
    <w:rsid w:val="000F71E3"/>
    <w:rsid w:val="0010480E"/>
    <w:rsid w:val="001431A1"/>
    <w:rsid w:val="00145F97"/>
    <w:rsid w:val="00177803"/>
    <w:rsid w:val="001D1E60"/>
    <w:rsid w:val="001F43A9"/>
    <w:rsid w:val="00204AAD"/>
    <w:rsid w:val="002051A7"/>
    <w:rsid w:val="00210F32"/>
    <w:rsid w:val="00245592"/>
    <w:rsid w:val="0024720A"/>
    <w:rsid w:val="00250F7B"/>
    <w:rsid w:val="00263618"/>
    <w:rsid w:val="00264CCA"/>
    <w:rsid w:val="002650BB"/>
    <w:rsid w:val="00274A6F"/>
    <w:rsid w:val="0028236F"/>
    <w:rsid w:val="00284687"/>
    <w:rsid w:val="002859E8"/>
    <w:rsid w:val="002866E4"/>
    <w:rsid w:val="00293EE6"/>
    <w:rsid w:val="00297164"/>
    <w:rsid w:val="002B1422"/>
    <w:rsid w:val="002B6A7E"/>
    <w:rsid w:val="002C53BE"/>
    <w:rsid w:val="002D0ED1"/>
    <w:rsid w:val="002E7AED"/>
    <w:rsid w:val="002F10A8"/>
    <w:rsid w:val="00321E8F"/>
    <w:rsid w:val="00326635"/>
    <w:rsid w:val="0035735B"/>
    <w:rsid w:val="0036692C"/>
    <w:rsid w:val="003768FA"/>
    <w:rsid w:val="00383881"/>
    <w:rsid w:val="00390FD4"/>
    <w:rsid w:val="003B2767"/>
    <w:rsid w:val="003C01B8"/>
    <w:rsid w:val="003C7D9F"/>
    <w:rsid w:val="003E0432"/>
    <w:rsid w:val="00401444"/>
    <w:rsid w:val="004166A1"/>
    <w:rsid w:val="004177B5"/>
    <w:rsid w:val="00421F80"/>
    <w:rsid w:val="00426220"/>
    <w:rsid w:val="00432D79"/>
    <w:rsid w:val="004370D9"/>
    <w:rsid w:val="004572B9"/>
    <w:rsid w:val="00460E73"/>
    <w:rsid w:val="00461270"/>
    <w:rsid w:val="00474FB1"/>
    <w:rsid w:val="004974F2"/>
    <w:rsid w:val="00497CB4"/>
    <w:rsid w:val="004A62F2"/>
    <w:rsid w:val="004A71AD"/>
    <w:rsid w:val="004B794A"/>
    <w:rsid w:val="004C2F93"/>
    <w:rsid w:val="004E09F7"/>
    <w:rsid w:val="004F6FBA"/>
    <w:rsid w:val="004F7F42"/>
    <w:rsid w:val="0050752F"/>
    <w:rsid w:val="00515671"/>
    <w:rsid w:val="00531140"/>
    <w:rsid w:val="005335E6"/>
    <w:rsid w:val="0054107C"/>
    <w:rsid w:val="005458D2"/>
    <w:rsid w:val="005713A8"/>
    <w:rsid w:val="005756FA"/>
    <w:rsid w:val="00581555"/>
    <w:rsid w:val="005826C6"/>
    <w:rsid w:val="005945B7"/>
    <w:rsid w:val="005B5AC5"/>
    <w:rsid w:val="005B5B9C"/>
    <w:rsid w:val="005C5496"/>
    <w:rsid w:val="005C59F4"/>
    <w:rsid w:val="005D4592"/>
    <w:rsid w:val="0060592E"/>
    <w:rsid w:val="00615821"/>
    <w:rsid w:val="00625844"/>
    <w:rsid w:val="006379F6"/>
    <w:rsid w:val="00656C6F"/>
    <w:rsid w:val="00685964"/>
    <w:rsid w:val="006C4485"/>
    <w:rsid w:val="006E6AE2"/>
    <w:rsid w:val="007064DD"/>
    <w:rsid w:val="00715F07"/>
    <w:rsid w:val="00723E41"/>
    <w:rsid w:val="00733368"/>
    <w:rsid w:val="00781795"/>
    <w:rsid w:val="007A3553"/>
    <w:rsid w:val="007B2A32"/>
    <w:rsid w:val="007B3607"/>
    <w:rsid w:val="007C0D91"/>
    <w:rsid w:val="007D667E"/>
    <w:rsid w:val="007D7CFE"/>
    <w:rsid w:val="007E4D6B"/>
    <w:rsid w:val="007F4D00"/>
    <w:rsid w:val="00800AEC"/>
    <w:rsid w:val="008056E9"/>
    <w:rsid w:val="00820D54"/>
    <w:rsid w:val="00821212"/>
    <w:rsid w:val="008344F1"/>
    <w:rsid w:val="0085160D"/>
    <w:rsid w:val="0087202F"/>
    <w:rsid w:val="00892A13"/>
    <w:rsid w:val="008A0A93"/>
    <w:rsid w:val="008A1D39"/>
    <w:rsid w:val="008A79AB"/>
    <w:rsid w:val="008B746D"/>
    <w:rsid w:val="008C5129"/>
    <w:rsid w:val="008E1CD1"/>
    <w:rsid w:val="008E2D89"/>
    <w:rsid w:val="008F189A"/>
    <w:rsid w:val="008F24A6"/>
    <w:rsid w:val="0090239F"/>
    <w:rsid w:val="0092087C"/>
    <w:rsid w:val="00920C76"/>
    <w:rsid w:val="00920EA3"/>
    <w:rsid w:val="009260C2"/>
    <w:rsid w:val="00931EF4"/>
    <w:rsid w:val="009323EE"/>
    <w:rsid w:val="009465B2"/>
    <w:rsid w:val="009534E9"/>
    <w:rsid w:val="00956CB7"/>
    <w:rsid w:val="00963FA0"/>
    <w:rsid w:val="00975EBE"/>
    <w:rsid w:val="00980806"/>
    <w:rsid w:val="009A4CFE"/>
    <w:rsid w:val="009C20A3"/>
    <w:rsid w:val="009C34A8"/>
    <w:rsid w:val="009C356A"/>
    <w:rsid w:val="009C4580"/>
    <w:rsid w:val="009D55BC"/>
    <w:rsid w:val="009E76EB"/>
    <w:rsid w:val="009F571F"/>
    <w:rsid w:val="00A07F2C"/>
    <w:rsid w:val="00A35F1A"/>
    <w:rsid w:val="00A466B3"/>
    <w:rsid w:val="00A54A72"/>
    <w:rsid w:val="00A55275"/>
    <w:rsid w:val="00A5596C"/>
    <w:rsid w:val="00A650D8"/>
    <w:rsid w:val="00A67038"/>
    <w:rsid w:val="00A7113B"/>
    <w:rsid w:val="00A83468"/>
    <w:rsid w:val="00A91A6F"/>
    <w:rsid w:val="00AA14BC"/>
    <w:rsid w:val="00AC35F5"/>
    <w:rsid w:val="00AD1164"/>
    <w:rsid w:val="00AF5253"/>
    <w:rsid w:val="00B040DF"/>
    <w:rsid w:val="00B05BA3"/>
    <w:rsid w:val="00B106E5"/>
    <w:rsid w:val="00B20426"/>
    <w:rsid w:val="00B31717"/>
    <w:rsid w:val="00B42921"/>
    <w:rsid w:val="00B563B5"/>
    <w:rsid w:val="00B57FDA"/>
    <w:rsid w:val="00B625B3"/>
    <w:rsid w:val="00B635F9"/>
    <w:rsid w:val="00B64FF6"/>
    <w:rsid w:val="00B676A7"/>
    <w:rsid w:val="00BC2E5E"/>
    <w:rsid w:val="00BE10E2"/>
    <w:rsid w:val="00BF000C"/>
    <w:rsid w:val="00BF058D"/>
    <w:rsid w:val="00BF4623"/>
    <w:rsid w:val="00BF57A1"/>
    <w:rsid w:val="00C02B47"/>
    <w:rsid w:val="00C140E5"/>
    <w:rsid w:val="00C42686"/>
    <w:rsid w:val="00C4784D"/>
    <w:rsid w:val="00C54A09"/>
    <w:rsid w:val="00C56B05"/>
    <w:rsid w:val="00C5781D"/>
    <w:rsid w:val="00C6303B"/>
    <w:rsid w:val="00C82096"/>
    <w:rsid w:val="00C82470"/>
    <w:rsid w:val="00C86C52"/>
    <w:rsid w:val="00C918A9"/>
    <w:rsid w:val="00C91F78"/>
    <w:rsid w:val="00C94B82"/>
    <w:rsid w:val="00CC2664"/>
    <w:rsid w:val="00CC4040"/>
    <w:rsid w:val="00CC61B2"/>
    <w:rsid w:val="00CE5D9D"/>
    <w:rsid w:val="00D0496E"/>
    <w:rsid w:val="00D05594"/>
    <w:rsid w:val="00D100D2"/>
    <w:rsid w:val="00D2321C"/>
    <w:rsid w:val="00D31692"/>
    <w:rsid w:val="00D4634F"/>
    <w:rsid w:val="00D52A88"/>
    <w:rsid w:val="00D55465"/>
    <w:rsid w:val="00D60C10"/>
    <w:rsid w:val="00D650FE"/>
    <w:rsid w:val="00D70BFD"/>
    <w:rsid w:val="00D71269"/>
    <w:rsid w:val="00D82B48"/>
    <w:rsid w:val="00D84B1F"/>
    <w:rsid w:val="00DB05F7"/>
    <w:rsid w:val="00DB0E02"/>
    <w:rsid w:val="00DE6506"/>
    <w:rsid w:val="00DF0A9A"/>
    <w:rsid w:val="00E1415D"/>
    <w:rsid w:val="00E16801"/>
    <w:rsid w:val="00E27D5E"/>
    <w:rsid w:val="00E43D0D"/>
    <w:rsid w:val="00E44733"/>
    <w:rsid w:val="00E67F77"/>
    <w:rsid w:val="00E737D4"/>
    <w:rsid w:val="00E87E49"/>
    <w:rsid w:val="00ED0DC1"/>
    <w:rsid w:val="00ED2255"/>
    <w:rsid w:val="00ED43D6"/>
    <w:rsid w:val="00EE215E"/>
    <w:rsid w:val="00EF76A9"/>
    <w:rsid w:val="00F05739"/>
    <w:rsid w:val="00F05B41"/>
    <w:rsid w:val="00F126E9"/>
    <w:rsid w:val="00F24F20"/>
    <w:rsid w:val="00F2626B"/>
    <w:rsid w:val="00F34FC4"/>
    <w:rsid w:val="00F66549"/>
    <w:rsid w:val="00F712C8"/>
    <w:rsid w:val="00F82121"/>
    <w:rsid w:val="00F837A9"/>
    <w:rsid w:val="00F87374"/>
    <w:rsid w:val="00F91A06"/>
    <w:rsid w:val="00F93FEC"/>
    <w:rsid w:val="00F954A6"/>
    <w:rsid w:val="00FA3713"/>
    <w:rsid w:val="00FA53CE"/>
    <w:rsid w:val="00FB5157"/>
    <w:rsid w:val="00FC0583"/>
    <w:rsid w:val="00FD3B6E"/>
    <w:rsid w:val="00FF0AFD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D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6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3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38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9F"/>
  </w:style>
  <w:style w:type="paragraph" w:styleId="Footer">
    <w:name w:val="footer"/>
    <w:basedOn w:val="Normal"/>
    <w:link w:val="Foot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9F"/>
  </w:style>
  <w:style w:type="character" w:styleId="Hyperlink">
    <w:name w:val="Hyperlink"/>
    <w:basedOn w:val="DefaultParagraphFont"/>
    <w:uiPriority w:val="99"/>
    <w:unhideWhenUsed/>
    <w:rsid w:val="002C53B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52A88"/>
  </w:style>
  <w:style w:type="table" w:styleId="TableGrid">
    <w:name w:val="Table Grid"/>
    <w:basedOn w:val="TableNormal"/>
    <w:uiPriority w:val="59"/>
    <w:rsid w:val="00ED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31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6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D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6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3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38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9F"/>
  </w:style>
  <w:style w:type="paragraph" w:styleId="Footer">
    <w:name w:val="footer"/>
    <w:basedOn w:val="Normal"/>
    <w:link w:val="Foot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9F"/>
  </w:style>
  <w:style w:type="character" w:styleId="Hyperlink">
    <w:name w:val="Hyperlink"/>
    <w:basedOn w:val="DefaultParagraphFont"/>
    <w:uiPriority w:val="99"/>
    <w:unhideWhenUsed/>
    <w:rsid w:val="002C53B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52A88"/>
  </w:style>
  <w:style w:type="table" w:styleId="TableGrid">
    <w:name w:val="Table Grid"/>
    <w:basedOn w:val="TableNormal"/>
    <w:uiPriority w:val="59"/>
    <w:rsid w:val="00ED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31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1767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Dereymaeker</dc:creator>
  <cp:lastModifiedBy>Marion Levillain</cp:lastModifiedBy>
  <cp:revision>2</cp:revision>
  <cp:lastPrinted>2013-02-11T16:01:00Z</cp:lastPrinted>
  <dcterms:created xsi:type="dcterms:W3CDTF">2013-02-12T08:12:00Z</dcterms:created>
  <dcterms:modified xsi:type="dcterms:W3CDTF">2013-02-12T08:12:00Z</dcterms:modified>
</cp:coreProperties>
</file>