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3C" w:rsidRPr="002903F1" w:rsidRDefault="00AC217B" w:rsidP="00AC217B">
      <w:pPr>
        <w:rPr>
          <w:b/>
          <w:lang w:val="es-ES"/>
        </w:rPr>
      </w:pPr>
      <w:r>
        <w:rPr>
          <w:b/>
          <w:lang w:val="es-ES"/>
        </w:rPr>
        <w:t>Respuesta sindical al b</w:t>
      </w:r>
      <w:r w:rsidR="006E6945" w:rsidRPr="002903F1">
        <w:rPr>
          <w:b/>
          <w:lang w:val="es-ES"/>
        </w:rPr>
        <w:t xml:space="preserve">orrador </w:t>
      </w:r>
      <w:r>
        <w:rPr>
          <w:b/>
          <w:lang w:val="es-ES"/>
        </w:rPr>
        <w:t>p</w:t>
      </w:r>
      <w:r w:rsidR="006E6945" w:rsidRPr="002903F1">
        <w:rPr>
          <w:b/>
          <w:lang w:val="es-ES"/>
        </w:rPr>
        <w:t xml:space="preserve">reliminar del </w:t>
      </w:r>
      <w:r>
        <w:rPr>
          <w:b/>
          <w:lang w:val="es-ES"/>
        </w:rPr>
        <w:t>d</w:t>
      </w:r>
      <w:r w:rsidR="006E6945" w:rsidRPr="002903F1">
        <w:rPr>
          <w:b/>
          <w:lang w:val="es-ES"/>
        </w:rPr>
        <w:t xml:space="preserve">ocumento de la RAN2 </w:t>
      </w:r>
    </w:p>
    <w:p w:rsidR="00060E3C" w:rsidRPr="002903F1" w:rsidRDefault="006E6945" w:rsidP="0072429F">
      <w:pPr>
        <w:rPr>
          <w:lang w:val="es-ES"/>
        </w:rPr>
      </w:pPr>
      <w:r w:rsidRPr="002903F1">
        <w:rPr>
          <w:lang w:val="es-ES"/>
        </w:rPr>
        <w:t xml:space="preserve">El </w:t>
      </w:r>
      <w:r w:rsidR="00AC217B">
        <w:rPr>
          <w:lang w:val="es-ES"/>
        </w:rPr>
        <w:t>b</w:t>
      </w:r>
      <w:r w:rsidRPr="002903F1">
        <w:rPr>
          <w:lang w:val="es-ES"/>
        </w:rPr>
        <w:t xml:space="preserve">orrador </w:t>
      </w:r>
      <w:r w:rsidR="00AC217B">
        <w:rPr>
          <w:lang w:val="es-ES"/>
        </w:rPr>
        <w:t>p</w:t>
      </w:r>
      <w:r w:rsidRPr="002903F1">
        <w:rPr>
          <w:lang w:val="es-ES"/>
        </w:rPr>
        <w:t>reliminar</w:t>
      </w:r>
      <w:r w:rsidR="00060E3C" w:rsidRPr="002903F1">
        <w:rPr>
          <w:lang w:val="es-ES"/>
        </w:rPr>
        <w:t xml:space="preserve"> </w:t>
      </w:r>
      <w:r w:rsidR="00D35AB9" w:rsidRPr="002903F1">
        <w:rPr>
          <w:lang w:val="es-ES"/>
        </w:rPr>
        <w:t>ofrece una base muy útil para iniciar las conversaciones sobre el documento final de la RAN2</w:t>
      </w:r>
      <w:r w:rsidR="00060E3C" w:rsidRPr="002903F1">
        <w:rPr>
          <w:lang w:val="es-ES"/>
        </w:rPr>
        <w:t xml:space="preserve"> </w:t>
      </w:r>
      <w:r w:rsidR="00D35AB9" w:rsidRPr="002903F1">
        <w:rPr>
          <w:lang w:val="es-ES"/>
        </w:rPr>
        <w:t xml:space="preserve">y </w:t>
      </w:r>
      <w:r w:rsidR="00AC217B">
        <w:rPr>
          <w:lang w:val="es-ES"/>
        </w:rPr>
        <w:t xml:space="preserve">encomiamos </w:t>
      </w:r>
      <w:r w:rsidR="00DA7FC1" w:rsidRPr="002903F1">
        <w:rPr>
          <w:lang w:val="es-ES"/>
        </w:rPr>
        <w:t>el trabajo realizado</w:t>
      </w:r>
      <w:r w:rsidR="00060E3C" w:rsidRPr="002903F1">
        <w:rPr>
          <w:lang w:val="es-ES"/>
        </w:rPr>
        <w:t xml:space="preserve">. </w:t>
      </w:r>
      <w:r w:rsidR="00DA7FC1" w:rsidRPr="002903F1">
        <w:rPr>
          <w:lang w:val="es-ES"/>
        </w:rPr>
        <w:t xml:space="preserve">A continuación </w:t>
      </w:r>
      <w:r w:rsidR="00AC217B">
        <w:rPr>
          <w:lang w:val="es-ES"/>
        </w:rPr>
        <w:t xml:space="preserve">aportamos los comentarios </w:t>
      </w:r>
      <w:r w:rsidR="00DA7FC1" w:rsidRPr="002903F1">
        <w:rPr>
          <w:lang w:val="es-ES"/>
        </w:rPr>
        <w:t>de las organizaciones sindicales para mejorar el documento en esta fase</w:t>
      </w:r>
      <w:r w:rsidR="00060E3C" w:rsidRPr="002903F1">
        <w:rPr>
          <w:lang w:val="es-ES"/>
        </w:rPr>
        <w:t xml:space="preserve">. </w:t>
      </w:r>
      <w:r w:rsidR="00DA7FC1" w:rsidRPr="002903F1">
        <w:rPr>
          <w:lang w:val="es-ES"/>
        </w:rPr>
        <w:t xml:space="preserve">Esperamos continuar haciendo </w:t>
      </w:r>
      <w:r w:rsidR="00AC217B">
        <w:rPr>
          <w:lang w:val="es-ES"/>
        </w:rPr>
        <w:t>contribuciones</w:t>
      </w:r>
      <w:r w:rsidR="00DA7FC1" w:rsidRPr="002903F1">
        <w:rPr>
          <w:lang w:val="es-ES"/>
        </w:rPr>
        <w:t xml:space="preserve"> en las próximas fases</w:t>
      </w:r>
      <w:r w:rsidR="00060E3C" w:rsidRPr="002903F1">
        <w:rPr>
          <w:lang w:val="es-ES"/>
        </w:rPr>
        <w:t xml:space="preserve">. </w:t>
      </w:r>
    </w:p>
    <w:p w:rsidR="00060E3C" w:rsidRPr="002903F1" w:rsidRDefault="00060E3C">
      <w:pPr>
        <w:rPr>
          <w:lang w:val="es-ES"/>
        </w:rPr>
      </w:pPr>
    </w:p>
    <w:p w:rsidR="00060E3C" w:rsidRPr="002903F1" w:rsidRDefault="006E6945" w:rsidP="00060E3C">
      <w:pPr>
        <w:rPr>
          <w:i/>
          <w:lang w:val="es-ES"/>
        </w:rPr>
      </w:pPr>
      <w:r w:rsidRPr="002903F1">
        <w:rPr>
          <w:i/>
          <w:lang w:val="es-ES"/>
        </w:rPr>
        <w:t>Comentarios generales</w:t>
      </w:r>
    </w:p>
    <w:p w:rsidR="00BF46ED" w:rsidRPr="002903F1" w:rsidRDefault="006E6945" w:rsidP="00E51660">
      <w:pPr>
        <w:rPr>
          <w:lang w:val="es-ES"/>
        </w:rPr>
      </w:pPr>
      <w:r w:rsidRPr="002903F1">
        <w:rPr>
          <w:b/>
          <w:lang w:val="es-ES"/>
        </w:rPr>
        <w:t xml:space="preserve">Integridad de la </w:t>
      </w:r>
      <w:r w:rsidR="00DA7FC1" w:rsidRPr="002903F1">
        <w:rPr>
          <w:b/>
          <w:lang w:val="es-ES"/>
        </w:rPr>
        <w:t>AG</w:t>
      </w:r>
      <w:r w:rsidR="00E51660" w:rsidRPr="002903F1">
        <w:rPr>
          <w:b/>
          <w:lang w:val="es-ES"/>
        </w:rPr>
        <w:t>CE</w:t>
      </w:r>
      <w:r w:rsidR="00DA7FC1" w:rsidRPr="002903F1">
        <w:rPr>
          <w:b/>
          <w:lang w:val="es-ES"/>
        </w:rPr>
        <w:t>D</w:t>
      </w:r>
      <w:r w:rsidR="00BF46ED" w:rsidRPr="002903F1">
        <w:rPr>
          <w:b/>
          <w:lang w:val="es-ES"/>
        </w:rPr>
        <w:t xml:space="preserve"> </w:t>
      </w:r>
      <w:r w:rsidR="00E51660" w:rsidRPr="002903F1">
        <w:rPr>
          <w:b/>
          <w:lang w:val="es-ES"/>
        </w:rPr>
        <w:t>con respecto a</w:t>
      </w:r>
      <w:r w:rsidR="00BF46ED" w:rsidRPr="002903F1">
        <w:rPr>
          <w:b/>
          <w:lang w:val="es-ES"/>
        </w:rPr>
        <w:t xml:space="preserve"> </w:t>
      </w:r>
      <w:r w:rsidRPr="002903F1">
        <w:rPr>
          <w:b/>
          <w:lang w:val="es-ES"/>
        </w:rPr>
        <w:t>la</w:t>
      </w:r>
      <w:r w:rsidR="00BF46ED" w:rsidRPr="002903F1">
        <w:rPr>
          <w:b/>
          <w:lang w:val="es-ES"/>
        </w:rPr>
        <w:t xml:space="preserve"> AAAA </w:t>
      </w:r>
      <w:r w:rsidRPr="002903F1">
        <w:rPr>
          <w:b/>
          <w:lang w:val="es-ES"/>
        </w:rPr>
        <w:t>y la</w:t>
      </w:r>
      <w:r w:rsidR="00BF46ED" w:rsidRPr="002903F1">
        <w:rPr>
          <w:b/>
          <w:lang w:val="es-ES"/>
        </w:rPr>
        <w:t xml:space="preserve"> </w:t>
      </w:r>
      <w:r w:rsidRPr="002903F1">
        <w:rPr>
          <w:b/>
          <w:lang w:val="es-ES"/>
        </w:rPr>
        <w:t xml:space="preserve">Agenda </w:t>
      </w:r>
      <w:r w:rsidR="00BF46ED" w:rsidRPr="002903F1">
        <w:rPr>
          <w:b/>
          <w:lang w:val="es-ES"/>
        </w:rPr>
        <w:t xml:space="preserve">2030 </w:t>
      </w:r>
    </w:p>
    <w:p w:rsidR="00060E3C" w:rsidRPr="002903F1" w:rsidRDefault="00E51660" w:rsidP="00061837">
      <w:pPr>
        <w:rPr>
          <w:lang w:val="es-ES"/>
        </w:rPr>
      </w:pPr>
      <w:r w:rsidRPr="002903F1">
        <w:rPr>
          <w:lang w:val="es-ES"/>
        </w:rPr>
        <w:t>Aunque reconocemos que la AGCED desempeña un papel de apoyo importante en la ejecución y supervisión de la</w:t>
      </w:r>
      <w:r w:rsidR="00813FA0" w:rsidRPr="002903F1">
        <w:rPr>
          <w:lang w:val="es-ES"/>
        </w:rPr>
        <w:t xml:space="preserve"> </w:t>
      </w:r>
      <w:r w:rsidRPr="002903F1">
        <w:rPr>
          <w:lang w:val="es-ES"/>
        </w:rPr>
        <w:t>Agenda 2030 y la</w:t>
      </w:r>
      <w:r w:rsidR="004D42D3" w:rsidRPr="002903F1">
        <w:rPr>
          <w:lang w:val="es-ES"/>
        </w:rPr>
        <w:t xml:space="preserve"> </w:t>
      </w:r>
      <w:r w:rsidRPr="002903F1">
        <w:rPr>
          <w:lang w:val="es-ES"/>
        </w:rPr>
        <w:t xml:space="preserve">Agenda de Acción de </w:t>
      </w:r>
      <w:r w:rsidR="004D42D3" w:rsidRPr="002903F1">
        <w:rPr>
          <w:lang w:val="es-ES"/>
        </w:rPr>
        <w:t>Addis Ab</w:t>
      </w:r>
      <w:r w:rsidRPr="002903F1">
        <w:rPr>
          <w:lang w:val="es-ES"/>
        </w:rPr>
        <w:t>e</w:t>
      </w:r>
      <w:r w:rsidR="004D42D3" w:rsidRPr="002903F1">
        <w:rPr>
          <w:lang w:val="es-ES"/>
        </w:rPr>
        <w:t>ba</w:t>
      </w:r>
      <w:r w:rsidR="00060E3C" w:rsidRPr="002903F1">
        <w:rPr>
          <w:lang w:val="es-ES"/>
        </w:rPr>
        <w:t xml:space="preserve">, </w:t>
      </w:r>
      <w:r w:rsidRPr="002903F1">
        <w:rPr>
          <w:lang w:val="es-ES"/>
        </w:rPr>
        <w:t xml:space="preserve">creemos que el </w:t>
      </w:r>
      <w:r w:rsidR="0072429F">
        <w:rPr>
          <w:lang w:val="es-ES"/>
        </w:rPr>
        <w:t>b</w:t>
      </w:r>
      <w:r w:rsidRPr="002903F1">
        <w:rPr>
          <w:lang w:val="es-ES"/>
        </w:rPr>
        <w:t xml:space="preserve">orrador </w:t>
      </w:r>
      <w:r w:rsidR="0072429F">
        <w:rPr>
          <w:lang w:val="es-ES"/>
        </w:rPr>
        <w:t>p</w:t>
      </w:r>
      <w:r w:rsidRPr="002903F1">
        <w:rPr>
          <w:lang w:val="es-ES"/>
        </w:rPr>
        <w:t>reliminar crea unas expectativas poco realistas en cuanto al papel general de la AGCED.</w:t>
      </w:r>
      <w:r w:rsidR="004D42D3" w:rsidRPr="002903F1">
        <w:rPr>
          <w:lang w:val="es-ES"/>
        </w:rPr>
        <w:t xml:space="preserve"> </w:t>
      </w:r>
      <w:r w:rsidRPr="002903F1">
        <w:rPr>
          <w:lang w:val="es-ES"/>
        </w:rPr>
        <w:t>Como consecuencia</w:t>
      </w:r>
      <w:r w:rsidR="004D42D3" w:rsidRPr="002903F1">
        <w:rPr>
          <w:lang w:val="es-ES"/>
        </w:rPr>
        <w:t xml:space="preserve">, </w:t>
      </w:r>
      <w:r w:rsidRPr="002903F1">
        <w:rPr>
          <w:lang w:val="es-ES"/>
        </w:rPr>
        <w:t>se pierden los orígenes de la AGCED</w:t>
      </w:r>
      <w:r w:rsidR="004D42D3" w:rsidRPr="002903F1">
        <w:rPr>
          <w:lang w:val="es-ES"/>
        </w:rPr>
        <w:t xml:space="preserve"> </w:t>
      </w:r>
      <w:r w:rsidR="00813FA0" w:rsidRPr="002903F1">
        <w:rPr>
          <w:lang w:val="es-ES"/>
        </w:rPr>
        <w:t>(</w:t>
      </w:r>
      <w:r w:rsidRPr="002903F1">
        <w:rPr>
          <w:lang w:val="es-ES"/>
        </w:rPr>
        <w:t>Parí</w:t>
      </w:r>
      <w:r w:rsidR="004D42D3" w:rsidRPr="002903F1">
        <w:rPr>
          <w:lang w:val="es-ES"/>
        </w:rPr>
        <w:t xml:space="preserve">s, Accra </w:t>
      </w:r>
      <w:r w:rsidRPr="002903F1">
        <w:rPr>
          <w:lang w:val="es-ES"/>
        </w:rPr>
        <w:t>y</w:t>
      </w:r>
      <w:r w:rsidR="004D42D3" w:rsidRPr="002903F1">
        <w:rPr>
          <w:lang w:val="es-ES"/>
        </w:rPr>
        <w:t xml:space="preserve"> Busan</w:t>
      </w:r>
      <w:r w:rsidR="00813FA0" w:rsidRPr="002903F1">
        <w:rPr>
          <w:lang w:val="es-ES"/>
        </w:rPr>
        <w:t>), as</w:t>
      </w:r>
      <w:r w:rsidRPr="002903F1">
        <w:rPr>
          <w:lang w:val="es-ES"/>
        </w:rPr>
        <w:t>í como su integridad como</w:t>
      </w:r>
      <w:r w:rsidR="00813FA0" w:rsidRPr="002903F1">
        <w:rPr>
          <w:lang w:val="es-ES"/>
        </w:rPr>
        <w:t xml:space="preserve"> </w:t>
      </w:r>
      <w:r w:rsidRPr="002903F1">
        <w:rPr>
          <w:lang w:val="es-ES"/>
        </w:rPr>
        <w:t>entidad independiente</w:t>
      </w:r>
      <w:r w:rsidR="004D42D3" w:rsidRPr="002903F1">
        <w:rPr>
          <w:lang w:val="es-ES"/>
        </w:rPr>
        <w:t xml:space="preserve">. </w:t>
      </w:r>
      <w:r w:rsidR="00295206">
        <w:rPr>
          <w:lang w:val="es-ES"/>
        </w:rPr>
        <w:t>En lugar de ello, e</w:t>
      </w:r>
      <w:r w:rsidR="001E3021" w:rsidRPr="002903F1">
        <w:rPr>
          <w:lang w:val="es-ES"/>
        </w:rPr>
        <w:t xml:space="preserve">s necesario </w:t>
      </w:r>
      <w:r w:rsidR="009A5D04" w:rsidRPr="002903F1">
        <w:rPr>
          <w:lang w:val="es-ES"/>
        </w:rPr>
        <w:t>hacer hincapié en que la mejor manera de la AGCED de contribuir a la ejecución de la Agenda 2030 y la</w:t>
      </w:r>
      <w:r w:rsidR="004D42D3" w:rsidRPr="002903F1">
        <w:rPr>
          <w:lang w:val="es-ES"/>
        </w:rPr>
        <w:t xml:space="preserve"> AAAA </w:t>
      </w:r>
      <w:r w:rsidR="00090A41" w:rsidRPr="002903F1">
        <w:rPr>
          <w:lang w:val="es-ES"/>
        </w:rPr>
        <w:t xml:space="preserve">es respetando </w:t>
      </w:r>
      <w:r w:rsidR="00295206" w:rsidRPr="002903F1">
        <w:rPr>
          <w:lang w:val="es-ES"/>
        </w:rPr>
        <w:t xml:space="preserve">en primer lugar </w:t>
      </w:r>
      <w:r w:rsidR="00090A41" w:rsidRPr="002903F1">
        <w:rPr>
          <w:lang w:val="es-ES"/>
        </w:rPr>
        <w:t>los principios y cumpliendo los compromisos contraídos que constituyen la base de su propia existencia</w:t>
      </w:r>
      <w:r w:rsidR="004D42D3" w:rsidRPr="002903F1">
        <w:rPr>
          <w:lang w:val="es-ES"/>
        </w:rPr>
        <w:t xml:space="preserve">, </w:t>
      </w:r>
      <w:r w:rsidR="00090A41" w:rsidRPr="002903F1">
        <w:rPr>
          <w:lang w:val="es-ES"/>
        </w:rPr>
        <w:t>a saber, mejorar la eficacia de la cooperación al desarrollo</w:t>
      </w:r>
      <w:r w:rsidR="004D42D3" w:rsidRPr="002903F1">
        <w:rPr>
          <w:lang w:val="es-ES"/>
        </w:rPr>
        <w:t xml:space="preserve">. </w:t>
      </w:r>
      <w:r w:rsidR="00090A41" w:rsidRPr="002903F1">
        <w:rPr>
          <w:lang w:val="es-ES"/>
        </w:rPr>
        <w:t>En este sentido</w:t>
      </w:r>
      <w:r w:rsidR="004D42D3" w:rsidRPr="002903F1">
        <w:rPr>
          <w:lang w:val="es-ES"/>
        </w:rPr>
        <w:t xml:space="preserve">, </w:t>
      </w:r>
      <w:r w:rsidR="00090A41" w:rsidRPr="002903F1">
        <w:rPr>
          <w:lang w:val="es-ES"/>
        </w:rPr>
        <w:t>aunque apreciamos los esfuerzos realizados por</w:t>
      </w:r>
      <w:r w:rsidR="00734B29" w:rsidRPr="002903F1">
        <w:rPr>
          <w:lang w:val="es-ES"/>
        </w:rPr>
        <w:t xml:space="preserve"> preservar algunos de los elementos</w:t>
      </w:r>
      <w:r w:rsidR="004D42D3" w:rsidRPr="002903F1">
        <w:rPr>
          <w:lang w:val="es-ES"/>
        </w:rPr>
        <w:t xml:space="preserve"> </w:t>
      </w:r>
      <w:r w:rsidR="00734B29" w:rsidRPr="002903F1">
        <w:rPr>
          <w:lang w:val="es-ES"/>
        </w:rPr>
        <w:t>de la agenda para la eficacia de ayuda al desarrollo</w:t>
      </w:r>
      <w:r w:rsidR="004D42D3" w:rsidRPr="002903F1">
        <w:rPr>
          <w:lang w:val="es-ES"/>
        </w:rPr>
        <w:t xml:space="preserve"> (</w:t>
      </w:r>
      <w:r w:rsidR="00734B29" w:rsidRPr="002903F1">
        <w:rPr>
          <w:lang w:val="es-ES"/>
        </w:rPr>
        <w:t>como desvincular la ayuda y el uso de sistemas nacionales</w:t>
      </w:r>
      <w:r w:rsidR="004D42D3" w:rsidRPr="002903F1">
        <w:rPr>
          <w:lang w:val="es-ES"/>
        </w:rPr>
        <w:t>)</w:t>
      </w:r>
      <w:r w:rsidR="00734B29" w:rsidRPr="002903F1">
        <w:rPr>
          <w:lang w:val="es-ES"/>
        </w:rPr>
        <w:t>, lamentamos que no se mencione</w:t>
      </w:r>
      <w:r w:rsidR="00061837">
        <w:rPr>
          <w:lang w:val="es-ES"/>
        </w:rPr>
        <w:t>n</w:t>
      </w:r>
      <w:r w:rsidR="00734B29" w:rsidRPr="002903F1">
        <w:rPr>
          <w:lang w:val="es-ES"/>
        </w:rPr>
        <w:t xml:space="preserve"> ni una sola vez en el texto</w:t>
      </w:r>
      <w:r w:rsidR="00061837">
        <w:rPr>
          <w:lang w:val="es-ES"/>
        </w:rPr>
        <w:t xml:space="preserve"> ni</w:t>
      </w:r>
      <w:r w:rsidR="00734B29" w:rsidRPr="002903F1">
        <w:rPr>
          <w:lang w:val="es-ES"/>
        </w:rPr>
        <w:t xml:space="preserve"> la Declaración de París </w:t>
      </w:r>
      <w:r w:rsidR="00061837">
        <w:rPr>
          <w:lang w:val="es-ES"/>
        </w:rPr>
        <w:t>ni</w:t>
      </w:r>
      <w:r w:rsidR="00734B29" w:rsidRPr="002903F1">
        <w:rPr>
          <w:lang w:val="es-ES"/>
        </w:rPr>
        <w:t xml:space="preserve"> el Programa de Acción de</w:t>
      </w:r>
      <w:r w:rsidR="004D42D3" w:rsidRPr="002903F1">
        <w:rPr>
          <w:lang w:val="es-ES"/>
        </w:rPr>
        <w:t xml:space="preserve"> Accra, </w:t>
      </w:r>
      <w:r w:rsidR="00734B29" w:rsidRPr="002903F1">
        <w:rPr>
          <w:lang w:val="es-ES"/>
        </w:rPr>
        <w:t>que son pilares de esta agenda</w:t>
      </w:r>
      <w:r w:rsidR="004D42D3" w:rsidRPr="002903F1">
        <w:rPr>
          <w:lang w:val="es-ES"/>
        </w:rPr>
        <w:t xml:space="preserve">.      </w:t>
      </w:r>
    </w:p>
    <w:p w:rsidR="00516B86" w:rsidRPr="002903F1" w:rsidRDefault="00516B86">
      <w:pPr>
        <w:rPr>
          <w:lang w:val="es-ES"/>
        </w:rPr>
      </w:pPr>
    </w:p>
    <w:p w:rsidR="004D42D3" w:rsidRPr="002903F1" w:rsidRDefault="0065354C" w:rsidP="0065354C">
      <w:pPr>
        <w:rPr>
          <w:b/>
          <w:lang w:val="es-ES"/>
        </w:rPr>
      </w:pPr>
      <w:r w:rsidRPr="002903F1">
        <w:rPr>
          <w:b/>
          <w:lang w:val="es-ES"/>
        </w:rPr>
        <w:t>Enfoque basado en los derechos humanos y trabajo decente</w:t>
      </w:r>
    </w:p>
    <w:p w:rsidR="00813FA0" w:rsidRDefault="0065354C" w:rsidP="001031DF">
      <w:pPr>
        <w:rPr>
          <w:lang w:val="es-ES"/>
        </w:rPr>
      </w:pPr>
      <w:r w:rsidRPr="002903F1">
        <w:rPr>
          <w:lang w:val="es-ES"/>
        </w:rPr>
        <w:t>Es sorprendente</w:t>
      </w:r>
      <w:r w:rsidR="00813FA0" w:rsidRPr="002903F1">
        <w:rPr>
          <w:lang w:val="es-ES"/>
        </w:rPr>
        <w:t xml:space="preserve"> </w:t>
      </w:r>
      <w:r w:rsidRPr="002903F1">
        <w:rPr>
          <w:lang w:val="es-ES"/>
        </w:rPr>
        <w:t xml:space="preserve">que compromisos </w:t>
      </w:r>
      <w:r w:rsidR="001031DF" w:rsidRPr="002903F1">
        <w:rPr>
          <w:lang w:val="es-ES"/>
        </w:rPr>
        <w:t xml:space="preserve">convenidos internacionalmente </w:t>
      </w:r>
      <w:r w:rsidRPr="002903F1">
        <w:rPr>
          <w:lang w:val="es-ES"/>
        </w:rPr>
        <w:t xml:space="preserve">en materia de derechos humanos </w:t>
      </w:r>
      <w:r w:rsidR="00BF6A62" w:rsidRPr="002903F1">
        <w:rPr>
          <w:lang w:val="es-ES"/>
        </w:rPr>
        <w:t>(</w:t>
      </w:r>
      <w:r w:rsidR="00E51660" w:rsidRPr="002903F1">
        <w:rPr>
          <w:b/>
          <w:bCs/>
          <w:lang w:val="es-ES"/>
        </w:rPr>
        <w:t>trabajo decente</w:t>
      </w:r>
      <w:r w:rsidR="00BF6A62" w:rsidRPr="002903F1">
        <w:rPr>
          <w:lang w:val="es-ES"/>
        </w:rPr>
        <w:t xml:space="preserve">, </w:t>
      </w:r>
      <w:r w:rsidR="00FF3D4D" w:rsidRPr="002903F1">
        <w:rPr>
          <w:lang w:val="es-ES"/>
        </w:rPr>
        <w:t>igualdad de género</w:t>
      </w:r>
      <w:r w:rsidR="00BF6A62" w:rsidRPr="002903F1">
        <w:rPr>
          <w:lang w:val="es-ES"/>
        </w:rPr>
        <w:t xml:space="preserve">, </w:t>
      </w:r>
      <w:r w:rsidR="00FF3D4D" w:rsidRPr="002903F1">
        <w:rPr>
          <w:lang w:val="es-ES"/>
        </w:rPr>
        <w:t>sostenibilidad ambiental y discapacidad</w:t>
      </w:r>
      <w:r w:rsidR="00BF6A62" w:rsidRPr="002903F1">
        <w:rPr>
          <w:lang w:val="es-ES"/>
        </w:rPr>
        <w:t xml:space="preserve">) </w:t>
      </w:r>
      <w:r w:rsidR="001031DF" w:rsidRPr="002903F1">
        <w:rPr>
          <w:lang w:val="es-ES"/>
        </w:rPr>
        <w:t>hayan desaparecido en el borrador preliminar de la RAN</w:t>
      </w:r>
      <w:r w:rsidR="00BF6A62" w:rsidRPr="002903F1">
        <w:rPr>
          <w:lang w:val="es-ES"/>
        </w:rPr>
        <w:t xml:space="preserve">2, </w:t>
      </w:r>
      <w:r w:rsidR="001031DF" w:rsidRPr="002903F1">
        <w:rPr>
          <w:lang w:val="es-ES"/>
        </w:rPr>
        <w:t xml:space="preserve">a diferencia de las declaraciones de </w:t>
      </w:r>
      <w:r w:rsidR="00BF6A62" w:rsidRPr="002903F1">
        <w:rPr>
          <w:lang w:val="es-ES"/>
        </w:rPr>
        <w:t xml:space="preserve">Busan </w:t>
      </w:r>
      <w:r w:rsidR="001031DF" w:rsidRPr="002903F1">
        <w:rPr>
          <w:lang w:val="es-ES"/>
        </w:rPr>
        <w:t>y</w:t>
      </w:r>
      <w:r w:rsidR="00BF6A62" w:rsidRPr="002903F1">
        <w:rPr>
          <w:lang w:val="es-ES"/>
        </w:rPr>
        <w:t xml:space="preserve"> M</w:t>
      </w:r>
      <w:r w:rsidR="001031DF" w:rsidRPr="002903F1">
        <w:rPr>
          <w:lang w:val="es-ES"/>
        </w:rPr>
        <w:t>é</w:t>
      </w:r>
      <w:r w:rsidR="00BF6A62" w:rsidRPr="002903F1">
        <w:rPr>
          <w:lang w:val="es-ES"/>
        </w:rPr>
        <w:t>xico</w:t>
      </w:r>
      <w:r w:rsidR="00813FA0" w:rsidRPr="002903F1">
        <w:rPr>
          <w:lang w:val="es-ES"/>
        </w:rPr>
        <w:t>.</w:t>
      </w:r>
    </w:p>
    <w:p w:rsidR="006A34B7" w:rsidRPr="002903F1" w:rsidRDefault="006A34B7" w:rsidP="001031DF">
      <w:pPr>
        <w:rPr>
          <w:lang w:val="es-ES"/>
        </w:rPr>
      </w:pPr>
    </w:p>
    <w:p w:rsidR="00833D64" w:rsidRPr="002903F1" w:rsidRDefault="006A34B7" w:rsidP="006A34B7">
      <w:pPr>
        <w:rPr>
          <w:lang w:val="es-ES"/>
        </w:rPr>
      </w:pPr>
      <w:r>
        <w:rPr>
          <w:lang w:val="es-ES"/>
        </w:rPr>
        <w:t xml:space="preserve">La </w:t>
      </w:r>
      <w:r w:rsidRPr="002903F1">
        <w:rPr>
          <w:lang w:val="es-ES"/>
        </w:rPr>
        <w:t>Agenda 2030</w:t>
      </w:r>
      <w:bookmarkStart w:id="0" w:name="_GoBack"/>
      <w:bookmarkEnd w:id="0"/>
      <w:r w:rsidRPr="002903F1">
        <w:rPr>
          <w:lang w:val="es-ES"/>
        </w:rPr>
        <w:t xml:space="preserve"> </w:t>
      </w:r>
      <w:r>
        <w:rPr>
          <w:lang w:val="es-ES"/>
        </w:rPr>
        <w:t>está basada en l</w:t>
      </w:r>
      <w:r w:rsidR="001031DF" w:rsidRPr="002903F1">
        <w:rPr>
          <w:lang w:val="es-ES"/>
        </w:rPr>
        <w:t>os derechos humanos y el enfoque basado en los derechos humanos (EBDH) respalda la agenda para la eficacia del desarrollo</w:t>
      </w:r>
      <w:r w:rsidR="005E253F" w:rsidRPr="002903F1">
        <w:rPr>
          <w:lang w:val="es-ES"/>
        </w:rPr>
        <w:t xml:space="preserve">. </w:t>
      </w:r>
      <w:r>
        <w:rPr>
          <w:lang w:val="es-ES"/>
        </w:rPr>
        <w:t>Por eso</w:t>
      </w:r>
      <w:r w:rsidR="001031DF" w:rsidRPr="002903F1">
        <w:rPr>
          <w:lang w:val="es-ES"/>
        </w:rPr>
        <w:t xml:space="preserve">, lamentamos que el EBDH no aparezca en absoluto en el borrador preliminar y </w:t>
      </w:r>
      <w:r>
        <w:rPr>
          <w:lang w:val="es-ES"/>
        </w:rPr>
        <w:t xml:space="preserve">creemos que </w:t>
      </w:r>
      <w:r w:rsidR="001031DF" w:rsidRPr="002903F1">
        <w:rPr>
          <w:lang w:val="es-ES"/>
        </w:rPr>
        <w:t>por lo tanto es necesario reforzar esta área</w:t>
      </w:r>
      <w:r w:rsidR="00833D64" w:rsidRPr="002903F1">
        <w:rPr>
          <w:lang w:val="es-ES"/>
        </w:rPr>
        <w:t xml:space="preserve">.  </w:t>
      </w:r>
    </w:p>
    <w:p w:rsidR="00833D64" w:rsidRPr="002903F1" w:rsidRDefault="001031DF" w:rsidP="001031DF">
      <w:pPr>
        <w:tabs>
          <w:tab w:val="left" w:pos="6566"/>
        </w:tabs>
        <w:rPr>
          <w:lang w:val="es-ES"/>
        </w:rPr>
      </w:pPr>
      <w:r w:rsidRPr="002903F1">
        <w:rPr>
          <w:lang w:val="es-ES"/>
        </w:rPr>
        <w:tab/>
      </w:r>
    </w:p>
    <w:p w:rsidR="00705F7C" w:rsidRPr="002903F1" w:rsidRDefault="00081825" w:rsidP="00081825">
      <w:pPr>
        <w:rPr>
          <w:lang w:val="es-ES"/>
        </w:rPr>
      </w:pPr>
      <w:r w:rsidRPr="002903F1">
        <w:rPr>
          <w:lang w:val="es-ES"/>
        </w:rPr>
        <w:t>Además, echamos en falta una referencia al trabajo decente</w:t>
      </w:r>
      <w:r w:rsidR="00833D64" w:rsidRPr="002903F1">
        <w:rPr>
          <w:lang w:val="es-ES"/>
        </w:rPr>
        <w:t xml:space="preserve">. </w:t>
      </w:r>
      <w:r w:rsidRPr="002903F1">
        <w:rPr>
          <w:lang w:val="es-ES"/>
        </w:rPr>
        <w:t>Si insistimos en el papel del sector privado en la consecución del desarrollo sostenible</w:t>
      </w:r>
      <w:r w:rsidR="00833D64" w:rsidRPr="002903F1">
        <w:rPr>
          <w:lang w:val="es-ES"/>
        </w:rPr>
        <w:t xml:space="preserve">, </w:t>
      </w:r>
      <w:r w:rsidRPr="002903F1">
        <w:rPr>
          <w:lang w:val="es-ES"/>
        </w:rPr>
        <w:t>en gran parte como</w:t>
      </w:r>
      <w:r w:rsidR="00833D64" w:rsidRPr="002903F1">
        <w:rPr>
          <w:lang w:val="es-ES"/>
        </w:rPr>
        <w:t xml:space="preserve"> “</w:t>
      </w:r>
      <w:r w:rsidRPr="002903F1">
        <w:rPr>
          <w:lang w:val="es-ES"/>
        </w:rPr>
        <w:t>creador de empleo</w:t>
      </w:r>
      <w:r w:rsidR="00833D64" w:rsidRPr="002903F1">
        <w:rPr>
          <w:lang w:val="es-ES"/>
        </w:rPr>
        <w:t xml:space="preserve">”, </w:t>
      </w:r>
      <w:r w:rsidRPr="002903F1">
        <w:rPr>
          <w:lang w:val="es-ES"/>
        </w:rPr>
        <w:t>entonces debemos encontrar el equilibrio e insistir en que se incluya el trabajo decente como el marco que oriente nuestra ambición</w:t>
      </w:r>
      <w:r w:rsidR="00705F7C" w:rsidRPr="002903F1">
        <w:rPr>
          <w:lang w:val="es-ES"/>
        </w:rPr>
        <w:t xml:space="preserve">.  </w:t>
      </w:r>
    </w:p>
    <w:p w:rsidR="00705F7C" w:rsidRPr="002903F1" w:rsidRDefault="00705F7C">
      <w:pPr>
        <w:rPr>
          <w:lang w:val="es-ES"/>
        </w:rPr>
      </w:pPr>
    </w:p>
    <w:p w:rsidR="005E253F" w:rsidRPr="002903F1" w:rsidRDefault="00081825" w:rsidP="00081825">
      <w:pPr>
        <w:rPr>
          <w:lang w:val="es-ES"/>
        </w:rPr>
      </w:pPr>
      <w:r w:rsidRPr="002903F1">
        <w:rPr>
          <w:b/>
          <w:lang w:val="es-ES"/>
        </w:rPr>
        <w:t>El diálogo social es una alianza clave de múltiples partes interesadas</w:t>
      </w:r>
      <w:r w:rsidR="00833D64" w:rsidRPr="002903F1">
        <w:rPr>
          <w:lang w:val="es-ES"/>
        </w:rPr>
        <w:t xml:space="preserve">      </w:t>
      </w:r>
      <w:r w:rsidR="005E253F" w:rsidRPr="002903F1">
        <w:rPr>
          <w:lang w:val="es-ES"/>
        </w:rPr>
        <w:t xml:space="preserve">  </w:t>
      </w:r>
    </w:p>
    <w:p w:rsidR="00833D64" w:rsidRPr="002903F1" w:rsidRDefault="00081825" w:rsidP="006A34B7">
      <w:pPr>
        <w:rPr>
          <w:lang w:val="es-ES"/>
        </w:rPr>
      </w:pPr>
      <w:r w:rsidRPr="002903F1">
        <w:rPr>
          <w:lang w:val="es-ES"/>
        </w:rPr>
        <w:t>Se ha hecho un gran hincapié en el papel de las alianzas de múltiples partes interesadas</w:t>
      </w:r>
      <w:r w:rsidR="00317055" w:rsidRPr="002903F1">
        <w:rPr>
          <w:lang w:val="es-ES"/>
        </w:rPr>
        <w:t xml:space="preserve">. </w:t>
      </w:r>
      <w:r w:rsidRPr="002903F1">
        <w:rPr>
          <w:lang w:val="es-ES"/>
        </w:rPr>
        <w:t>Por ello</w:t>
      </w:r>
      <w:r w:rsidR="00317055" w:rsidRPr="002903F1">
        <w:rPr>
          <w:lang w:val="es-ES"/>
        </w:rPr>
        <w:t xml:space="preserve">, </w:t>
      </w:r>
      <w:r w:rsidRPr="002903F1">
        <w:rPr>
          <w:lang w:val="es-ES"/>
        </w:rPr>
        <w:t xml:space="preserve">destacamos el diálogo </w:t>
      </w:r>
      <w:r w:rsidR="004A20DA" w:rsidRPr="002903F1">
        <w:rPr>
          <w:lang w:val="es-ES"/>
        </w:rPr>
        <w:t xml:space="preserve">social </w:t>
      </w:r>
      <w:r w:rsidRPr="002903F1">
        <w:rPr>
          <w:lang w:val="es-ES"/>
        </w:rPr>
        <w:t>como una modalidad ejemplar de alianza de múltiples partes interesadas que debería ser promovida</w:t>
      </w:r>
      <w:r w:rsidR="006A34B7">
        <w:rPr>
          <w:lang w:val="es-ES"/>
        </w:rPr>
        <w:t xml:space="preserve"> y utilizada, especialmente dada</w:t>
      </w:r>
      <w:r w:rsidRPr="002903F1">
        <w:rPr>
          <w:lang w:val="es-ES"/>
        </w:rPr>
        <w:t xml:space="preserve"> la importancia otorgada al papel</w:t>
      </w:r>
      <w:r w:rsidR="00FF48D0" w:rsidRPr="002903F1">
        <w:rPr>
          <w:lang w:val="es-ES"/>
        </w:rPr>
        <w:t xml:space="preserve"> </w:t>
      </w:r>
      <w:r w:rsidRPr="002903F1">
        <w:rPr>
          <w:lang w:val="es-ES"/>
        </w:rPr>
        <w:t>del</w:t>
      </w:r>
      <w:r w:rsidR="004A20DA" w:rsidRPr="002903F1">
        <w:rPr>
          <w:lang w:val="es-ES"/>
        </w:rPr>
        <w:t xml:space="preserve"> sector</w:t>
      </w:r>
      <w:r w:rsidRPr="002903F1">
        <w:rPr>
          <w:lang w:val="es-ES"/>
        </w:rPr>
        <w:t xml:space="preserve"> privado</w:t>
      </w:r>
      <w:r w:rsidR="00317055" w:rsidRPr="002903F1">
        <w:rPr>
          <w:lang w:val="es-ES"/>
        </w:rPr>
        <w:t>.</w:t>
      </w:r>
      <w:r w:rsidR="00366E55" w:rsidRPr="002903F1">
        <w:rPr>
          <w:lang w:val="es-ES"/>
        </w:rPr>
        <w:t xml:space="preserve"> </w:t>
      </w:r>
      <w:r w:rsidRPr="002903F1">
        <w:rPr>
          <w:lang w:val="es-ES"/>
        </w:rPr>
        <w:t>El diálogo</w:t>
      </w:r>
      <w:r w:rsidR="00366E55" w:rsidRPr="002903F1">
        <w:rPr>
          <w:lang w:val="es-ES"/>
        </w:rPr>
        <w:t xml:space="preserve"> social, </w:t>
      </w:r>
      <w:r w:rsidRPr="002903F1">
        <w:rPr>
          <w:lang w:val="es-ES"/>
        </w:rPr>
        <w:t>que reúne a los interlocutores sociales</w:t>
      </w:r>
      <w:r w:rsidR="00366E55" w:rsidRPr="002903F1">
        <w:rPr>
          <w:lang w:val="es-ES"/>
        </w:rPr>
        <w:t xml:space="preserve"> (</w:t>
      </w:r>
      <w:r w:rsidRPr="002903F1">
        <w:rPr>
          <w:lang w:val="es-ES"/>
        </w:rPr>
        <w:t>organizaciones de trabajadores y empleadores</w:t>
      </w:r>
      <w:r w:rsidR="00366E55" w:rsidRPr="002903F1">
        <w:rPr>
          <w:lang w:val="es-ES"/>
        </w:rPr>
        <w:t xml:space="preserve">), </w:t>
      </w:r>
      <w:r w:rsidRPr="002903F1">
        <w:rPr>
          <w:lang w:val="es-ES"/>
        </w:rPr>
        <w:t>debería ser promovido como un medio de aplicación</w:t>
      </w:r>
      <w:r w:rsidR="00366E55" w:rsidRPr="002903F1">
        <w:rPr>
          <w:lang w:val="es-ES"/>
        </w:rPr>
        <w:t xml:space="preserve"> </w:t>
      </w:r>
      <w:r w:rsidR="008B7066" w:rsidRPr="002903F1">
        <w:rPr>
          <w:lang w:val="es-ES"/>
        </w:rPr>
        <w:t>que puede servir de apoyo a los tres pilares de la agenda para el desarrollo sostenibles, representa un elemento esencial del programa de trabajo decente y puede ayudar a garantizar que el</w:t>
      </w:r>
      <w:r w:rsidR="00366E55" w:rsidRPr="002903F1">
        <w:rPr>
          <w:lang w:val="es-ES"/>
        </w:rPr>
        <w:t xml:space="preserve"> sector</w:t>
      </w:r>
      <w:r w:rsidR="008B7066" w:rsidRPr="002903F1">
        <w:rPr>
          <w:lang w:val="es-ES"/>
        </w:rPr>
        <w:t xml:space="preserve"> privado contribuya a los objetivos de desarrollo sostenible, algo que no se puede dar por sentado</w:t>
      </w:r>
      <w:r w:rsidR="00366E55" w:rsidRPr="002903F1">
        <w:rPr>
          <w:lang w:val="es-ES"/>
        </w:rPr>
        <w:t>.</w:t>
      </w:r>
      <w:r w:rsidR="00FF48D0" w:rsidRPr="002903F1">
        <w:rPr>
          <w:lang w:val="es-ES"/>
        </w:rPr>
        <w:t xml:space="preserve"> </w:t>
      </w:r>
      <w:r w:rsidR="00827609" w:rsidRPr="002903F1">
        <w:rPr>
          <w:lang w:val="es-ES"/>
        </w:rPr>
        <w:t>Sería conveniente incluir una referencia específica al diálogo</w:t>
      </w:r>
      <w:r w:rsidR="00D7234D" w:rsidRPr="002903F1">
        <w:rPr>
          <w:lang w:val="es-ES"/>
        </w:rPr>
        <w:t xml:space="preserve"> social </w:t>
      </w:r>
      <w:r w:rsidR="00827609" w:rsidRPr="002903F1">
        <w:rPr>
          <w:lang w:val="es-ES"/>
        </w:rPr>
        <w:t>tanto en el párrafo introductorio</w:t>
      </w:r>
      <w:r w:rsidR="00D7234D" w:rsidRPr="002903F1">
        <w:rPr>
          <w:lang w:val="es-ES"/>
        </w:rPr>
        <w:t xml:space="preserve"> 9 </w:t>
      </w:r>
      <w:r w:rsidR="006A34B7">
        <w:rPr>
          <w:lang w:val="es-ES"/>
        </w:rPr>
        <w:t>como en</w:t>
      </w:r>
      <w:r w:rsidR="00D7234D" w:rsidRPr="002903F1">
        <w:rPr>
          <w:lang w:val="es-ES"/>
        </w:rPr>
        <w:t xml:space="preserve"> </w:t>
      </w:r>
      <w:r w:rsidR="00827609" w:rsidRPr="002903F1">
        <w:rPr>
          <w:lang w:val="es-ES"/>
        </w:rPr>
        <w:t>la última sección del anexo</w:t>
      </w:r>
      <w:r w:rsidR="00D7234D" w:rsidRPr="002903F1">
        <w:rPr>
          <w:lang w:val="es-ES"/>
        </w:rPr>
        <w:t xml:space="preserve">.  </w:t>
      </w:r>
    </w:p>
    <w:p w:rsidR="00317055" w:rsidRDefault="00317055">
      <w:pPr>
        <w:rPr>
          <w:lang w:val="es-ES"/>
        </w:rPr>
      </w:pPr>
    </w:p>
    <w:p w:rsidR="006A34B7" w:rsidRDefault="006A34B7">
      <w:pPr>
        <w:rPr>
          <w:lang w:val="es-ES"/>
        </w:rPr>
      </w:pPr>
    </w:p>
    <w:p w:rsidR="006A34B7" w:rsidRPr="002903F1" w:rsidRDefault="006A34B7">
      <w:pPr>
        <w:rPr>
          <w:lang w:val="es-ES"/>
        </w:rPr>
      </w:pPr>
    </w:p>
    <w:p w:rsidR="00D7234D" w:rsidRPr="002903F1" w:rsidRDefault="00827609">
      <w:pPr>
        <w:rPr>
          <w:i/>
          <w:lang w:val="es-ES"/>
        </w:rPr>
      </w:pPr>
      <w:r w:rsidRPr="002903F1">
        <w:rPr>
          <w:i/>
          <w:lang w:val="es-ES"/>
        </w:rPr>
        <w:lastRenderedPageBreak/>
        <w:t>Comentarios específicos</w:t>
      </w:r>
    </w:p>
    <w:p w:rsidR="009D49C6" w:rsidRPr="002903F1" w:rsidRDefault="00827609" w:rsidP="00E51660">
      <w:pPr>
        <w:rPr>
          <w:b/>
          <w:lang w:val="es-ES"/>
        </w:rPr>
      </w:pPr>
      <w:r w:rsidRPr="002903F1">
        <w:rPr>
          <w:b/>
          <w:lang w:val="es-ES"/>
        </w:rPr>
        <w:t>Desvincular la ayuda</w:t>
      </w:r>
      <w:r w:rsidR="009D49C6" w:rsidRPr="002903F1">
        <w:rPr>
          <w:b/>
          <w:lang w:val="es-ES"/>
        </w:rPr>
        <w:t xml:space="preserve"> (</w:t>
      </w:r>
      <w:r w:rsidR="00E51660" w:rsidRPr="002903F1">
        <w:rPr>
          <w:b/>
          <w:lang w:val="es-ES"/>
        </w:rPr>
        <w:t xml:space="preserve">Anexo; párrafo </w:t>
      </w:r>
      <w:r w:rsidR="009D49C6" w:rsidRPr="002903F1">
        <w:rPr>
          <w:b/>
          <w:lang w:val="es-ES"/>
        </w:rPr>
        <w:t>8)</w:t>
      </w:r>
    </w:p>
    <w:p w:rsidR="009D49C6" w:rsidRPr="007D2EBB" w:rsidRDefault="002903F1" w:rsidP="006A34B7">
      <w:pPr>
        <w:rPr>
          <w:lang w:val="es-ES"/>
        </w:rPr>
      </w:pPr>
      <w:r w:rsidRPr="002903F1">
        <w:rPr>
          <w:lang w:val="es-ES"/>
        </w:rPr>
        <w:t xml:space="preserve">En general, </w:t>
      </w:r>
      <w:r w:rsidR="006A34B7" w:rsidRPr="002903F1">
        <w:rPr>
          <w:lang w:val="es-ES"/>
        </w:rPr>
        <w:t xml:space="preserve">debería reforzarse </w:t>
      </w:r>
      <w:r w:rsidRPr="002903F1">
        <w:rPr>
          <w:lang w:val="es-ES"/>
        </w:rPr>
        <w:t>el párrafo para alcanzar el objetivo de desvincular completamente toda la ayuda</w:t>
      </w:r>
      <w:r w:rsidR="009D49C6" w:rsidRPr="002903F1">
        <w:rPr>
          <w:lang w:val="es-ES"/>
        </w:rPr>
        <w:t xml:space="preserve">. </w:t>
      </w:r>
      <w:r w:rsidRPr="002903F1">
        <w:rPr>
          <w:lang w:val="es-ES"/>
        </w:rPr>
        <w:t>Se trata de un compromiso contraído por los donantes desde la Declaraci</w:t>
      </w:r>
      <w:r>
        <w:rPr>
          <w:lang w:val="es-ES"/>
        </w:rPr>
        <w:t>ón de Parí</w:t>
      </w:r>
      <w:r w:rsidR="009D49C6" w:rsidRPr="002903F1">
        <w:rPr>
          <w:lang w:val="es-ES"/>
        </w:rPr>
        <w:t xml:space="preserve">s </w:t>
      </w:r>
      <w:r>
        <w:rPr>
          <w:lang w:val="es-ES"/>
        </w:rPr>
        <w:t>que ha resultado difícil cumplir</w:t>
      </w:r>
      <w:r w:rsidR="009D49C6" w:rsidRPr="002903F1">
        <w:rPr>
          <w:lang w:val="es-ES"/>
        </w:rPr>
        <w:t xml:space="preserve">. </w:t>
      </w:r>
      <w:r w:rsidRPr="002903F1">
        <w:rPr>
          <w:lang w:val="es-ES"/>
        </w:rPr>
        <w:t>Siguen surgiendo nuevas formas de ayuda ligada</w:t>
      </w:r>
      <w:r w:rsidR="009D49C6" w:rsidRPr="002903F1">
        <w:rPr>
          <w:lang w:val="es-ES"/>
        </w:rPr>
        <w:t>, especial</w:t>
      </w:r>
      <w:r w:rsidRPr="002903F1">
        <w:rPr>
          <w:lang w:val="es-ES"/>
        </w:rPr>
        <w:t xml:space="preserve">mente ahora que se </w:t>
      </w:r>
      <w:r>
        <w:rPr>
          <w:lang w:val="es-ES"/>
        </w:rPr>
        <w:t xml:space="preserve">promueve la participación del sector privado en estos ámbitos y </w:t>
      </w:r>
      <w:r w:rsidR="009D49C6" w:rsidRPr="002903F1">
        <w:rPr>
          <w:lang w:val="es-ES"/>
        </w:rPr>
        <w:t xml:space="preserve">debates. </w:t>
      </w:r>
      <w:r w:rsidR="007D2EBB" w:rsidRPr="007D2EBB">
        <w:rPr>
          <w:lang w:val="es-ES"/>
        </w:rPr>
        <w:t>Acogemos con satisfacción la noción de animar al sector privado a que use proveedores locales</w:t>
      </w:r>
      <w:r w:rsidR="00BE200E" w:rsidRPr="007D2EBB">
        <w:rPr>
          <w:lang w:val="es-ES"/>
        </w:rPr>
        <w:t xml:space="preserve">. </w:t>
      </w:r>
      <w:r w:rsidR="007D2EBB" w:rsidRPr="007D2EBB">
        <w:rPr>
          <w:lang w:val="es-ES"/>
        </w:rPr>
        <w:t>Sin embargo</w:t>
      </w:r>
      <w:r w:rsidR="006148C2" w:rsidRPr="007D2EBB">
        <w:rPr>
          <w:lang w:val="es-ES"/>
        </w:rPr>
        <w:t xml:space="preserve">, </w:t>
      </w:r>
      <w:r w:rsidR="007D2EBB" w:rsidRPr="007D2EBB">
        <w:rPr>
          <w:lang w:val="es-ES"/>
        </w:rPr>
        <w:t>también deberíamos insist</w:t>
      </w:r>
      <w:r w:rsidR="007D2EBB">
        <w:rPr>
          <w:lang w:val="es-ES"/>
        </w:rPr>
        <w:t>i</w:t>
      </w:r>
      <w:r w:rsidR="007D2EBB" w:rsidRPr="007D2EBB">
        <w:rPr>
          <w:lang w:val="es-ES"/>
        </w:rPr>
        <w:t>r en que los fondos públicos de los donantes</w:t>
      </w:r>
      <w:r w:rsidR="009D49C6" w:rsidRPr="007D2EBB">
        <w:rPr>
          <w:lang w:val="es-ES"/>
        </w:rPr>
        <w:t xml:space="preserve"> </w:t>
      </w:r>
      <w:r w:rsidR="007D2EBB">
        <w:rPr>
          <w:lang w:val="es-ES"/>
        </w:rPr>
        <w:t>destinados a sostener las actividades del sector privado se asignen al sector privado local/nacional en lugar de estar “</w:t>
      </w:r>
      <w:r w:rsidR="006A34B7">
        <w:rPr>
          <w:lang w:val="es-ES"/>
        </w:rPr>
        <w:t>ligados</w:t>
      </w:r>
      <w:r w:rsidR="007D2EBB">
        <w:rPr>
          <w:lang w:val="es-ES"/>
        </w:rPr>
        <w:t>” al sector privado de los donantes</w:t>
      </w:r>
      <w:r w:rsidR="006148C2" w:rsidRPr="007D2EBB">
        <w:rPr>
          <w:lang w:val="es-ES"/>
        </w:rPr>
        <w:t xml:space="preserve">.   </w:t>
      </w:r>
      <w:r w:rsidR="009D49C6" w:rsidRPr="007D2EBB">
        <w:rPr>
          <w:lang w:val="es-ES"/>
        </w:rPr>
        <w:t xml:space="preserve">   </w:t>
      </w:r>
    </w:p>
    <w:p w:rsidR="009D49C6" w:rsidRPr="007D2EBB" w:rsidRDefault="009D49C6">
      <w:pPr>
        <w:rPr>
          <w:lang w:val="es-ES"/>
        </w:rPr>
      </w:pPr>
    </w:p>
    <w:p w:rsidR="00BF46ED" w:rsidRPr="00ED3A74" w:rsidRDefault="00BF46ED" w:rsidP="00ED3A74">
      <w:pPr>
        <w:rPr>
          <w:b/>
          <w:lang w:val="es-ES"/>
        </w:rPr>
      </w:pPr>
      <w:r w:rsidRPr="00ED3A74">
        <w:rPr>
          <w:b/>
          <w:lang w:val="es-ES"/>
        </w:rPr>
        <w:t>E</w:t>
      </w:r>
      <w:r w:rsidR="009F2D1D">
        <w:rPr>
          <w:b/>
          <w:lang w:val="es-ES"/>
        </w:rPr>
        <w:t>mpoderamiento</w:t>
      </w:r>
      <w:r w:rsidR="00ED3A74" w:rsidRPr="00ED3A74">
        <w:rPr>
          <w:b/>
          <w:lang w:val="es-ES"/>
        </w:rPr>
        <w:t xml:space="preserve"> económico de las mujeres y los j</w:t>
      </w:r>
      <w:r w:rsidR="00ED3A74">
        <w:rPr>
          <w:b/>
          <w:lang w:val="es-ES"/>
        </w:rPr>
        <w:t xml:space="preserve">óvenes </w:t>
      </w:r>
      <w:r w:rsidR="006663B2" w:rsidRPr="00ED3A74">
        <w:rPr>
          <w:b/>
          <w:lang w:val="es-ES"/>
        </w:rPr>
        <w:t>(</w:t>
      </w:r>
      <w:r w:rsidR="00E51660" w:rsidRPr="00ED3A74">
        <w:rPr>
          <w:b/>
          <w:lang w:val="es-ES"/>
        </w:rPr>
        <w:t xml:space="preserve">Anexo; párrafo </w:t>
      </w:r>
      <w:r w:rsidR="006663B2" w:rsidRPr="00ED3A74">
        <w:rPr>
          <w:b/>
          <w:lang w:val="es-ES"/>
        </w:rPr>
        <w:t>16)</w:t>
      </w:r>
    </w:p>
    <w:p w:rsidR="006663B2" w:rsidRPr="009F2D1D" w:rsidRDefault="001C44DF" w:rsidP="006A34B7">
      <w:pPr>
        <w:rPr>
          <w:lang w:val="es-ES"/>
        </w:rPr>
      </w:pPr>
      <w:r w:rsidRPr="001C44DF">
        <w:rPr>
          <w:lang w:val="es-ES"/>
        </w:rPr>
        <w:t>Acogemos con satisfacción la atenc</w:t>
      </w:r>
      <w:r>
        <w:rPr>
          <w:lang w:val="es-ES"/>
        </w:rPr>
        <w:t>ión que se presta al empoderami</w:t>
      </w:r>
      <w:r w:rsidRPr="001C44DF">
        <w:rPr>
          <w:lang w:val="es-ES"/>
        </w:rPr>
        <w:t xml:space="preserve">ento </w:t>
      </w:r>
      <w:r>
        <w:rPr>
          <w:lang w:val="es-ES"/>
        </w:rPr>
        <w:t>de las mujeres y los jóvenes</w:t>
      </w:r>
      <w:r w:rsidR="006663B2" w:rsidRPr="001C44DF">
        <w:rPr>
          <w:lang w:val="es-ES"/>
        </w:rPr>
        <w:t xml:space="preserve">. </w:t>
      </w:r>
      <w:r w:rsidR="009F2D1D" w:rsidRPr="009F2D1D">
        <w:rPr>
          <w:lang w:val="es-ES"/>
        </w:rPr>
        <w:t xml:space="preserve">En este párrafo </w:t>
      </w:r>
      <w:r w:rsidR="006A34B7">
        <w:rPr>
          <w:lang w:val="es-ES"/>
        </w:rPr>
        <w:t>creemos que es recomendable</w:t>
      </w:r>
      <w:r w:rsidR="009F2D1D" w:rsidRPr="009F2D1D">
        <w:rPr>
          <w:lang w:val="es-ES"/>
        </w:rPr>
        <w:t xml:space="preserve"> incluir una referencia a los interlocutor</w:t>
      </w:r>
      <w:r w:rsidR="009F2D1D">
        <w:rPr>
          <w:lang w:val="es-ES"/>
        </w:rPr>
        <w:t>e</w:t>
      </w:r>
      <w:r w:rsidR="009F2D1D" w:rsidRPr="009F2D1D">
        <w:rPr>
          <w:lang w:val="es-ES"/>
        </w:rPr>
        <w:t>s sociales y a los sindicatos en particular</w:t>
      </w:r>
      <w:r w:rsidR="006663B2" w:rsidRPr="009F2D1D">
        <w:rPr>
          <w:lang w:val="es-ES"/>
        </w:rPr>
        <w:t xml:space="preserve">. </w:t>
      </w:r>
      <w:r w:rsidR="009F2D1D" w:rsidRPr="009F2D1D">
        <w:rPr>
          <w:lang w:val="es-ES"/>
        </w:rPr>
        <w:t xml:space="preserve">En concreto, en lo que concierne a la juventud, la disparidad entre las competencias ofrecidas y las requeridas en el </w:t>
      </w:r>
      <w:r w:rsidR="009F2D1D">
        <w:rPr>
          <w:lang w:val="es-ES"/>
        </w:rPr>
        <w:t>m</w:t>
      </w:r>
      <w:r w:rsidR="009F2D1D" w:rsidRPr="009F2D1D">
        <w:rPr>
          <w:lang w:val="es-ES"/>
        </w:rPr>
        <w:t xml:space="preserve">ercado de trabajo </w:t>
      </w:r>
      <w:r w:rsidR="009F2D1D">
        <w:rPr>
          <w:lang w:val="es-ES"/>
        </w:rPr>
        <w:t>son un reto importante en relación con el desempleo juvenil</w:t>
      </w:r>
      <w:r w:rsidR="006663B2" w:rsidRPr="009F2D1D">
        <w:rPr>
          <w:lang w:val="es-ES"/>
        </w:rPr>
        <w:t xml:space="preserve">. </w:t>
      </w:r>
      <w:r w:rsidR="009F2D1D" w:rsidRPr="009F2D1D">
        <w:rPr>
          <w:lang w:val="es-ES"/>
        </w:rPr>
        <w:t>Los interlocutores sociales y los sindicatos representan los dos extremos del mercado laboral y por lo tanto deber</w:t>
      </w:r>
      <w:r w:rsidR="009F2D1D">
        <w:rPr>
          <w:lang w:val="es-ES"/>
        </w:rPr>
        <w:t>ían participar en la formulación de políticas públicas en esta área</w:t>
      </w:r>
      <w:r w:rsidR="006663B2" w:rsidRPr="009F2D1D">
        <w:rPr>
          <w:lang w:val="es-ES"/>
        </w:rPr>
        <w:t xml:space="preserve">.   </w:t>
      </w:r>
    </w:p>
    <w:p w:rsidR="009D49C6" w:rsidRPr="009F2D1D" w:rsidRDefault="009D49C6">
      <w:pPr>
        <w:rPr>
          <w:lang w:val="es-ES"/>
        </w:rPr>
      </w:pPr>
    </w:p>
    <w:p w:rsidR="00BF46ED" w:rsidRPr="009F2D1D" w:rsidRDefault="009F2D1D" w:rsidP="00E51660">
      <w:pPr>
        <w:rPr>
          <w:b/>
          <w:lang w:val="es-ES"/>
        </w:rPr>
      </w:pPr>
      <w:r w:rsidRPr="009F2D1D">
        <w:rPr>
          <w:b/>
          <w:lang w:val="es-ES"/>
        </w:rPr>
        <w:t>Flujos financieros ilícitos</w:t>
      </w:r>
      <w:r w:rsidR="001D34FA" w:rsidRPr="009F2D1D">
        <w:rPr>
          <w:b/>
          <w:lang w:val="es-ES"/>
        </w:rPr>
        <w:t xml:space="preserve"> (</w:t>
      </w:r>
      <w:r w:rsidR="00E51660" w:rsidRPr="009F2D1D">
        <w:rPr>
          <w:b/>
          <w:lang w:val="es-ES"/>
        </w:rPr>
        <w:t xml:space="preserve">Anexo; párrafo </w:t>
      </w:r>
      <w:r w:rsidR="001D34FA" w:rsidRPr="009F2D1D">
        <w:rPr>
          <w:b/>
          <w:lang w:val="es-ES"/>
        </w:rPr>
        <w:t>19)</w:t>
      </w:r>
    </w:p>
    <w:p w:rsidR="006663B2" w:rsidRPr="003E49F7" w:rsidRDefault="00561C0B" w:rsidP="003E66AD">
      <w:pPr>
        <w:rPr>
          <w:lang w:val="es-ES"/>
        </w:rPr>
      </w:pPr>
      <w:r w:rsidRPr="003E49F7">
        <w:rPr>
          <w:lang w:val="es-ES"/>
        </w:rPr>
        <w:t xml:space="preserve">Apreciamos la inclusión de una sección sobre este tema; sin embargo, </w:t>
      </w:r>
      <w:r w:rsidR="003E49F7" w:rsidRPr="003E49F7">
        <w:rPr>
          <w:lang w:val="es-ES"/>
        </w:rPr>
        <w:t>la manera en la que está formulada</w:t>
      </w:r>
      <w:r w:rsidRPr="003E49F7">
        <w:rPr>
          <w:lang w:val="es-ES"/>
        </w:rPr>
        <w:t xml:space="preserve"> parece </w:t>
      </w:r>
      <w:r w:rsidR="003E49F7" w:rsidRPr="003E49F7">
        <w:rPr>
          <w:lang w:val="es-ES"/>
        </w:rPr>
        <w:t xml:space="preserve">indicar que la responsabilidad </w:t>
      </w:r>
      <w:r w:rsidR="003E49F7">
        <w:rPr>
          <w:lang w:val="es-ES"/>
        </w:rPr>
        <w:t xml:space="preserve">de controlar los flujos ilícitos </w:t>
      </w:r>
      <w:r w:rsidR="003E49F7" w:rsidRPr="003E49F7">
        <w:rPr>
          <w:lang w:val="es-ES"/>
        </w:rPr>
        <w:t>corresponde totalmente a los pa</w:t>
      </w:r>
      <w:r w:rsidR="003E49F7">
        <w:rPr>
          <w:lang w:val="es-ES"/>
        </w:rPr>
        <w:t>íses en vías de desarrollo</w:t>
      </w:r>
      <w:r w:rsidR="006663B2" w:rsidRPr="003E49F7">
        <w:rPr>
          <w:lang w:val="es-ES"/>
        </w:rPr>
        <w:t xml:space="preserve">, </w:t>
      </w:r>
      <w:r w:rsidR="003E49F7">
        <w:rPr>
          <w:lang w:val="es-ES"/>
        </w:rPr>
        <w:t>a pesar de que a menudo el destino de los flujos ilícitos son los países desarrollados</w:t>
      </w:r>
      <w:r w:rsidR="006663B2" w:rsidRPr="003E49F7">
        <w:rPr>
          <w:lang w:val="es-ES"/>
        </w:rPr>
        <w:t xml:space="preserve">. </w:t>
      </w:r>
      <w:r w:rsidR="003E49F7" w:rsidRPr="003E49F7">
        <w:rPr>
          <w:lang w:val="es-ES"/>
        </w:rPr>
        <w:t>En vista de esto</w:t>
      </w:r>
      <w:r w:rsidR="006663B2" w:rsidRPr="003E49F7">
        <w:rPr>
          <w:lang w:val="es-ES"/>
        </w:rPr>
        <w:t xml:space="preserve">, </w:t>
      </w:r>
      <w:r w:rsidR="003E49F7" w:rsidRPr="003E49F7">
        <w:rPr>
          <w:lang w:val="es-ES"/>
        </w:rPr>
        <w:t>y de lo revelado recientemente a raíz de los Papeles de Panamá</w:t>
      </w:r>
      <w:r w:rsidR="006663B2" w:rsidRPr="003E49F7">
        <w:rPr>
          <w:lang w:val="es-ES"/>
        </w:rPr>
        <w:t xml:space="preserve">, </w:t>
      </w:r>
      <w:r w:rsidR="003E49F7" w:rsidRPr="003E49F7">
        <w:rPr>
          <w:lang w:val="es-ES"/>
        </w:rPr>
        <w:t>existen razones de peso para incluir tambi</w:t>
      </w:r>
      <w:r w:rsidR="003E49F7">
        <w:rPr>
          <w:lang w:val="es-ES"/>
        </w:rPr>
        <w:t>én referencias a la eliminación</w:t>
      </w:r>
      <w:r w:rsidR="006663B2" w:rsidRPr="003E49F7">
        <w:rPr>
          <w:lang w:val="es-ES"/>
        </w:rPr>
        <w:t xml:space="preserve"> </w:t>
      </w:r>
      <w:r w:rsidR="003E49F7">
        <w:rPr>
          <w:lang w:val="es-ES"/>
        </w:rPr>
        <w:t>de los paraísos fiscales</w:t>
      </w:r>
      <w:r w:rsidR="001D34FA" w:rsidRPr="003E49F7">
        <w:rPr>
          <w:lang w:val="es-ES"/>
        </w:rPr>
        <w:t xml:space="preserve"> (</w:t>
      </w:r>
      <w:r w:rsidR="003E66AD">
        <w:rPr>
          <w:lang w:val="es-ES"/>
        </w:rPr>
        <w:t>esto también se aplica al párrafo sobre Movilización de Recursos Nacionales</w:t>
      </w:r>
      <w:r w:rsidR="001D34FA" w:rsidRPr="003E49F7">
        <w:rPr>
          <w:lang w:val="es-ES"/>
        </w:rPr>
        <w:t xml:space="preserve">).  </w:t>
      </w:r>
    </w:p>
    <w:p w:rsidR="006663B2" w:rsidRPr="003E49F7" w:rsidRDefault="006663B2">
      <w:pPr>
        <w:rPr>
          <w:lang w:val="es-ES"/>
        </w:rPr>
      </w:pPr>
    </w:p>
    <w:p w:rsidR="00BF46ED" w:rsidRPr="003E66AD" w:rsidRDefault="003E66AD" w:rsidP="003E66AD">
      <w:pPr>
        <w:rPr>
          <w:b/>
          <w:lang w:val="es-ES"/>
        </w:rPr>
      </w:pPr>
      <w:r>
        <w:rPr>
          <w:b/>
          <w:lang w:val="es-ES"/>
        </w:rPr>
        <w:t>Las empresas como socio para el desarrollo</w:t>
      </w:r>
      <w:r w:rsidR="00D06577" w:rsidRPr="003E66AD">
        <w:rPr>
          <w:b/>
          <w:lang w:val="es-ES"/>
        </w:rPr>
        <w:t xml:space="preserve"> (</w:t>
      </w:r>
      <w:r w:rsidR="00E51660" w:rsidRPr="003E66AD">
        <w:rPr>
          <w:b/>
          <w:lang w:val="es-ES"/>
        </w:rPr>
        <w:t xml:space="preserve">Anexo; párrafos </w:t>
      </w:r>
      <w:r w:rsidR="00D06577" w:rsidRPr="003E66AD">
        <w:rPr>
          <w:b/>
          <w:lang w:val="es-ES"/>
        </w:rPr>
        <w:t>22-23)</w:t>
      </w:r>
    </w:p>
    <w:p w:rsidR="00D06577" w:rsidRPr="00565D58" w:rsidRDefault="003E66AD" w:rsidP="006A34B7">
      <w:pPr>
        <w:rPr>
          <w:lang w:val="es-ES"/>
        </w:rPr>
      </w:pPr>
      <w:r w:rsidRPr="003E66AD">
        <w:rPr>
          <w:lang w:val="es-ES"/>
        </w:rPr>
        <w:t>Se presupone que incluir a las empresas en la agenda de desarrollo sostenible apoyar</w:t>
      </w:r>
      <w:r>
        <w:rPr>
          <w:lang w:val="es-ES"/>
        </w:rPr>
        <w:t>á inevitablemente la consecución de los objetivos</w:t>
      </w:r>
      <w:r w:rsidR="00D06577" w:rsidRPr="003E66AD">
        <w:rPr>
          <w:lang w:val="es-ES"/>
        </w:rPr>
        <w:t xml:space="preserve">. </w:t>
      </w:r>
      <w:r w:rsidRPr="003E66AD">
        <w:rPr>
          <w:lang w:val="es-ES"/>
        </w:rPr>
        <w:t>Sin embargo</w:t>
      </w:r>
      <w:r w:rsidR="00D06577" w:rsidRPr="003E66AD">
        <w:rPr>
          <w:lang w:val="es-ES"/>
        </w:rPr>
        <w:t xml:space="preserve">, </w:t>
      </w:r>
      <w:r w:rsidRPr="003E66AD">
        <w:rPr>
          <w:lang w:val="es-ES"/>
        </w:rPr>
        <w:t xml:space="preserve">sin ningún instrumento que garantice la rendición de cuentas por parte de las empresas, es igual de probable que socaven los objetivos </w:t>
      </w:r>
      <w:r>
        <w:rPr>
          <w:lang w:val="es-ES"/>
        </w:rPr>
        <w:t>com</w:t>
      </w:r>
      <w:r w:rsidRPr="003E66AD">
        <w:rPr>
          <w:lang w:val="es-ES"/>
        </w:rPr>
        <w:t>unes</w:t>
      </w:r>
      <w:r w:rsidR="00D06577" w:rsidRPr="003E66AD">
        <w:rPr>
          <w:lang w:val="es-ES"/>
        </w:rPr>
        <w:t xml:space="preserve">. </w:t>
      </w:r>
      <w:r w:rsidRPr="00FA3660">
        <w:rPr>
          <w:lang w:val="es-ES"/>
        </w:rPr>
        <w:t>Por lo tanto</w:t>
      </w:r>
      <w:r w:rsidR="00AC217B" w:rsidRPr="00AC217B">
        <w:rPr>
          <w:color w:val="FF6600"/>
          <w:lang w:val="es-ES"/>
        </w:rPr>
        <w:t xml:space="preserve">, </w:t>
      </w:r>
      <w:r w:rsidR="00FA3660" w:rsidRPr="00FA3660">
        <w:rPr>
          <w:lang w:val="es-ES"/>
        </w:rPr>
        <w:t>sugerimos que se incluya una referencia a los sindicatos y los interlocutor</w:t>
      </w:r>
      <w:r w:rsidR="00FA3660">
        <w:rPr>
          <w:lang w:val="es-ES"/>
        </w:rPr>
        <w:t>e</w:t>
      </w:r>
      <w:r w:rsidR="00FA3660" w:rsidRPr="00FA3660">
        <w:rPr>
          <w:lang w:val="es-ES"/>
        </w:rPr>
        <w:t>s sociales en este p</w:t>
      </w:r>
      <w:r w:rsidR="00FA3660">
        <w:rPr>
          <w:lang w:val="es-ES"/>
        </w:rPr>
        <w:t>árrafo como</w:t>
      </w:r>
      <w:r w:rsidR="00D06577" w:rsidRPr="00FA3660">
        <w:rPr>
          <w:lang w:val="es-ES"/>
        </w:rPr>
        <w:t xml:space="preserve"> </w:t>
      </w:r>
      <w:r w:rsidR="00FA3660">
        <w:rPr>
          <w:lang w:val="es-ES"/>
        </w:rPr>
        <w:t>agentes que garantizan la rendición de cuentas por parte del sector privado</w:t>
      </w:r>
      <w:r w:rsidR="00D06577" w:rsidRPr="00FA3660">
        <w:rPr>
          <w:lang w:val="es-ES"/>
        </w:rPr>
        <w:t xml:space="preserve">. </w:t>
      </w:r>
      <w:r w:rsidR="00565D58" w:rsidRPr="00565D58">
        <w:rPr>
          <w:lang w:val="es-ES"/>
        </w:rPr>
        <w:t>De manera más general, también consideramos</w:t>
      </w:r>
      <w:r w:rsidR="00D06577" w:rsidRPr="00565D58">
        <w:rPr>
          <w:lang w:val="es-ES"/>
        </w:rPr>
        <w:t xml:space="preserve"> </w:t>
      </w:r>
      <w:r w:rsidR="00565D58" w:rsidRPr="00565D58">
        <w:rPr>
          <w:lang w:val="es-ES"/>
        </w:rPr>
        <w:t xml:space="preserve">que se debería otorgar una mayor importancia a otros instrumentos reconocidos </w:t>
      </w:r>
      <w:r w:rsidR="00565D58">
        <w:rPr>
          <w:lang w:val="es-ES"/>
        </w:rPr>
        <w:t>para que el sector privado rinda cuentas</w:t>
      </w:r>
      <w:r w:rsidR="00A36782">
        <w:rPr>
          <w:lang w:val="es-ES"/>
        </w:rPr>
        <w:t>, como los Convenios de la OIT</w:t>
      </w:r>
      <w:r w:rsidR="00D06577" w:rsidRPr="00565D58">
        <w:rPr>
          <w:lang w:val="es-ES"/>
        </w:rPr>
        <w:t xml:space="preserve">, </w:t>
      </w:r>
      <w:r w:rsidR="00A36782">
        <w:rPr>
          <w:lang w:val="es-ES"/>
        </w:rPr>
        <w:t>los Principios Rectores de la ONU sobre las empresas y los derechos humanos</w:t>
      </w:r>
      <w:r w:rsidR="00D06577" w:rsidRPr="00565D58">
        <w:rPr>
          <w:lang w:val="es-ES"/>
        </w:rPr>
        <w:t>,</w:t>
      </w:r>
      <w:r w:rsidR="00A36782">
        <w:rPr>
          <w:lang w:val="es-ES"/>
        </w:rPr>
        <w:t xml:space="preserve"> y</w:t>
      </w:r>
      <w:r w:rsidR="00D06577" w:rsidRPr="00565D58">
        <w:rPr>
          <w:lang w:val="es-ES"/>
        </w:rPr>
        <w:t xml:space="preserve"> </w:t>
      </w:r>
      <w:r w:rsidR="00A36782">
        <w:rPr>
          <w:lang w:val="es-ES"/>
        </w:rPr>
        <w:t>las Líneas Directrices de la OCDE para Empresas Multinacionales, entre otros</w:t>
      </w:r>
      <w:r w:rsidR="00D06577" w:rsidRPr="00565D58">
        <w:rPr>
          <w:lang w:val="es-ES"/>
        </w:rPr>
        <w:t xml:space="preserve">.  </w:t>
      </w:r>
    </w:p>
    <w:p w:rsidR="00EF1C5F" w:rsidRPr="00565D58" w:rsidRDefault="00EF1C5F">
      <w:pPr>
        <w:rPr>
          <w:b/>
          <w:lang w:val="es-ES"/>
        </w:rPr>
      </w:pPr>
    </w:p>
    <w:p w:rsidR="007D4991" w:rsidRPr="00603F5C" w:rsidRDefault="00603F5C" w:rsidP="00E51660">
      <w:pPr>
        <w:rPr>
          <w:b/>
          <w:bCs/>
          <w:lang w:val="es-ES"/>
        </w:rPr>
      </w:pPr>
      <w:r w:rsidRPr="00603F5C">
        <w:rPr>
          <w:b/>
          <w:bCs/>
          <w:lang w:val="es-ES"/>
        </w:rPr>
        <w:t xml:space="preserve">Permitir una mayor </w:t>
      </w:r>
      <w:r w:rsidR="002064F7">
        <w:rPr>
          <w:b/>
          <w:bCs/>
          <w:lang w:val="es-ES"/>
        </w:rPr>
        <w:t>p</w:t>
      </w:r>
      <w:r w:rsidRPr="00603F5C">
        <w:rPr>
          <w:b/>
          <w:bCs/>
          <w:lang w:val="es-ES"/>
        </w:rPr>
        <w:t>articipación de la sociedad civil</w:t>
      </w:r>
      <w:r w:rsidR="00AC4658" w:rsidRPr="00603F5C">
        <w:rPr>
          <w:b/>
          <w:bCs/>
          <w:lang w:val="es-ES"/>
        </w:rPr>
        <w:t xml:space="preserve"> (</w:t>
      </w:r>
      <w:r w:rsidR="00E51660" w:rsidRPr="00603F5C">
        <w:rPr>
          <w:b/>
          <w:lang w:val="es-ES"/>
        </w:rPr>
        <w:t xml:space="preserve">Anexo; párrafo </w:t>
      </w:r>
      <w:r w:rsidR="00AC4658" w:rsidRPr="00603F5C">
        <w:rPr>
          <w:b/>
          <w:bCs/>
          <w:lang w:val="es-ES"/>
        </w:rPr>
        <w:t>24)</w:t>
      </w:r>
    </w:p>
    <w:p w:rsidR="007D4991" w:rsidRPr="002064F7" w:rsidRDefault="002064F7" w:rsidP="002064F7">
      <w:pPr>
        <w:rPr>
          <w:bCs/>
          <w:lang w:val="es-ES"/>
        </w:rPr>
      </w:pPr>
      <w:r w:rsidRPr="002064F7">
        <w:rPr>
          <w:bCs/>
          <w:lang w:val="es-ES"/>
        </w:rPr>
        <w:t xml:space="preserve">Esta sección debería sin duda basarse en las conclusiones de los informes que examinan el progreso (o la falta del mismo) en la mejora </w:t>
      </w:r>
      <w:r>
        <w:rPr>
          <w:bCs/>
          <w:lang w:val="es-ES"/>
        </w:rPr>
        <w:t>del entorno propicio para la sociedad</w:t>
      </w:r>
      <w:r w:rsidR="00AC4658" w:rsidRPr="002064F7">
        <w:rPr>
          <w:bCs/>
          <w:lang w:val="es-ES"/>
        </w:rPr>
        <w:t xml:space="preserve"> </w:t>
      </w:r>
      <w:r>
        <w:rPr>
          <w:bCs/>
          <w:lang w:val="es-ES"/>
        </w:rPr>
        <w:t>c</w:t>
      </w:r>
      <w:r w:rsidR="00AC4658" w:rsidRPr="002064F7">
        <w:rPr>
          <w:bCs/>
          <w:lang w:val="es-ES"/>
        </w:rPr>
        <w:t xml:space="preserve">ivil. </w:t>
      </w:r>
      <w:r w:rsidRPr="002064F7">
        <w:rPr>
          <w:bCs/>
          <w:lang w:val="es-ES"/>
        </w:rPr>
        <w:t>Esto consiste principalmente en la promoción y el respeto de las libertades fundamentales, en particular la libertad de reuni</w:t>
      </w:r>
      <w:r>
        <w:rPr>
          <w:bCs/>
          <w:lang w:val="es-ES"/>
        </w:rPr>
        <w:t>ón y asociación</w:t>
      </w:r>
      <w:r w:rsidR="00AC4658" w:rsidRPr="002064F7">
        <w:rPr>
          <w:bCs/>
          <w:lang w:val="es-ES"/>
        </w:rPr>
        <w:t xml:space="preserve">.   </w:t>
      </w:r>
    </w:p>
    <w:p w:rsidR="00AC4658" w:rsidRPr="002064F7" w:rsidRDefault="00AC4658">
      <w:pPr>
        <w:rPr>
          <w:lang w:val="es-ES"/>
        </w:rPr>
      </w:pPr>
    </w:p>
    <w:p w:rsidR="00AC4658" w:rsidRPr="002064F7" w:rsidRDefault="002064F7" w:rsidP="00871380">
      <w:pPr>
        <w:rPr>
          <w:lang w:val="es-ES"/>
        </w:rPr>
      </w:pPr>
      <w:r w:rsidRPr="002064F7">
        <w:rPr>
          <w:lang w:val="es-ES"/>
        </w:rPr>
        <w:t xml:space="preserve">Asimismo, como miembro integrante de la AGCED, nos gustaría que se incluyera un párrafo breve sobre el papel de los sindicatos en </w:t>
      </w:r>
      <w:r w:rsidR="00871380">
        <w:rPr>
          <w:lang w:val="es-ES"/>
        </w:rPr>
        <w:t>l</w:t>
      </w:r>
      <w:r w:rsidRPr="002064F7">
        <w:rPr>
          <w:lang w:val="es-ES"/>
        </w:rPr>
        <w:t>a</w:t>
      </w:r>
      <w:r w:rsidR="00AC4658" w:rsidRPr="002064F7">
        <w:rPr>
          <w:lang w:val="es-ES"/>
        </w:rPr>
        <w:t xml:space="preserve"> agenda. </w:t>
      </w:r>
    </w:p>
    <w:p w:rsidR="00AC4658" w:rsidRPr="002064F7" w:rsidRDefault="00AC4658">
      <w:pPr>
        <w:rPr>
          <w:lang w:val="es-ES"/>
        </w:rPr>
      </w:pPr>
    </w:p>
    <w:p w:rsidR="00BF46ED" w:rsidRPr="002903F1" w:rsidRDefault="00BF46ED" w:rsidP="00E51660">
      <w:pPr>
        <w:rPr>
          <w:b/>
          <w:lang w:val="es-ES"/>
        </w:rPr>
      </w:pPr>
      <w:r w:rsidRPr="002903F1">
        <w:rPr>
          <w:b/>
          <w:lang w:val="es-ES"/>
        </w:rPr>
        <w:t>Mandat</w:t>
      </w:r>
      <w:r w:rsidR="00E51660" w:rsidRPr="002903F1">
        <w:rPr>
          <w:b/>
          <w:lang w:val="es-ES"/>
        </w:rPr>
        <w:t>o</w:t>
      </w:r>
      <w:r w:rsidRPr="002903F1">
        <w:rPr>
          <w:b/>
          <w:lang w:val="es-ES"/>
        </w:rPr>
        <w:t xml:space="preserve"> </w:t>
      </w:r>
      <w:r w:rsidR="00E51660" w:rsidRPr="002903F1">
        <w:rPr>
          <w:b/>
          <w:lang w:val="es-ES"/>
        </w:rPr>
        <w:t>de la AGCED (An</w:t>
      </w:r>
      <w:r w:rsidR="00AC4658" w:rsidRPr="002903F1">
        <w:rPr>
          <w:b/>
          <w:lang w:val="es-ES"/>
        </w:rPr>
        <w:t>ex</w:t>
      </w:r>
      <w:r w:rsidR="00E51660" w:rsidRPr="002903F1">
        <w:rPr>
          <w:b/>
          <w:lang w:val="es-ES"/>
        </w:rPr>
        <w:t>o</w:t>
      </w:r>
      <w:r w:rsidR="00AC4658" w:rsidRPr="002903F1">
        <w:rPr>
          <w:b/>
          <w:lang w:val="es-ES"/>
        </w:rPr>
        <w:t xml:space="preserve">; </w:t>
      </w:r>
      <w:r w:rsidR="00E51660" w:rsidRPr="002903F1">
        <w:rPr>
          <w:b/>
          <w:lang w:val="es-ES"/>
        </w:rPr>
        <w:t>párrafo</w:t>
      </w:r>
      <w:r w:rsidR="00AC4658" w:rsidRPr="002903F1">
        <w:rPr>
          <w:b/>
          <w:lang w:val="es-ES"/>
        </w:rPr>
        <w:t xml:space="preserve"> 29)</w:t>
      </w:r>
    </w:p>
    <w:p w:rsidR="00AC4658" w:rsidRPr="008F4BED" w:rsidRDefault="002064F7" w:rsidP="008F4BED">
      <w:pPr>
        <w:rPr>
          <w:lang w:val="es-ES"/>
        </w:rPr>
      </w:pPr>
      <w:r w:rsidRPr="008F4BED">
        <w:rPr>
          <w:lang w:val="es-ES"/>
        </w:rPr>
        <w:t>Som</w:t>
      </w:r>
      <w:r w:rsidR="008F4BED" w:rsidRPr="008F4BED">
        <w:rPr>
          <w:lang w:val="es-ES"/>
        </w:rPr>
        <w:t>o</w:t>
      </w:r>
      <w:r w:rsidRPr="008F4BED">
        <w:rPr>
          <w:lang w:val="es-ES"/>
        </w:rPr>
        <w:t xml:space="preserve">s conscientes </w:t>
      </w:r>
      <w:r w:rsidR="008F4BED" w:rsidRPr="008F4BED">
        <w:rPr>
          <w:lang w:val="es-ES"/>
        </w:rPr>
        <w:t xml:space="preserve">de </w:t>
      </w:r>
      <w:r w:rsidRPr="008F4BED">
        <w:rPr>
          <w:lang w:val="es-ES"/>
        </w:rPr>
        <w:t>que es necesario</w:t>
      </w:r>
      <w:r w:rsidR="008F4BED" w:rsidRPr="008F4BED">
        <w:rPr>
          <w:lang w:val="es-ES"/>
        </w:rPr>
        <w:t xml:space="preserve"> reconsiderar el papel de la AGCED a la luz de la Agenda 20</w:t>
      </w:r>
      <w:r w:rsidR="008F4BED">
        <w:rPr>
          <w:lang w:val="es-ES"/>
        </w:rPr>
        <w:t>30</w:t>
      </w:r>
      <w:r w:rsidR="00AC4658" w:rsidRPr="008F4BED">
        <w:rPr>
          <w:lang w:val="es-ES"/>
        </w:rPr>
        <w:t xml:space="preserve">. </w:t>
      </w:r>
      <w:r w:rsidR="008F4BED" w:rsidRPr="008F4BED">
        <w:rPr>
          <w:lang w:val="es-ES"/>
        </w:rPr>
        <w:t>Sin embargo, la revisión del mandato no debería socavar su propósito y funci</w:t>
      </w:r>
      <w:r w:rsidR="008F4BED">
        <w:rPr>
          <w:lang w:val="es-ES"/>
        </w:rPr>
        <w:t xml:space="preserve">ón </w:t>
      </w:r>
      <w:r w:rsidR="008F4BED">
        <w:rPr>
          <w:lang w:val="es-ES"/>
        </w:rPr>
        <w:lastRenderedPageBreak/>
        <w:t>fundamentales de mejorar la eficacia de la cooperación al desarrollo</w:t>
      </w:r>
      <w:r w:rsidR="00AC4658" w:rsidRPr="008F4BED">
        <w:rPr>
          <w:lang w:val="es-ES"/>
        </w:rPr>
        <w:t xml:space="preserve">. </w:t>
      </w:r>
      <w:r w:rsidR="008F4BED" w:rsidRPr="008F4BED">
        <w:rPr>
          <w:lang w:val="es-ES"/>
        </w:rPr>
        <w:t>Por lo tanto,</w:t>
      </w:r>
      <w:r w:rsidR="00AC4658" w:rsidRPr="008F4BED">
        <w:rPr>
          <w:lang w:val="es-ES"/>
        </w:rPr>
        <w:t xml:space="preserve"> </w:t>
      </w:r>
      <w:r w:rsidR="008F4BED" w:rsidRPr="008F4BED">
        <w:rPr>
          <w:lang w:val="es-ES"/>
        </w:rPr>
        <w:t>cualquier revisión del mandato debe seguir basándose en los or</w:t>
      </w:r>
      <w:r w:rsidR="008F4BED">
        <w:rPr>
          <w:lang w:val="es-ES"/>
        </w:rPr>
        <w:t xml:space="preserve">ígenes de la AGCED, es decir, la Declaración de París, el Programa de Acción de </w:t>
      </w:r>
      <w:r w:rsidR="00AC4658" w:rsidRPr="008F4BED">
        <w:rPr>
          <w:lang w:val="es-ES"/>
        </w:rPr>
        <w:t xml:space="preserve">Accra </w:t>
      </w:r>
      <w:r w:rsidR="008F4BED">
        <w:rPr>
          <w:lang w:val="es-ES"/>
        </w:rPr>
        <w:t>y el Documento de la Alianza de Busan.</w:t>
      </w:r>
      <w:r w:rsidR="00EF6445">
        <w:rPr>
          <w:lang w:val="es-ES"/>
        </w:rPr>
        <w:tab/>
      </w:r>
    </w:p>
    <w:p w:rsidR="00AC4658" w:rsidRPr="008F4BED" w:rsidRDefault="00AC4658">
      <w:pPr>
        <w:rPr>
          <w:lang w:val="es-ES"/>
        </w:rPr>
      </w:pPr>
    </w:p>
    <w:p w:rsidR="00BF46ED" w:rsidRPr="00AC217B" w:rsidRDefault="00E51660" w:rsidP="00871380">
      <w:pPr>
        <w:rPr>
          <w:b/>
          <w:lang w:val="es-ES"/>
        </w:rPr>
      </w:pPr>
      <w:r w:rsidRPr="00AC217B">
        <w:rPr>
          <w:b/>
          <w:lang w:val="es-ES"/>
        </w:rPr>
        <w:t xml:space="preserve">Marco de </w:t>
      </w:r>
      <w:r w:rsidR="00871380">
        <w:rPr>
          <w:b/>
          <w:lang w:val="es-ES"/>
        </w:rPr>
        <w:t>S</w:t>
      </w:r>
      <w:r w:rsidR="009137E6" w:rsidRPr="00AC217B">
        <w:rPr>
          <w:b/>
          <w:lang w:val="es-ES"/>
        </w:rPr>
        <w:t>eguimiento</w:t>
      </w:r>
    </w:p>
    <w:p w:rsidR="00AC4658" w:rsidRPr="00AC217B" w:rsidRDefault="009137E6" w:rsidP="00871380">
      <w:pPr>
        <w:rPr>
          <w:lang w:val="es-ES"/>
        </w:rPr>
      </w:pPr>
      <w:r w:rsidRPr="002903F1">
        <w:rPr>
          <w:lang w:val="es-ES"/>
        </w:rPr>
        <w:t>El Marco de Seguimiento de</w:t>
      </w:r>
      <w:r w:rsidR="00AC4658" w:rsidRPr="002903F1">
        <w:rPr>
          <w:lang w:val="es-ES"/>
        </w:rPr>
        <w:t xml:space="preserve"> Busan </w:t>
      </w:r>
      <w:r w:rsidRPr="002903F1">
        <w:rPr>
          <w:lang w:val="es-ES"/>
        </w:rPr>
        <w:t>continúa siendo una piedra angular de la AGCED y debería seguir siéndolo</w:t>
      </w:r>
      <w:r w:rsidR="00AC4658" w:rsidRPr="002903F1">
        <w:rPr>
          <w:lang w:val="es-ES"/>
        </w:rPr>
        <w:t xml:space="preserve">. </w:t>
      </w:r>
      <w:r w:rsidR="00A37DF9" w:rsidRPr="00AC217B">
        <w:rPr>
          <w:lang w:val="es-ES"/>
        </w:rPr>
        <w:t xml:space="preserve">Esto exige el fortalecimiento permanente del marco para que los indicadores sean pertinentes </w:t>
      </w:r>
      <w:r w:rsidR="00871380">
        <w:rPr>
          <w:lang w:val="es-ES"/>
        </w:rPr>
        <w:t>con respecto a</w:t>
      </w:r>
      <w:r w:rsidR="00A37DF9" w:rsidRPr="00AC217B">
        <w:rPr>
          <w:lang w:val="es-ES"/>
        </w:rPr>
        <w:t xml:space="preserve"> los compromisos contraídos desde París</w:t>
      </w:r>
      <w:r w:rsidR="00871380">
        <w:rPr>
          <w:lang w:val="es-ES"/>
        </w:rPr>
        <w:t>, ya que se producen</w:t>
      </w:r>
      <w:r w:rsidR="00A37DF9" w:rsidRPr="00AC217B">
        <w:rPr>
          <w:lang w:val="es-ES"/>
        </w:rPr>
        <w:t xml:space="preserve"> </w:t>
      </w:r>
      <w:r w:rsidR="00871380">
        <w:rPr>
          <w:lang w:val="es-ES"/>
        </w:rPr>
        <w:t>c</w:t>
      </w:r>
      <w:r w:rsidR="00A37DF9" w:rsidRPr="00AC217B">
        <w:rPr>
          <w:lang w:val="es-ES"/>
        </w:rPr>
        <w:t>ambios constant</w:t>
      </w:r>
      <w:r w:rsidR="00871380">
        <w:rPr>
          <w:lang w:val="es-ES"/>
        </w:rPr>
        <w:t>e</w:t>
      </w:r>
      <w:r w:rsidR="00A37DF9" w:rsidRPr="00AC217B">
        <w:rPr>
          <w:lang w:val="es-ES"/>
        </w:rPr>
        <w:t>s en la manera en que se hacen las cosas</w:t>
      </w:r>
      <w:r w:rsidR="00AC4658" w:rsidRPr="00AC217B">
        <w:rPr>
          <w:lang w:val="es-ES"/>
        </w:rPr>
        <w:t xml:space="preserve">.  </w:t>
      </w:r>
    </w:p>
    <w:sectPr w:rsidR="00AC4658" w:rsidRPr="00AC2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6D" w:rsidRDefault="00A47C6D" w:rsidP="00E34384">
      <w:r>
        <w:separator/>
      </w:r>
    </w:p>
  </w:endnote>
  <w:endnote w:type="continuationSeparator" w:id="0">
    <w:p w:rsidR="00A47C6D" w:rsidRDefault="00A47C6D" w:rsidP="00E3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84" w:rsidRDefault="00E34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84" w:rsidRDefault="00E343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84" w:rsidRDefault="00E34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6D" w:rsidRDefault="00A47C6D" w:rsidP="00E34384">
      <w:r>
        <w:separator/>
      </w:r>
    </w:p>
  </w:footnote>
  <w:footnote w:type="continuationSeparator" w:id="0">
    <w:p w:rsidR="00A47C6D" w:rsidRDefault="00A47C6D" w:rsidP="00E3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84" w:rsidRDefault="00E34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84" w:rsidRDefault="00E34384">
    <w:pPr>
      <w:pStyle w:val="Header"/>
    </w:pPr>
    <w:sdt>
      <w:sdtPr>
        <w:id w:val="-1046218130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812778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4EB20A7A" wp14:editId="1F48BE2B">
          <wp:simplePos x="0" y="0"/>
          <wp:positionH relativeFrom="column">
            <wp:posOffset>-771525</wp:posOffset>
          </wp:positionH>
          <wp:positionV relativeFrom="paragraph">
            <wp:posOffset>-659130</wp:posOffset>
          </wp:positionV>
          <wp:extent cx="7412990" cy="10895069"/>
          <wp:effectExtent l="0" t="0" r="0" b="190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ody_od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4109" cy="10896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84" w:rsidRDefault="00E34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ED"/>
    <w:rsid w:val="00060E3C"/>
    <w:rsid w:val="00061837"/>
    <w:rsid w:val="00072126"/>
    <w:rsid w:val="00081825"/>
    <w:rsid w:val="00090A41"/>
    <w:rsid w:val="001031DF"/>
    <w:rsid w:val="001C44DF"/>
    <w:rsid w:val="001D34FA"/>
    <w:rsid w:val="001E3021"/>
    <w:rsid w:val="002064F7"/>
    <w:rsid w:val="002903F1"/>
    <w:rsid w:val="00295206"/>
    <w:rsid w:val="00317055"/>
    <w:rsid w:val="00320EE3"/>
    <w:rsid w:val="00366E55"/>
    <w:rsid w:val="003761D5"/>
    <w:rsid w:val="003E49F7"/>
    <w:rsid w:val="003E66AD"/>
    <w:rsid w:val="004A20DA"/>
    <w:rsid w:val="004D42D3"/>
    <w:rsid w:val="00516B86"/>
    <w:rsid w:val="00561C0B"/>
    <w:rsid w:val="00565D58"/>
    <w:rsid w:val="005E253F"/>
    <w:rsid w:val="00603F5C"/>
    <w:rsid w:val="006104D5"/>
    <w:rsid w:val="006148C2"/>
    <w:rsid w:val="0065354C"/>
    <w:rsid w:val="006663B2"/>
    <w:rsid w:val="006A34B7"/>
    <w:rsid w:val="006B32B5"/>
    <w:rsid w:val="006E6945"/>
    <w:rsid w:val="00705F7C"/>
    <w:rsid w:val="0072429F"/>
    <w:rsid w:val="00734B29"/>
    <w:rsid w:val="007D2EBB"/>
    <w:rsid w:val="007D4991"/>
    <w:rsid w:val="00813FA0"/>
    <w:rsid w:val="00827609"/>
    <w:rsid w:val="00833D64"/>
    <w:rsid w:val="00860CB5"/>
    <w:rsid w:val="00871380"/>
    <w:rsid w:val="008B7066"/>
    <w:rsid w:val="008F4BED"/>
    <w:rsid w:val="009137E6"/>
    <w:rsid w:val="009A5D04"/>
    <w:rsid w:val="009D49C6"/>
    <w:rsid w:val="009F2D1D"/>
    <w:rsid w:val="00A36782"/>
    <w:rsid w:val="00A37DF9"/>
    <w:rsid w:val="00A47C6D"/>
    <w:rsid w:val="00AC217B"/>
    <w:rsid w:val="00AC4658"/>
    <w:rsid w:val="00BE200E"/>
    <w:rsid w:val="00BF46ED"/>
    <w:rsid w:val="00BF6A62"/>
    <w:rsid w:val="00D06577"/>
    <w:rsid w:val="00D35AB9"/>
    <w:rsid w:val="00D7234D"/>
    <w:rsid w:val="00DA7FC1"/>
    <w:rsid w:val="00E34384"/>
    <w:rsid w:val="00E51660"/>
    <w:rsid w:val="00EC546A"/>
    <w:rsid w:val="00ED3A74"/>
    <w:rsid w:val="00EF1767"/>
    <w:rsid w:val="00EF1C5F"/>
    <w:rsid w:val="00EF6445"/>
    <w:rsid w:val="00F2676E"/>
    <w:rsid w:val="00F42FEE"/>
    <w:rsid w:val="00FA3660"/>
    <w:rsid w:val="00FF3D4D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DD9C239-BBB9-4D61-8C14-F7D0466A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F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4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384"/>
  </w:style>
  <w:style w:type="paragraph" w:styleId="Footer">
    <w:name w:val="footer"/>
    <w:basedOn w:val="Normal"/>
    <w:link w:val="FooterChar"/>
    <w:uiPriority w:val="99"/>
    <w:unhideWhenUsed/>
    <w:rsid w:val="00E34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9C11-E129-46C0-8CDF-898B8ED7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SIMONDS Matt</dc:creator>
  <cp:lastModifiedBy>Morrissey, Theo</cp:lastModifiedBy>
  <cp:revision>2</cp:revision>
  <dcterms:created xsi:type="dcterms:W3CDTF">2016-05-11T15:11:00Z</dcterms:created>
  <dcterms:modified xsi:type="dcterms:W3CDTF">2016-05-11T15:11:00Z</dcterms:modified>
</cp:coreProperties>
</file>