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FBE" w:rsidRDefault="00CE6FBE" w:rsidP="001200E4">
      <w:pPr>
        <w:pStyle w:val="Heading2"/>
        <w:tabs>
          <w:tab w:val="left" w:pos="3619"/>
        </w:tabs>
        <w:spacing w:line="240" w:lineRule="auto"/>
        <w:rPr>
          <w:sz w:val="24"/>
          <w:szCs w:val="24"/>
        </w:rPr>
      </w:pPr>
    </w:p>
    <w:p w:rsidR="001F5D00" w:rsidRDefault="001F5D00" w:rsidP="00CE6FBE">
      <w:pPr>
        <w:pStyle w:val="Heading2"/>
        <w:spacing w:line="240" w:lineRule="auto"/>
        <w:jc w:val="center"/>
        <w:rPr>
          <w:sz w:val="24"/>
          <w:szCs w:val="24"/>
        </w:rPr>
      </w:pPr>
      <w:r w:rsidRPr="001E08DE">
        <w:rPr>
          <w:sz w:val="24"/>
          <w:szCs w:val="24"/>
        </w:rPr>
        <w:t>Trade Union Development Coordination Network (TUDCN)</w:t>
      </w:r>
    </w:p>
    <w:p w:rsidR="001F5D00" w:rsidRPr="006F330D" w:rsidRDefault="001F5D00" w:rsidP="006F330D">
      <w:pPr>
        <w:pStyle w:val="Heading2"/>
        <w:spacing w:line="240" w:lineRule="auto"/>
        <w:jc w:val="center"/>
        <w:rPr>
          <w:sz w:val="24"/>
          <w:szCs w:val="24"/>
        </w:rPr>
      </w:pPr>
      <w:r>
        <w:rPr>
          <w:sz w:val="24"/>
          <w:szCs w:val="24"/>
        </w:rPr>
        <w:t>Mission</w:t>
      </w:r>
      <w:r w:rsidR="00BA1F2C">
        <w:rPr>
          <w:sz w:val="24"/>
          <w:szCs w:val="24"/>
        </w:rPr>
        <w:t xml:space="preserve"> </w:t>
      </w:r>
      <w:r w:rsidR="00031AD1" w:rsidRPr="001E08DE">
        <w:rPr>
          <w:sz w:val="24"/>
          <w:szCs w:val="24"/>
        </w:rPr>
        <w:t xml:space="preserve">and </w:t>
      </w:r>
      <w:r>
        <w:rPr>
          <w:sz w:val="24"/>
          <w:szCs w:val="24"/>
        </w:rPr>
        <w:t>Governance</w:t>
      </w:r>
      <w:r w:rsidR="00031AD1" w:rsidRPr="001E08DE">
        <w:rPr>
          <w:sz w:val="24"/>
          <w:szCs w:val="24"/>
        </w:rPr>
        <w:t xml:space="preserve"> </w:t>
      </w:r>
    </w:p>
    <w:p w:rsidR="00031AD1" w:rsidRPr="001E08DE" w:rsidRDefault="00FA596C" w:rsidP="001E08DE">
      <w:r>
        <w:rPr>
          <w:color w:val="95B3D7"/>
        </w:rPr>
        <w:pict>
          <v:rect id="_x0000_i1025" style="width:451.3pt;height:1pt" o:hralign="center" o:hrstd="t" o:hrnoshade="t" o:hr="t" fillcolor="#95b3d7" stroked="f"/>
        </w:pict>
      </w:r>
    </w:p>
    <w:p w:rsidR="001F5D00" w:rsidRDefault="005D4362" w:rsidP="00E725CD">
      <w:pPr>
        <w:jc w:val="both"/>
      </w:pPr>
      <w:r>
        <w:t xml:space="preserve">This document has been produced with the aim of taking </w:t>
      </w:r>
      <w:r w:rsidR="00CB77C0">
        <w:t>describe</w:t>
      </w:r>
      <w:r>
        <w:t xml:space="preserve"> the current TUDCN mission and governance mechanisms</w:t>
      </w:r>
      <w:r>
        <w:rPr>
          <w:rStyle w:val="FootnoteReference"/>
        </w:rPr>
        <w:footnoteReference w:id="1"/>
      </w:r>
      <w:proofErr w:type="gramStart"/>
      <w:r w:rsidR="00CB77C0">
        <w:t>,taking</w:t>
      </w:r>
      <w:proofErr w:type="gramEnd"/>
      <w:r w:rsidR="00CB77C0">
        <w:t xml:space="preserve"> into account </w:t>
      </w:r>
      <w:r>
        <w:t xml:space="preserve">the findings of an external evaluation of the work of the network in the past two years, as well as, </w:t>
      </w:r>
      <w:r w:rsidR="00CB77C0">
        <w:t>the</w:t>
      </w:r>
      <w:r w:rsidR="00784CCA">
        <w:t xml:space="preserve"> analysis carried out by the Facilitation and Steering Group (FSG) of the TUDCN</w:t>
      </w:r>
      <w:r w:rsidR="00CB77C0">
        <w:t xml:space="preserve"> (January 2013 and the discussion and conclusions of the General Meeting in Slangerup (DK) in April 2013</w:t>
      </w:r>
      <w:r w:rsidR="00784CCA">
        <w:t>.</w:t>
      </w:r>
      <w:r>
        <w:t xml:space="preserve">  </w:t>
      </w:r>
    </w:p>
    <w:p w:rsidR="00031AD1" w:rsidRPr="00713229" w:rsidRDefault="00713229" w:rsidP="00CB77C0">
      <w:pPr>
        <w:pBdr>
          <w:top w:val="single" w:sz="4" w:space="1" w:color="000000"/>
          <w:left w:val="single" w:sz="4" w:space="4" w:color="000000"/>
          <w:bottom w:val="single" w:sz="4" w:space="1" w:color="000000"/>
          <w:right w:val="single" w:sz="4" w:space="4" w:color="000000"/>
        </w:pBdr>
        <w:spacing w:line="240" w:lineRule="auto"/>
        <w:rPr>
          <w:b/>
          <w:sz w:val="28"/>
          <w:szCs w:val="28"/>
        </w:rPr>
      </w:pPr>
      <w:r w:rsidRPr="00713229">
        <w:rPr>
          <w:b/>
          <w:sz w:val="28"/>
          <w:szCs w:val="28"/>
        </w:rPr>
        <w:t xml:space="preserve">THE TUDCN AS AN INCLUSIVE PROCESS </w:t>
      </w:r>
    </w:p>
    <w:p w:rsidR="00E725CD" w:rsidRDefault="00031AD1" w:rsidP="00E725CD">
      <w:pPr>
        <w:jc w:val="both"/>
      </w:pPr>
      <w:r w:rsidRPr="00D16610">
        <w:t>The TUDCN was launched after the ITUC Congress in 2006 to address the demand for better and more effective coordinated trade union development cooperation</w:t>
      </w:r>
      <w:r w:rsidR="00784CCA" w:rsidRPr="00D16610">
        <w:t xml:space="preserve">. </w:t>
      </w:r>
      <w:r w:rsidR="006F330D" w:rsidRPr="00D16610">
        <w:t>The Vancouver Congress (2010) further supported this demand</w:t>
      </w:r>
      <w:r w:rsidRPr="00D16610">
        <w:t xml:space="preserve">, both in operational terms </w:t>
      </w:r>
      <w:r w:rsidR="00784CCA" w:rsidRPr="00D16610">
        <w:t>strengthening coherence of</w:t>
      </w:r>
      <w:r w:rsidRPr="00D16610">
        <w:t xml:space="preserve"> trade union solidarity</w:t>
      </w:r>
      <w:r w:rsidR="00784CCA" w:rsidRPr="00D16610">
        <w:t xml:space="preserve"> initiatives,</w:t>
      </w:r>
      <w:r w:rsidRPr="00D16610">
        <w:t xml:space="preserve"> and </w:t>
      </w:r>
      <w:r w:rsidR="00784CCA" w:rsidRPr="00D16610">
        <w:t>in political terms influencing</w:t>
      </w:r>
      <w:r w:rsidRPr="00D16610">
        <w:t xml:space="preserve"> relevant policy debates, representing the TU views to the international and regional development institutions</w:t>
      </w:r>
      <w:r w:rsidR="00784CCA" w:rsidRPr="00D16610">
        <w:t>, and reinforcing</w:t>
      </w:r>
      <w:r w:rsidRPr="00D16610">
        <w:t xml:space="preserve"> capacities for in-country action on development cooperation policies and strategies.</w:t>
      </w:r>
      <w:r>
        <w:t xml:space="preserve"> </w:t>
      </w:r>
    </w:p>
    <w:p w:rsidR="00E725CD" w:rsidRDefault="00E725CD" w:rsidP="00E725CD">
      <w:pPr>
        <w:shd w:val="clear" w:color="auto" w:fill="D6E3BC" w:themeFill="accent3" w:themeFillTint="66"/>
        <w:autoSpaceDE w:val="0"/>
        <w:autoSpaceDN w:val="0"/>
        <w:adjustRightInd w:val="0"/>
        <w:spacing w:after="0" w:line="240" w:lineRule="auto"/>
        <w:ind w:left="284" w:right="543"/>
        <w:jc w:val="both"/>
      </w:pPr>
    </w:p>
    <w:p w:rsidR="00E725CD" w:rsidRPr="006F330D" w:rsidRDefault="00E725CD" w:rsidP="00E725CD">
      <w:pPr>
        <w:shd w:val="clear" w:color="auto" w:fill="D6E3BC" w:themeFill="accent3" w:themeFillTint="66"/>
        <w:autoSpaceDE w:val="0"/>
        <w:autoSpaceDN w:val="0"/>
        <w:adjustRightInd w:val="0"/>
        <w:spacing w:after="0" w:line="240" w:lineRule="auto"/>
        <w:ind w:left="284" w:right="543"/>
        <w:jc w:val="both"/>
      </w:pPr>
      <w:r w:rsidRPr="006F330D">
        <w:t>Congress instructs the ITUC and regional organisations, working together with Global Unions partners and affiliates, to:</w:t>
      </w:r>
    </w:p>
    <w:p w:rsidR="00E725CD" w:rsidRPr="006F330D" w:rsidRDefault="00E725CD" w:rsidP="00E725CD">
      <w:pPr>
        <w:shd w:val="clear" w:color="auto" w:fill="D6E3BC" w:themeFill="accent3" w:themeFillTint="66"/>
        <w:autoSpaceDE w:val="0"/>
        <w:autoSpaceDN w:val="0"/>
        <w:adjustRightInd w:val="0"/>
        <w:spacing w:after="0" w:line="240" w:lineRule="auto"/>
        <w:ind w:left="284" w:right="543"/>
        <w:jc w:val="both"/>
      </w:pPr>
      <w:r w:rsidRPr="006F330D">
        <w:t>(</w:t>
      </w:r>
      <w:proofErr w:type="gramStart"/>
      <w:r w:rsidRPr="006F330D">
        <w:t>a</w:t>
      </w:r>
      <w:proofErr w:type="gramEnd"/>
      <w:r w:rsidRPr="006F330D">
        <w:t>) Defend, promote and advocate this new model of development among national and international institutions;</w:t>
      </w:r>
    </w:p>
    <w:p w:rsidR="00E725CD" w:rsidRPr="006F330D" w:rsidRDefault="00E725CD" w:rsidP="00E725CD">
      <w:pPr>
        <w:shd w:val="clear" w:color="auto" w:fill="D6E3BC" w:themeFill="accent3" w:themeFillTint="66"/>
        <w:autoSpaceDE w:val="0"/>
        <w:autoSpaceDN w:val="0"/>
        <w:adjustRightInd w:val="0"/>
        <w:spacing w:after="0" w:line="240" w:lineRule="auto"/>
        <w:ind w:left="284" w:right="543"/>
        <w:jc w:val="both"/>
      </w:pPr>
      <w:r w:rsidRPr="006F330D">
        <w:t>(b) Work for reform of the international financial and economic institutions, economic recovery programmes that focus on stimulating domestic demand on a counter-cyclical basis, new forms of international taxation, abolition of tax havens, a review of trade and investment treaties and agreements to ensure they promote development, and a fairer distribution of wealth within and among states;</w:t>
      </w:r>
    </w:p>
    <w:p w:rsidR="00E725CD" w:rsidRPr="006F330D" w:rsidRDefault="00E725CD" w:rsidP="00E725CD">
      <w:pPr>
        <w:shd w:val="clear" w:color="auto" w:fill="D6E3BC" w:themeFill="accent3" w:themeFillTint="66"/>
        <w:autoSpaceDE w:val="0"/>
        <w:autoSpaceDN w:val="0"/>
        <w:adjustRightInd w:val="0"/>
        <w:spacing w:after="0" w:line="240" w:lineRule="auto"/>
        <w:ind w:left="284" w:right="543"/>
        <w:jc w:val="both"/>
      </w:pPr>
      <w:r w:rsidRPr="006F330D">
        <w:t>(c) Work together, subject to respect of trade unions’ role and representativeness, with other civil society organisations and movements, including women’s and youth groups, that share our values in supporting the promotion of a new development paradigm that includes a new development index instead of GDP, able to measure social and environmental well-being;</w:t>
      </w:r>
    </w:p>
    <w:p w:rsidR="00E725CD" w:rsidRPr="006F330D" w:rsidRDefault="00E725CD" w:rsidP="00E725CD">
      <w:pPr>
        <w:shd w:val="clear" w:color="auto" w:fill="D6E3BC" w:themeFill="accent3" w:themeFillTint="66"/>
        <w:autoSpaceDE w:val="0"/>
        <w:autoSpaceDN w:val="0"/>
        <w:adjustRightInd w:val="0"/>
        <w:spacing w:after="0" w:line="240" w:lineRule="auto"/>
        <w:ind w:left="284" w:right="543"/>
        <w:jc w:val="both"/>
      </w:pPr>
      <w:r w:rsidRPr="006F330D">
        <w:t>(d) Support initiatives to shift international development assistance from aid effectiveness to development effectiveness, and endorse the work being done by the Trade Union Development Cooperation Network (TUDCN) to bring greater coherence and improved coordination to trade union development cooperation;</w:t>
      </w:r>
    </w:p>
    <w:p w:rsidR="00E725CD" w:rsidRPr="006F330D" w:rsidRDefault="00E725CD" w:rsidP="00E725CD">
      <w:pPr>
        <w:shd w:val="clear" w:color="auto" w:fill="D6E3BC" w:themeFill="accent3" w:themeFillTint="66"/>
        <w:autoSpaceDE w:val="0"/>
        <w:autoSpaceDN w:val="0"/>
        <w:adjustRightInd w:val="0"/>
        <w:spacing w:after="0" w:line="240" w:lineRule="auto"/>
        <w:ind w:left="284" w:right="543"/>
        <w:jc w:val="both"/>
      </w:pPr>
      <w:r w:rsidRPr="006F330D">
        <w:t xml:space="preserve">(e) Support affiliates on issues related to the implementation of the new development model including in their fight to reverse the trend towards </w:t>
      </w:r>
      <w:proofErr w:type="spellStart"/>
      <w:r w:rsidRPr="006F330D">
        <w:t>casualisation</w:t>
      </w:r>
      <w:proofErr w:type="spellEnd"/>
      <w:r w:rsidRPr="006F330D">
        <w:t xml:space="preserve"> and </w:t>
      </w:r>
      <w:proofErr w:type="spellStart"/>
      <w:r w:rsidRPr="006F330D">
        <w:t>informalisation</w:t>
      </w:r>
      <w:proofErr w:type="spellEnd"/>
      <w:r w:rsidRPr="006F330D">
        <w:t xml:space="preserve"> of work, and to protect workers affected by it;</w:t>
      </w:r>
    </w:p>
    <w:p w:rsidR="00E725CD" w:rsidRDefault="00E725CD" w:rsidP="00E725CD">
      <w:pPr>
        <w:shd w:val="clear" w:color="auto" w:fill="D6E3BC" w:themeFill="accent3" w:themeFillTint="66"/>
        <w:autoSpaceDE w:val="0"/>
        <w:autoSpaceDN w:val="0"/>
        <w:adjustRightInd w:val="0"/>
        <w:spacing w:after="0" w:line="240" w:lineRule="auto"/>
        <w:ind w:left="284" w:right="543"/>
        <w:jc w:val="both"/>
      </w:pPr>
      <w:r w:rsidRPr="006F330D">
        <w:t>(f) Strengthen the capacity of member organisations on the issues addressed in this resolution.</w:t>
      </w:r>
    </w:p>
    <w:p w:rsidR="00E725CD" w:rsidRDefault="00E725CD" w:rsidP="00E725CD">
      <w:pPr>
        <w:shd w:val="clear" w:color="auto" w:fill="D6E3BC" w:themeFill="accent3" w:themeFillTint="66"/>
        <w:autoSpaceDE w:val="0"/>
        <w:autoSpaceDN w:val="0"/>
        <w:adjustRightInd w:val="0"/>
        <w:spacing w:after="0" w:line="240" w:lineRule="auto"/>
        <w:ind w:left="284" w:right="543"/>
        <w:jc w:val="both"/>
      </w:pPr>
    </w:p>
    <w:p w:rsidR="00E725CD" w:rsidRDefault="00E725CD" w:rsidP="00E725CD">
      <w:pPr>
        <w:jc w:val="both"/>
      </w:pPr>
    </w:p>
    <w:p w:rsidR="00301285" w:rsidRDefault="006F330D" w:rsidP="00E725CD">
      <w:pPr>
        <w:jc w:val="both"/>
      </w:pPr>
      <w:r>
        <w:lastRenderedPageBreak/>
        <w:t>T</w:t>
      </w:r>
      <w:r w:rsidR="00031AD1">
        <w:t>he TUDCN was formally launched</w:t>
      </w:r>
      <w:r>
        <w:t xml:space="preserve"> in 2008</w:t>
      </w:r>
      <w:r w:rsidR="00B350A2">
        <w:t>.  Since then</w:t>
      </w:r>
      <w:r w:rsidR="00301285">
        <w:t>,</w:t>
      </w:r>
      <w:r w:rsidR="00B350A2">
        <w:t xml:space="preserve"> it has</w:t>
      </w:r>
      <w:r w:rsidR="00031AD1">
        <w:t xml:space="preserve"> operated as an </w:t>
      </w:r>
      <w:r w:rsidR="00B350A2">
        <w:t xml:space="preserve">open and </w:t>
      </w:r>
      <w:r w:rsidR="00031AD1">
        <w:t xml:space="preserve">inclusive </w:t>
      </w:r>
      <w:r w:rsidR="00B350A2">
        <w:t xml:space="preserve">network, </w:t>
      </w:r>
      <w:r w:rsidR="00031AD1">
        <w:t xml:space="preserve">engaged from the start with </w:t>
      </w:r>
      <w:r w:rsidR="00B350A2">
        <w:t>r</w:t>
      </w:r>
      <w:r w:rsidR="00031AD1">
        <w:t xml:space="preserve">egional organisations in order to ensure the necessary voice and presence of all sides </w:t>
      </w:r>
      <w:r w:rsidR="00B350A2">
        <w:t>of</w:t>
      </w:r>
      <w:r w:rsidR="00031AD1">
        <w:t xml:space="preserve"> trade union development cooperation partners.  Solidarity Support Organisations also participated from the start as cooperating and cons</w:t>
      </w:r>
      <w:r w:rsidR="00B350A2">
        <w:t xml:space="preserve">tituent partners in the network, as well as, </w:t>
      </w:r>
      <w:r w:rsidR="00031AD1">
        <w:t>Global Union Federation</w:t>
      </w:r>
      <w:r w:rsidR="00E725CD">
        <w:t>s</w:t>
      </w:r>
      <w:r w:rsidR="00031AD1">
        <w:t xml:space="preserve"> </w:t>
      </w:r>
      <w:r w:rsidR="00B350A2">
        <w:t>more gradually.</w:t>
      </w:r>
    </w:p>
    <w:p w:rsidR="00301285" w:rsidRDefault="00713229" w:rsidP="00715471">
      <w:pPr>
        <w:pBdr>
          <w:top w:val="single" w:sz="4" w:space="1" w:color="000000"/>
          <w:left w:val="single" w:sz="4" w:space="4" w:color="000000"/>
          <w:bottom w:val="single" w:sz="4" w:space="1" w:color="000000"/>
          <w:right w:val="single" w:sz="4" w:space="4" w:color="000000"/>
        </w:pBdr>
        <w:spacing w:line="240" w:lineRule="auto"/>
        <w:jc w:val="center"/>
        <w:rPr>
          <w:b/>
          <w:sz w:val="28"/>
          <w:szCs w:val="28"/>
        </w:rPr>
      </w:pPr>
      <w:r w:rsidRPr="00D16610">
        <w:rPr>
          <w:b/>
          <w:sz w:val="28"/>
          <w:szCs w:val="28"/>
        </w:rPr>
        <w:t>MISSION OF THE TUDCN</w:t>
      </w:r>
    </w:p>
    <w:p w:rsidR="00CE6FBE" w:rsidRDefault="00CE6FBE" w:rsidP="005C106D">
      <w:pPr>
        <w:jc w:val="both"/>
      </w:pPr>
      <w:r w:rsidRPr="00301285">
        <w:rPr>
          <w:b/>
          <w:bCs/>
        </w:rPr>
        <w:t xml:space="preserve">To improve trade union development cooperation “effectiveness” </w:t>
      </w:r>
      <w:r>
        <w:t xml:space="preserve">(cooperation and coordination) through joining  efforts and resources; sharing of information and practices;  and by stimulating improved impact and results of the solidarity efforts within the trade union movement.   </w:t>
      </w:r>
    </w:p>
    <w:p w:rsidR="00CE6FBE" w:rsidRDefault="00CE6FBE" w:rsidP="005C106D">
      <w:pPr>
        <w:jc w:val="both"/>
      </w:pPr>
      <w:r w:rsidRPr="00301285">
        <w:rPr>
          <w:b/>
          <w:bCs/>
        </w:rPr>
        <w:t>To ensure</w:t>
      </w:r>
      <w:r>
        <w:t xml:space="preserve"> </w:t>
      </w:r>
      <w:r w:rsidRPr="00301285">
        <w:rPr>
          <w:b/>
          <w:bCs/>
        </w:rPr>
        <w:t xml:space="preserve">input of trade union views in the development related policy debates </w:t>
      </w:r>
      <w:r>
        <w:t>and especially concerning the inclusion of the decent work agenda, Jobs pact and democratic ownership in development as key issues for sustainable development strategies.</w:t>
      </w:r>
    </w:p>
    <w:p w:rsidR="00031AD1" w:rsidRDefault="00715471" w:rsidP="00715471">
      <w:pPr>
        <w:pBdr>
          <w:top w:val="single" w:sz="4" w:space="1" w:color="000000"/>
          <w:left w:val="single" w:sz="4" w:space="4" w:color="000000"/>
          <w:bottom w:val="single" w:sz="4" w:space="1" w:color="000000"/>
          <w:right w:val="single" w:sz="4" w:space="4" w:color="000000"/>
        </w:pBdr>
        <w:jc w:val="center"/>
        <w:rPr>
          <w:b/>
          <w:sz w:val="28"/>
          <w:szCs w:val="28"/>
        </w:rPr>
      </w:pPr>
      <w:r w:rsidRPr="00D16610">
        <w:rPr>
          <w:b/>
          <w:sz w:val="28"/>
          <w:szCs w:val="28"/>
        </w:rPr>
        <w:t>MEMBERSHIP OF THE TUDCN</w:t>
      </w:r>
    </w:p>
    <w:p w:rsidR="00CE6FBE" w:rsidRPr="003E5E99" w:rsidRDefault="00CE6FBE" w:rsidP="008E1CE5">
      <w:pPr>
        <w:pStyle w:val="ListParagraph"/>
        <w:numPr>
          <w:ilvl w:val="0"/>
          <w:numId w:val="5"/>
        </w:numPr>
        <w:tabs>
          <w:tab w:val="left" w:pos="284"/>
        </w:tabs>
        <w:ind w:left="0" w:firstLine="0"/>
        <w:jc w:val="both"/>
      </w:pPr>
      <w:r w:rsidRPr="003E5E99">
        <w:t>ITUC affiliates active in develop</w:t>
      </w:r>
      <w:r w:rsidR="008E1CE5">
        <w:t>ment;</w:t>
      </w:r>
    </w:p>
    <w:p w:rsidR="00CE6FBE" w:rsidRPr="003E5E99" w:rsidRDefault="00CE6FBE" w:rsidP="008E1CE5">
      <w:pPr>
        <w:pStyle w:val="ListParagraph"/>
        <w:numPr>
          <w:ilvl w:val="0"/>
          <w:numId w:val="5"/>
        </w:numPr>
        <w:tabs>
          <w:tab w:val="left" w:pos="284"/>
        </w:tabs>
        <w:ind w:left="0" w:firstLine="0"/>
        <w:jc w:val="both"/>
      </w:pPr>
      <w:r w:rsidRPr="003E5E99">
        <w:t>S</w:t>
      </w:r>
      <w:r w:rsidR="008E1CE5">
        <w:t xml:space="preserve">olidarity </w:t>
      </w:r>
      <w:r w:rsidRPr="003E5E99">
        <w:t>S</w:t>
      </w:r>
      <w:r w:rsidR="008E1CE5">
        <w:t xml:space="preserve">upport </w:t>
      </w:r>
      <w:r w:rsidRPr="003E5E99">
        <w:t>O</w:t>
      </w:r>
      <w:r w:rsidR="008E1CE5">
        <w:t>rganisations (SSO</w:t>
      </w:r>
      <w:r w:rsidRPr="003E5E99">
        <w:t>s</w:t>
      </w:r>
      <w:r w:rsidR="008E1CE5">
        <w:t>)</w:t>
      </w:r>
      <w:r w:rsidRPr="003E5E99">
        <w:t xml:space="preserve"> </w:t>
      </w:r>
    </w:p>
    <w:p w:rsidR="00CE6FBE" w:rsidRPr="003E5E99" w:rsidRDefault="00CE6FBE" w:rsidP="008E1CE5">
      <w:pPr>
        <w:pStyle w:val="ListParagraph"/>
        <w:numPr>
          <w:ilvl w:val="0"/>
          <w:numId w:val="5"/>
        </w:numPr>
        <w:tabs>
          <w:tab w:val="left" w:pos="284"/>
        </w:tabs>
        <w:ind w:left="0" w:firstLine="0"/>
        <w:jc w:val="both"/>
      </w:pPr>
      <w:r w:rsidRPr="003E5E99">
        <w:t xml:space="preserve">ITUC regions, including representation from national affiliates; </w:t>
      </w:r>
    </w:p>
    <w:p w:rsidR="00CE6FBE" w:rsidRPr="003E5E99" w:rsidRDefault="00CE6FBE" w:rsidP="008E1CE5">
      <w:pPr>
        <w:pStyle w:val="ListParagraph"/>
        <w:numPr>
          <w:ilvl w:val="0"/>
          <w:numId w:val="5"/>
        </w:numPr>
        <w:tabs>
          <w:tab w:val="left" w:pos="284"/>
        </w:tabs>
        <w:ind w:left="0" w:firstLine="0"/>
        <w:jc w:val="both"/>
      </w:pPr>
      <w:r w:rsidRPr="003E5E99">
        <w:t xml:space="preserve">Global Union Federations (including regional representation); </w:t>
      </w:r>
    </w:p>
    <w:p w:rsidR="00CE6FBE" w:rsidRDefault="008E1CE5" w:rsidP="008E1CE5">
      <w:pPr>
        <w:pStyle w:val="ListParagraph"/>
        <w:numPr>
          <w:ilvl w:val="0"/>
          <w:numId w:val="5"/>
        </w:numPr>
        <w:tabs>
          <w:tab w:val="left" w:pos="284"/>
        </w:tabs>
        <w:ind w:left="0" w:firstLine="0"/>
        <w:jc w:val="both"/>
      </w:pPr>
      <w:r>
        <w:t>TUAC and ETUC</w:t>
      </w:r>
      <w:r w:rsidR="00CE6FBE" w:rsidRPr="003E5E99">
        <w:t xml:space="preserve">; </w:t>
      </w:r>
    </w:p>
    <w:p w:rsidR="00CE6FBE" w:rsidRDefault="00CE6FBE" w:rsidP="008E1CE5">
      <w:pPr>
        <w:pStyle w:val="ListParagraph"/>
        <w:numPr>
          <w:ilvl w:val="0"/>
          <w:numId w:val="5"/>
        </w:numPr>
        <w:tabs>
          <w:tab w:val="left" w:pos="284"/>
        </w:tabs>
        <w:ind w:left="0" w:firstLine="0"/>
        <w:jc w:val="both"/>
      </w:pPr>
      <w:r w:rsidRPr="003E5E99">
        <w:t>invited as observers: ACTRAV</w:t>
      </w:r>
    </w:p>
    <w:p w:rsidR="00CE6FBE" w:rsidRDefault="00CE6FBE" w:rsidP="00CE6FBE">
      <w:pPr>
        <w:pStyle w:val="ListParagraph"/>
      </w:pPr>
    </w:p>
    <w:p w:rsidR="005C106D" w:rsidRDefault="00CE6FBE" w:rsidP="008E1CE5">
      <w:pPr>
        <w:pStyle w:val="ListParagraph"/>
        <w:ind w:left="0"/>
        <w:jc w:val="both"/>
      </w:pPr>
      <w:r>
        <w:t xml:space="preserve">The Network membership should be understood as voluntary, inclusive and based on the interest and commitment of the cooperating organisations.  </w:t>
      </w:r>
    </w:p>
    <w:p w:rsidR="005C106D" w:rsidRDefault="00CE6FBE" w:rsidP="008E1CE5">
      <w:pPr>
        <w:pStyle w:val="ListParagraph"/>
        <w:ind w:left="0"/>
        <w:jc w:val="both"/>
      </w:pPr>
      <w:r>
        <w:t>The network, whilst responding to the demand from the ITUC congress, is open to all members of the trade union family.</w:t>
      </w:r>
    </w:p>
    <w:p w:rsidR="00715471" w:rsidRDefault="00715471" w:rsidP="008E1CE5">
      <w:pPr>
        <w:pStyle w:val="ListParagraph"/>
        <w:ind w:left="0"/>
        <w:jc w:val="both"/>
      </w:pPr>
    </w:p>
    <w:p w:rsidR="005C106D" w:rsidRDefault="00CE6FBE" w:rsidP="008E1CE5">
      <w:pPr>
        <w:pStyle w:val="ListParagraph"/>
        <w:ind w:left="0"/>
        <w:jc w:val="both"/>
      </w:pPr>
      <w:r>
        <w:t xml:space="preserve">The network has multiple lines of accountability (reporting to the ITUC GC on the one hand </w:t>
      </w:r>
      <w:r w:rsidR="00715471">
        <w:t xml:space="preserve">for the ITUC affiliates, </w:t>
      </w:r>
      <w:r>
        <w:t xml:space="preserve">and </w:t>
      </w:r>
      <w:r w:rsidR="00715471">
        <w:t>for</w:t>
      </w:r>
      <w:r>
        <w:t xml:space="preserve"> others </w:t>
      </w:r>
      <w:r w:rsidR="00715471">
        <w:t xml:space="preserve">(GUF, regions, SSO </w:t>
      </w:r>
      <w:r>
        <w:t>to their own respective constituencies).</w:t>
      </w:r>
    </w:p>
    <w:p w:rsidR="00715471" w:rsidRDefault="00715471" w:rsidP="008E1CE5">
      <w:pPr>
        <w:pStyle w:val="ListParagraph"/>
        <w:ind w:left="0"/>
        <w:jc w:val="both"/>
      </w:pPr>
    </w:p>
    <w:p w:rsidR="00CB77C0" w:rsidRDefault="00715471" w:rsidP="008E1CE5">
      <w:pPr>
        <w:pStyle w:val="ListParagraph"/>
        <w:ind w:left="0"/>
        <w:jc w:val="both"/>
      </w:pPr>
      <w:r>
        <w:t>See list of current participating organisations in annex.</w:t>
      </w:r>
    </w:p>
    <w:p w:rsidR="00715471" w:rsidRDefault="00715471" w:rsidP="008E1CE5">
      <w:pPr>
        <w:pStyle w:val="ListParagraph"/>
        <w:ind w:left="0"/>
        <w:jc w:val="both"/>
      </w:pPr>
    </w:p>
    <w:p w:rsidR="00715471" w:rsidRDefault="00715471" w:rsidP="008E1CE5">
      <w:pPr>
        <w:pStyle w:val="ListParagraph"/>
        <w:ind w:left="0"/>
        <w:jc w:val="both"/>
      </w:pPr>
    </w:p>
    <w:p w:rsidR="00031AD1" w:rsidRPr="005C106D" w:rsidRDefault="00715471" w:rsidP="00715471">
      <w:pPr>
        <w:pBdr>
          <w:top w:val="single" w:sz="4" w:space="1" w:color="000000"/>
          <w:left w:val="single" w:sz="4" w:space="4" w:color="000000"/>
          <w:bottom w:val="single" w:sz="4" w:space="1" w:color="000000"/>
          <w:right w:val="single" w:sz="4" w:space="4" w:color="000000"/>
        </w:pBdr>
        <w:spacing w:line="240" w:lineRule="auto"/>
        <w:jc w:val="center"/>
        <w:rPr>
          <w:b/>
          <w:sz w:val="28"/>
          <w:szCs w:val="28"/>
        </w:rPr>
      </w:pPr>
      <w:r w:rsidRPr="00713229">
        <w:rPr>
          <w:b/>
          <w:sz w:val="28"/>
          <w:szCs w:val="28"/>
        </w:rPr>
        <w:t>THE GOVERNANCE OF THE TUDCN</w:t>
      </w:r>
    </w:p>
    <w:p w:rsidR="00CB77C0" w:rsidRDefault="00CB77C0" w:rsidP="00CB77C0">
      <w:pPr>
        <w:spacing w:line="240" w:lineRule="auto"/>
        <w:rPr>
          <w:b/>
          <w:sz w:val="24"/>
          <w:szCs w:val="24"/>
          <w:u w:val="single"/>
        </w:rPr>
      </w:pPr>
    </w:p>
    <w:p w:rsidR="00CE6FBE" w:rsidRPr="00715471" w:rsidRDefault="00CE6FBE" w:rsidP="00CB77C0">
      <w:pPr>
        <w:spacing w:line="240" w:lineRule="auto"/>
        <w:rPr>
          <w:b/>
          <w:sz w:val="28"/>
          <w:szCs w:val="24"/>
          <w:u w:val="single"/>
        </w:rPr>
      </w:pPr>
      <w:r w:rsidRPr="00715471">
        <w:rPr>
          <w:b/>
          <w:sz w:val="28"/>
          <w:szCs w:val="24"/>
          <w:u w:val="single"/>
        </w:rPr>
        <w:t xml:space="preserve">DECISION MAKING: </w:t>
      </w:r>
    </w:p>
    <w:p w:rsidR="00CE6FBE" w:rsidRPr="00CB77C0" w:rsidRDefault="005C106D" w:rsidP="00CB77C0">
      <w:pPr>
        <w:pStyle w:val="ListParagraph"/>
        <w:ind w:left="0"/>
        <w:jc w:val="both"/>
      </w:pPr>
      <w:r>
        <w:t>T</w:t>
      </w:r>
      <w:r w:rsidRPr="003C6C5D">
        <w:t xml:space="preserve">he TUDCN works by </w:t>
      </w:r>
      <w:r w:rsidRPr="00CB77C0">
        <w:rPr>
          <w:b/>
        </w:rPr>
        <w:t>consensus,</w:t>
      </w:r>
      <w:r>
        <w:t xml:space="preserve"> g</w:t>
      </w:r>
      <w:r w:rsidR="00CE6FBE" w:rsidRPr="003C6C5D">
        <w:t>iven its m</w:t>
      </w:r>
      <w:r>
        <w:t>ission, composition and mandate</w:t>
      </w:r>
      <w:r w:rsidR="00CE6FBE" w:rsidRPr="00CB77C0">
        <w:t>.</w:t>
      </w:r>
    </w:p>
    <w:p w:rsidR="00CB77C0" w:rsidRDefault="00CB77C0" w:rsidP="00CB77C0">
      <w:pPr>
        <w:pStyle w:val="ListParagraph"/>
        <w:ind w:left="0"/>
        <w:jc w:val="both"/>
      </w:pPr>
      <w:r w:rsidRPr="00CB77C0">
        <w:t xml:space="preserve">Decision-making on position papers: documents emanating from WG or </w:t>
      </w:r>
      <w:proofErr w:type="gramStart"/>
      <w:r w:rsidRPr="00CB77C0">
        <w:t>TT,</w:t>
      </w:r>
      <w:proofErr w:type="gramEnd"/>
      <w:r w:rsidRPr="00CB77C0">
        <w:t xml:space="preserve"> should be sent to the whole TUDCN and a sign off procedure should be implemented. </w:t>
      </w:r>
    </w:p>
    <w:p w:rsidR="00CB77C0" w:rsidRPr="00CB77C0" w:rsidRDefault="00CB77C0" w:rsidP="00CB77C0">
      <w:pPr>
        <w:pStyle w:val="ListParagraph"/>
        <w:ind w:left="0"/>
        <w:jc w:val="both"/>
      </w:pPr>
    </w:p>
    <w:p w:rsidR="00CB77C0" w:rsidRPr="00715471" w:rsidRDefault="00CB77C0" w:rsidP="008E1CE5">
      <w:pPr>
        <w:jc w:val="both"/>
        <w:rPr>
          <w:b/>
          <w:sz w:val="28"/>
          <w:szCs w:val="24"/>
          <w:u w:val="single"/>
        </w:rPr>
      </w:pPr>
      <w:r w:rsidRPr="00715471">
        <w:rPr>
          <w:b/>
          <w:sz w:val="28"/>
          <w:szCs w:val="24"/>
          <w:u w:val="single"/>
        </w:rPr>
        <w:lastRenderedPageBreak/>
        <w:t>GOVERNANCE STRUCTURES AND MECHANISMS</w:t>
      </w:r>
    </w:p>
    <w:p w:rsidR="00CB77C0" w:rsidRPr="002E20D2" w:rsidRDefault="00CB77C0" w:rsidP="00CB77C0">
      <w:pPr>
        <w:rPr>
          <w:sz w:val="28"/>
        </w:rPr>
      </w:pPr>
      <w:bookmarkStart w:id="0" w:name="_GoBack"/>
      <w:r w:rsidRPr="002E20D2">
        <w:rPr>
          <w:b/>
          <w:sz w:val="28"/>
          <w:u w:val="single"/>
        </w:rPr>
        <w:t>GENERAL MEETINGS</w:t>
      </w:r>
      <w:r w:rsidRPr="002E20D2">
        <w:rPr>
          <w:sz w:val="28"/>
        </w:rPr>
        <w:t xml:space="preserve"> </w:t>
      </w:r>
    </w:p>
    <w:bookmarkEnd w:id="0"/>
    <w:p w:rsidR="00CB77C0" w:rsidRDefault="00CB77C0" w:rsidP="00CB77C0">
      <w:pPr>
        <w:pStyle w:val="ListParagraph"/>
        <w:ind w:left="0"/>
        <w:jc w:val="both"/>
      </w:pPr>
      <w:r w:rsidRPr="00BB0614">
        <w:t xml:space="preserve">Network meetings bring together all the members of the network and are aimed at setting the overall agenda for the work of the network, take the necessary decisions in terms of organising the work and the implementation of the work-plan.  The network meetings act as the “organizing assembly” of the TUDCN. </w:t>
      </w:r>
    </w:p>
    <w:p w:rsidR="00CB77C0" w:rsidRPr="00CB77C0" w:rsidRDefault="00CB77C0" w:rsidP="00CB77C0">
      <w:pPr>
        <w:pStyle w:val="ListParagraph"/>
        <w:ind w:left="0"/>
        <w:jc w:val="both"/>
      </w:pPr>
      <w:r w:rsidRPr="00CB77C0">
        <w:rPr>
          <w:b/>
          <w:i/>
        </w:rPr>
        <w:t>Mandate:</w:t>
      </w:r>
      <w:r w:rsidRPr="00CB77C0">
        <w:t xml:space="preserve"> policy decisions and orientations making, focusing on thematic discussions  </w:t>
      </w:r>
    </w:p>
    <w:p w:rsidR="00CB77C0" w:rsidRPr="00CB77C0" w:rsidRDefault="00CB77C0" w:rsidP="00CB77C0">
      <w:pPr>
        <w:pStyle w:val="ListParagraph"/>
        <w:ind w:left="0"/>
        <w:jc w:val="both"/>
      </w:pPr>
      <w:r w:rsidRPr="00CB77C0">
        <w:rPr>
          <w:b/>
          <w:i/>
        </w:rPr>
        <w:t>Composition:</w:t>
      </w:r>
      <w:r>
        <w:t xml:space="preserve"> Organisations n</w:t>
      </w:r>
      <w:r w:rsidRPr="00CB77C0">
        <w:t>ominat</w:t>
      </w:r>
      <w:r>
        <w:t>e</w:t>
      </w:r>
      <w:r w:rsidRPr="00CB77C0">
        <w:t xml:space="preserve"> “permanent” participants with indication of possible alternates </w:t>
      </w:r>
      <w:r>
        <w:t>S</w:t>
      </w:r>
      <w:r w:rsidRPr="00CB77C0">
        <w:t xml:space="preserve">outhern regional </w:t>
      </w:r>
      <w:r>
        <w:t xml:space="preserve">can nominate up to </w:t>
      </w:r>
      <w:r w:rsidRPr="00CB77C0">
        <w:t xml:space="preserve">5 </w:t>
      </w:r>
      <w:r>
        <w:t>r</w:t>
      </w:r>
      <w:r w:rsidRPr="00CB77C0">
        <w:t>epresentat</w:t>
      </w:r>
      <w:r>
        <w:t>ives</w:t>
      </w:r>
      <w:r w:rsidRPr="00CB77C0">
        <w:t xml:space="preserve"> </w:t>
      </w:r>
      <w:r>
        <w:t xml:space="preserve">per </w:t>
      </w:r>
      <w:r w:rsidRPr="00CB77C0">
        <w:t>region (LA,</w:t>
      </w:r>
      <w:r>
        <w:t xml:space="preserve"> </w:t>
      </w:r>
      <w:r w:rsidRPr="00CB77C0">
        <w:t>A</w:t>
      </w:r>
      <w:r>
        <w:t>-</w:t>
      </w:r>
      <w:r w:rsidRPr="00CB77C0">
        <w:t xml:space="preserve">P, </w:t>
      </w:r>
      <w:proofErr w:type="gramStart"/>
      <w:r w:rsidRPr="00CB77C0">
        <w:t>Africa</w:t>
      </w:r>
      <w:proofErr w:type="gramEnd"/>
      <w:r w:rsidRPr="00CB77C0">
        <w:t>) including also PERC, MENA</w:t>
      </w:r>
    </w:p>
    <w:p w:rsidR="00CB77C0" w:rsidRPr="00CB77C0" w:rsidRDefault="00CB77C0" w:rsidP="00CB77C0">
      <w:pPr>
        <w:pStyle w:val="ListParagraph"/>
        <w:ind w:left="0"/>
        <w:jc w:val="both"/>
      </w:pPr>
      <w:r w:rsidRPr="00CB77C0">
        <w:rPr>
          <w:b/>
          <w:i/>
        </w:rPr>
        <w:t>Number of meetings</w:t>
      </w:r>
      <w:r w:rsidRPr="00BB0614">
        <w:t>: 2 meetings 2/3 days per year</w:t>
      </w:r>
    </w:p>
    <w:p w:rsidR="00CB77C0" w:rsidRPr="002E20D2" w:rsidRDefault="00CB77C0" w:rsidP="00CB77C0">
      <w:pPr>
        <w:rPr>
          <w:b/>
          <w:sz w:val="28"/>
          <w:u w:val="single"/>
        </w:rPr>
      </w:pPr>
      <w:r w:rsidRPr="002E20D2">
        <w:rPr>
          <w:b/>
          <w:sz w:val="28"/>
          <w:u w:val="single"/>
        </w:rPr>
        <w:t>FSG (FACILITATION AND STEERING GROUP)</w:t>
      </w:r>
    </w:p>
    <w:p w:rsidR="00CB77C0" w:rsidRPr="00CB77C0" w:rsidRDefault="00CB77C0" w:rsidP="00CB77C0">
      <w:pPr>
        <w:pStyle w:val="ListParagraph"/>
        <w:ind w:left="0"/>
        <w:jc w:val="both"/>
      </w:pPr>
      <w:r w:rsidRPr="00CB77C0">
        <w:rPr>
          <w:b/>
          <w:i/>
        </w:rPr>
        <w:t>Mandate:</w:t>
      </w:r>
      <w:r w:rsidRPr="00CB77C0">
        <w:t xml:space="preserve"> follow up on activities and management issues (reporting); take management decisions in between GM; take up representation tasks;</w:t>
      </w:r>
    </w:p>
    <w:p w:rsidR="00CB77C0" w:rsidRPr="00CB77C0" w:rsidRDefault="00CB77C0" w:rsidP="00CB77C0">
      <w:pPr>
        <w:pStyle w:val="ListParagraph"/>
        <w:ind w:left="0"/>
        <w:jc w:val="both"/>
        <w:rPr>
          <w:b/>
          <w:i/>
        </w:rPr>
      </w:pPr>
      <w:r w:rsidRPr="00CB77C0">
        <w:rPr>
          <w:b/>
          <w:i/>
        </w:rPr>
        <w:t>Tasks</w:t>
      </w:r>
    </w:p>
    <w:p w:rsidR="00CB77C0" w:rsidRDefault="00CB77C0" w:rsidP="00CB77C0">
      <w:pPr>
        <w:pStyle w:val="ListParagraph"/>
        <w:ind w:left="0"/>
        <w:jc w:val="both"/>
      </w:pPr>
      <w:r>
        <w:t>The Facilitation &amp; Steering Group (FSG) will enhance the preparation</w:t>
      </w:r>
      <w:r w:rsidRPr="00FE31FB">
        <w:t xml:space="preserve"> </w:t>
      </w:r>
      <w:r>
        <w:t xml:space="preserve">of TUDCN meetings (chairing meetings) and will oversee the work of the TUDCN secretariat. </w:t>
      </w:r>
    </w:p>
    <w:p w:rsidR="00CB77C0" w:rsidRDefault="00CB77C0" w:rsidP="00CB77C0">
      <w:pPr>
        <w:pStyle w:val="ListParagraph"/>
        <w:ind w:left="0"/>
        <w:jc w:val="both"/>
      </w:pPr>
      <w:r>
        <w:t xml:space="preserve">The FSG will ensure the adequate monitoring and evaluation of the work of the TUDCN </w:t>
      </w:r>
      <w:r w:rsidRPr="00F4248F">
        <w:t>and also design, where appropriate, evaluation-monitoring mechanisms and follow up initiatives</w:t>
      </w:r>
      <w:r>
        <w:t>.</w:t>
      </w:r>
      <w:r w:rsidRPr="00590A7E">
        <w:t xml:space="preserve"> </w:t>
      </w:r>
    </w:p>
    <w:p w:rsidR="00CB77C0" w:rsidRDefault="00CB77C0" w:rsidP="00CB77C0">
      <w:pPr>
        <w:pStyle w:val="ListParagraph"/>
        <w:ind w:left="0"/>
        <w:jc w:val="both"/>
      </w:pPr>
      <w:r>
        <w:t>The FSG will assess regularly the financial and administrative situation of the network</w:t>
      </w:r>
    </w:p>
    <w:p w:rsidR="00CB77C0" w:rsidRPr="00DD2F07" w:rsidRDefault="00CB77C0" w:rsidP="00CB77C0">
      <w:pPr>
        <w:pStyle w:val="ListParagraph"/>
        <w:ind w:left="0"/>
        <w:jc w:val="both"/>
      </w:pPr>
      <w:r>
        <w:t>The FSG reports to the TUDCN</w:t>
      </w:r>
    </w:p>
    <w:p w:rsidR="00CB77C0" w:rsidRPr="00CB77C0" w:rsidRDefault="00CB77C0" w:rsidP="00CB77C0">
      <w:pPr>
        <w:pStyle w:val="ListParagraph"/>
        <w:ind w:left="0"/>
        <w:jc w:val="both"/>
        <w:rPr>
          <w:b/>
          <w:i/>
        </w:rPr>
      </w:pPr>
      <w:r w:rsidRPr="00CB77C0">
        <w:rPr>
          <w:b/>
          <w:i/>
        </w:rPr>
        <w:t xml:space="preserve">Composition </w:t>
      </w:r>
    </w:p>
    <w:p w:rsidR="00CB77C0" w:rsidRDefault="00CB77C0" w:rsidP="00CB77C0">
      <w:pPr>
        <w:pStyle w:val="ListParagraph"/>
        <w:ind w:left="0"/>
        <w:jc w:val="both"/>
      </w:pPr>
      <w:r>
        <w:t>The FSG will be a light and inclusive governance structure that is acting collectively</w:t>
      </w:r>
      <w:r w:rsidRPr="00A51ABD">
        <w:t xml:space="preserve"> </w:t>
      </w:r>
      <w:r>
        <w:t>on behalf of the different categories of membership; The different constituencies will n</w:t>
      </w:r>
      <w:r w:rsidRPr="00CB77C0">
        <w:t>ominat</w:t>
      </w:r>
      <w:r>
        <w:t>e</w:t>
      </w:r>
      <w:r w:rsidRPr="00CB77C0">
        <w:t xml:space="preserve"> “permanent” participants with indication of possible alternates</w:t>
      </w:r>
      <w:r w:rsidR="00715471">
        <w:t xml:space="preserve">; </w:t>
      </w:r>
      <w:r w:rsidR="00715471" w:rsidRPr="00CB77C0">
        <w:t>Southern</w:t>
      </w:r>
      <w:r w:rsidR="00715471">
        <w:t xml:space="preserve"> organisations </w:t>
      </w:r>
      <w:r>
        <w:t>can nominate up to 3</w:t>
      </w:r>
      <w:r w:rsidRPr="00CB77C0">
        <w:t xml:space="preserve"> </w:t>
      </w:r>
      <w:r>
        <w:t>r</w:t>
      </w:r>
      <w:r w:rsidRPr="00CB77C0">
        <w:t>epresentat</w:t>
      </w:r>
      <w:r>
        <w:t>ives</w:t>
      </w:r>
      <w:r w:rsidRPr="00CB77C0">
        <w:t xml:space="preserve"> </w:t>
      </w:r>
      <w:r>
        <w:t xml:space="preserve">per </w:t>
      </w:r>
      <w:r w:rsidRPr="00CB77C0">
        <w:t>region (LA</w:t>
      </w:r>
      <w:proofErr w:type="gramStart"/>
      <w:r w:rsidRPr="00CB77C0">
        <w:t>,AP</w:t>
      </w:r>
      <w:proofErr w:type="gramEnd"/>
      <w:r w:rsidRPr="00CB77C0">
        <w:t>, Africa)</w:t>
      </w:r>
      <w:r>
        <w:t>.</w:t>
      </w:r>
      <w:r w:rsidRPr="00CB77C0">
        <w:t xml:space="preserve"> </w:t>
      </w:r>
    </w:p>
    <w:p w:rsidR="00CB77C0" w:rsidRDefault="00CB77C0" w:rsidP="00CB77C0">
      <w:pPr>
        <w:pStyle w:val="ListParagraph"/>
        <w:ind w:left="0"/>
        <w:jc w:val="both"/>
      </w:pPr>
      <w:r>
        <w:t xml:space="preserve">The TUDCN secretariat is ex-officio represented in the FSG. </w:t>
      </w:r>
    </w:p>
    <w:p w:rsidR="00CB77C0" w:rsidRPr="00CB77C0" w:rsidRDefault="00CB77C0" w:rsidP="00715471">
      <w:pPr>
        <w:pStyle w:val="ListParagraph"/>
        <w:spacing w:after="0"/>
        <w:ind w:left="0"/>
        <w:jc w:val="both"/>
      </w:pPr>
      <w:r w:rsidRPr="00CB77C0">
        <w:rPr>
          <w:b/>
          <w:i/>
        </w:rPr>
        <w:t>Meetings:</w:t>
      </w:r>
      <w:r w:rsidRPr="00CB77C0">
        <w:t xml:space="preserve"> 1 or 2 per year besides the back to back GM meetings</w:t>
      </w:r>
    </w:p>
    <w:p w:rsidR="00715471" w:rsidRDefault="00715471" w:rsidP="00CB77C0">
      <w:pPr>
        <w:rPr>
          <w:b/>
          <w:sz w:val="28"/>
          <w:u w:val="single"/>
        </w:rPr>
      </w:pPr>
    </w:p>
    <w:p w:rsidR="00CB77C0" w:rsidRPr="00715471" w:rsidRDefault="00CB77C0" w:rsidP="00CB77C0">
      <w:pPr>
        <w:rPr>
          <w:b/>
          <w:sz w:val="28"/>
          <w:u w:val="single"/>
        </w:rPr>
      </w:pPr>
      <w:r w:rsidRPr="00715471">
        <w:rPr>
          <w:b/>
          <w:sz w:val="28"/>
          <w:u w:val="single"/>
        </w:rPr>
        <w:t>WORKING GROUPS</w:t>
      </w:r>
      <w:proofErr w:type="gramStart"/>
      <w:r w:rsidRPr="00715471">
        <w:rPr>
          <w:b/>
          <w:sz w:val="28"/>
          <w:u w:val="single"/>
        </w:rPr>
        <w:t>,  TASK</w:t>
      </w:r>
      <w:proofErr w:type="gramEnd"/>
      <w:r w:rsidRPr="00715471">
        <w:rPr>
          <w:b/>
          <w:sz w:val="28"/>
          <w:u w:val="single"/>
        </w:rPr>
        <w:t xml:space="preserve"> TEAMS and ONLINE INTEREST GROUPS</w:t>
      </w:r>
    </w:p>
    <w:p w:rsidR="00CB77C0" w:rsidRDefault="00CB77C0" w:rsidP="00CB77C0">
      <w:pPr>
        <w:pStyle w:val="ListParagraph"/>
        <w:ind w:left="0"/>
        <w:jc w:val="both"/>
      </w:pPr>
      <w:r w:rsidRPr="00715471">
        <w:rPr>
          <w:b/>
          <w:i/>
        </w:rPr>
        <w:t>WORKING GROUPS</w:t>
      </w:r>
      <w:r w:rsidRPr="00D057B3">
        <w:t xml:space="preserve"> are established for the implementation of </w:t>
      </w:r>
      <w:r>
        <w:t>major areas in the work-</w:t>
      </w:r>
      <w:proofErr w:type="gramStart"/>
      <w:r>
        <w:t>plan :</w:t>
      </w:r>
      <w:proofErr w:type="gramEnd"/>
    </w:p>
    <w:p w:rsidR="00CB77C0" w:rsidRPr="00CB77C0" w:rsidRDefault="00CB77C0" w:rsidP="00715471">
      <w:pPr>
        <w:pStyle w:val="ListParagraph"/>
        <w:numPr>
          <w:ilvl w:val="0"/>
          <w:numId w:val="25"/>
        </w:numPr>
        <w:jc w:val="both"/>
      </w:pPr>
      <w:r w:rsidRPr="00CB77C0">
        <w:t>WG on EU development policies and instruments</w:t>
      </w:r>
    </w:p>
    <w:p w:rsidR="00CB77C0" w:rsidRDefault="00CB77C0" w:rsidP="00715471">
      <w:pPr>
        <w:pStyle w:val="ListParagraph"/>
        <w:numPr>
          <w:ilvl w:val="0"/>
          <w:numId w:val="25"/>
        </w:numPr>
        <w:jc w:val="both"/>
      </w:pPr>
      <w:r w:rsidRPr="00CB77C0">
        <w:t>WG on TUs development effectiveness</w:t>
      </w:r>
    </w:p>
    <w:p w:rsidR="00715471" w:rsidRPr="00CB77C0" w:rsidRDefault="00715471" w:rsidP="00715471">
      <w:pPr>
        <w:pStyle w:val="ListParagraph"/>
        <w:jc w:val="both"/>
      </w:pPr>
    </w:p>
    <w:p w:rsidR="00CB77C0" w:rsidRDefault="00CB77C0" w:rsidP="00CB77C0">
      <w:pPr>
        <w:pStyle w:val="ListParagraph"/>
        <w:ind w:left="0"/>
        <w:jc w:val="both"/>
      </w:pPr>
      <w:r w:rsidRPr="00715471">
        <w:rPr>
          <w:b/>
          <w:i/>
        </w:rPr>
        <w:t>TASK TEAMS</w:t>
      </w:r>
      <w:r w:rsidRPr="00D057B3">
        <w:t xml:space="preserve"> </w:t>
      </w:r>
      <w:r>
        <w:t>are</w:t>
      </w:r>
      <w:r w:rsidRPr="00D057B3">
        <w:t xml:space="preserve"> created in order to respond to specific challenges or to take up determined </w:t>
      </w:r>
      <w:r>
        <w:t>tasks (research, expertise ...) and are</w:t>
      </w:r>
      <w:r w:rsidRPr="00D057B3">
        <w:t xml:space="preserve"> open to all interested TUDCN members, complementing online consult</w:t>
      </w:r>
      <w:r>
        <w:t xml:space="preserve">ations and shared drafting work.  The current TT </w:t>
      </w:r>
      <w:proofErr w:type="gramStart"/>
      <w:r>
        <w:t>are</w:t>
      </w:r>
      <w:proofErr w:type="gramEnd"/>
      <w:r>
        <w:t xml:space="preserve">: </w:t>
      </w:r>
    </w:p>
    <w:p w:rsidR="00CB77C0" w:rsidRDefault="00CB77C0" w:rsidP="00715471">
      <w:pPr>
        <w:pStyle w:val="ListParagraph"/>
        <w:numPr>
          <w:ilvl w:val="0"/>
          <w:numId w:val="26"/>
        </w:numPr>
        <w:jc w:val="both"/>
      </w:pPr>
      <w:r>
        <w:t>TT on +2015 and SDG</w:t>
      </w:r>
    </w:p>
    <w:p w:rsidR="00CB77C0" w:rsidRDefault="00CB77C0" w:rsidP="00715471">
      <w:pPr>
        <w:pStyle w:val="ListParagraph"/>
        <w:numPr>
          <w:ilvl w:val="0"/>
          <w:numId w:val="26"/>
        </w:numPr>
        <w:jc w:val="both"/>
      </w:pPr>
      <w:r>
        <w:t>TT on private sector in development</w:t>
      </w:r>
    </w:p>
    <w:p w:rsidR="00CB77C0" w:rsidRDefault="00CB77C0" w:rsidP="00715471">
      <w:pPr>
        <w:pStyle w:val="ListParagraph"/>
        <w:numPr>
          <w:ilvl w:val="0"/>
          <w:numId w:val="26"/>
        </w:numPr>
        <w:jc w:val="both"/>
      </w:pPr>
      <w:r>
        <w:t>TT on effective institutions</w:t>
      </w:r>
    </w:p>
    <w:p w:rsidR="00CB77C0" w:rsidRPr="00CB77C0" w:rsidRDefault="00CB77C0" w:rsidP="00715471">
      <w:pPr>
        <w:pStyle w:val="ListParagraph"/>
        <w:numPr>
          <w:ilvl w:val="0"/>
          <w:numId w:val="26"/>
        </w:numPr>
        <w:jc w:val="both"/>
      </w:pPr>
      <w:r w:rsidRPr="00CB77C0">
        <w:t xml:space="preserve">TT on South </w:t>
      </w:r>
      <w:proofErr w:type="spellStart"/>
      <w:r w:rsidRPr="00CB77C0">
        <w:t>South</w:t>
      </w:r>
      <w:proofErr w:type="spellEnd"/>
      <w:r w:rsidRPr="00CB77C0">
        <w:t xml:space="preserve"> and triangular cooperation</w:t>
      </w:r>
    </w:p>
    <w:p w:rsidR="00CB77C0" w:rsidRDefault="00CB77C0" w:rsidP="00715471">
      <w:pPr>
        <w:pStyle w:val="ListParagraph"/>
        <w:numPr>
          <w:ilvl w:val="0"/>
          <w:numId w:val="26"/>
        </w:numPr>
        <w:jc w:val="both"/>
      </w:pPr>
      <w:r>
        <w:t>CSO Enabling Environment</w:t>
      </w:r>
    </w:p>
    <w:p w:rsidR="00CB77C0" w:rsidRDefault="00CB77C0" w:rsidP="00715471">
      <w:pPr>
        <w:pStyle w:val="ListParagraph"/>
        <w:numPr>
          <w:ilvl w:val="0"/>
          <w:numId w:val="26"/>
        </w:numPr>
        <w:jc w:val="both"/>
      </w:pPr>
      <w:r>
        <w:lastRenderedPageBreak/>
        <w:t>CSO Development Effectiveness</w:t>
      </w:r>
    </w:p>
    <w:p w:rsidR="00CB77C0" w:rsidRDefault="00CB77C0" w:rsidP="00715471">
      <w:pPr>
        <w:pStyle w:val="ListParagraph"/>
        <w:numPr>
          <w:ilvl w:val="0"/>
          <w:numId w:val="26"/>
        </w:numPr>
        <w:jc w:val="both"/>
      </w:pPr>
      <w:r>
        <w:t>Human Rights Based Approaches in Development</w:t>
      </w:r>
    </w:p>
    <w:p w:rsidR="00715471" w:rsidRPr="00CB77C0" w:rsidRDefault="00715471" w:rsidP="00715471">
      <w:pPr>
        <w:pStyle w:val="ListParagraph"/>
        <w:jc w:val="both"/>
      </w:pPr>
    </w:p>
    <w:p w:rsidR="00CB77C0" w:rsidRDefault="00CB77C0" w:rsidP="00CB77C0">
      <w:pPr>
        <w:pStyle w:val="ListParagraph"/>
        <w:ind w:left="0"/>
        <w:jc w:val="both"/>
      </w:pPr>
      <w:r w:rsidRPr="00715471">
        <w:rPr>
          <w:b/>
          <w:i/>
        </w:rPr>
        <w:t>ONLINE INTEREST GROUPS</w:t>
      </w:r>
      <w:r>
        <w:t xml:space="preserve"> deal with issues of common interest to the subscribing organisations</w:t>
      </w:r>
    </w:p>
    <w:p w:rsidR="00CB77C0" w:rsidRDefault="00CB77C0" w:rsidP="00715471">
      <w:pPr>
        <w:pStyle w:val="ListParagraph"/>
        <w:numPr>
          <w:ilvl w:val="0"/>
          <w:numId w:val="27"/>
        </w:numPr>
        <w:jc w:val="both"/>
      </w:pPr>
      <w:r>
        <w:t>OIG on DAC donor policies on CSO and TU support</w:t>
      </w:r>
    </w:p>
    <w:p w:rsidR="00CB77C0" w:rsidRDefault="00CB77C0" w:rsidP="00715471">
      <w:pPr>
        <w:pStyle w:val="ListParagraph"/>
        <w:numPr>
          <w:ilvl w:val="0"/>
          <w:numId w:val="27"/>
        </w:numPr>
        <w:jc w:val="both"/>
      </w:pPr>
      <w:r>
        <w:t>OIG on Development Education</w:t>
      </w:r>
    </w:p>
    <w:p w:rsidR="00CB77C0" w:rsidRPr="00CB77C0" w:rsidRDefault="00CB77C0" w:rsidP="00715471">
      <w:pPr>
        <w:pStyle w:val="ListParagraph"/>
        <w:numPr>
          <w:ilvl w:val="0"/>
          <w:numId w:val="27"/>
        </w:numPr>
        <w:jc w:val="both"/>
      </w:pPr>
      <w:r>
        <w:t>OIG on EU Human Rights and Democracy instrument</w:t>
      </w:r>
    </w:p>
    <w:p w:rsidR="00715471" w:rsidRDefault="00715471" w:rsidP="00CB77C0">
      <w:pPr>
        <w:pStyle w:val="ListParagraph"/>
        <w:ind w:left="0"/>
        <w:jc w:val="both"/>
      </w:pPr>
    </w:p>
    <w:p w:rsidR="00CB77C0" w:rsidRPr="00CB77C0" w:rsidRDefault="00CB77C0" w:rsidP="00CB77C0">
      <w:pPr>
        <w:pStyle w:val="ListParagraph"/>
        <w:ind w:left="0"/>
        <w:jc w:val="both"/>
      </w:pPr>
      <w:r w:rsidRPr="00CB77C0">
        <w:t xml:space="preserve">Organisations should </w:t>
      </w:r>
      <w:r>
        <w:t xml:space="preserve">sign up for the different groups and where possible, </w:t>
      </w:r>
      <w:r w:rsidRPr="00CB77C0">
        <w:t>take the lead on developing the work on specific topics with the support of the secretariat;</w:t>
      </w:r>
    </w:p>
    <w:p w:rsidR="00CB77C0" w:rsidRPr="00715471" w:rsidRDefault="00CB77C0" w:rsidP="00CB77C0">
      <w:pPr>
        <w:rPr>
          <w:b/>
          <w:sz w:val="28"/>
          <w:u w:val="single"/>
        </w:rPr>
      </w:pPr>
      <w:r w:rsidRPr="00715471">
        <w:rPr>
          <w:b/>
          <w:sz w:val="28"/>
          <w:u w:val="single"/>
        </w:rPr>
        <w:t>SEMINARS</w:t>
      </w:r>
    </w:p>
    <w:p w:rsidR="00CB77C0" w:rsidRDefault="00CB77C0" w:rsidP="00CB77C0">
      <w:pPr>
        <w:jc w:val="both"/>
        <w:rPr>
          <w:sz w:val="20"/>
          <w:szCs w:val="20"/>
        </w:rPr>
      </w:pPr>
      <w:r w:rsidRPr="00D057B3">
        <w:t>Thematic or training seminars can be organised in order to enlarge the level playing field within the trade union organisations, create capacity or study and exchange on trade union development cooperation related issues</w:t>
      </w:r>
      <w:r>
        <w:t xml:space="preserve"> and support on-line work streams when appropriate</w:t>
      </w:r>
      <w:r w:rsidRPr="00D057B3">
        <w:t xml:space="preserve">. </w:t>
      </w:r>
      <w:r w:rsidRPr="00DD2F07">
        <w:rPr>
          <w:sz w:val="20"/>
          <w:szCs w:val="20"/>
        </w:rPr>
        <w:t xml:space="preserve"> </w:t>
      </w:r>
    </w:p>
    <w:p w:rsidR="00715471" w:rsidRPr="00715471" w:rsidRDefault="00715471" w:rsidP="00715471">
      <w:pPr>
        <w:rPr>
          <w:b/>
          <w:sz w:val="28"/>
          <w:u w:val="single"/>
        </w:rPr>
      </w:pPr>
      <w:r w:rsidRPr="00715471">
        <w:rPr>
          <w:b/>
          <w:sz w:val="28"/>
          <w:u w:val="single"/>
        </w:rPr>
        <w:t>TUDCN SECRETARIAT</w:t>
      </w:r>
    </w:p>
    <w:p w:rsidR="00715471" w:rsidRDefault="00715471" w:rsidP="00715471">
      <w:r>
        <w:t xml:space="preserve">The TUDCN secretariat set up within the DCE-ITUC ensures the secretariat of the Network and supports the work of the FSG.   </w:t>
      </w:r>
    </w:p>
    <w:p w:rsidR="00715471" w:rsidRDefault="00715471" w:rsidP="00715471">
      <w:r>
        <w:t>The secretariat will be responsible for:</w:t>
      </w:r>
    </w:p>
    <w:p w:rsidR="00715471" w:rsidRPr="00713229" w:rsidRDefault="00715471" w:rsidP="00715471">
      <w:pPr>
        <w:pStyle w:val="ListParagraph"/>
        <w:numPr>
          <w:ilvl w:val="0"/>
          <w:numId w:val="27"/>
        </w:numPr>
        <w:jc w:val="both"/>
      </w:pPr>
      <w:r w:rsidRPr="00713229">
        <w:t>organising the workgroups, network meetings, and seminars;</w:t>
      </w:r>
    </w:p>
    <w:p w:rsidR="00715471" w:rsidRPr="00713229" w:rsidRDefault="00715471" w:rsidP="00715471">
      <w:pPr>
        <w:pStyle w:val="ListParagraph"/>
        <w:numPr>
          <w:ilvl w:val="0"/>
          <w:numId w:val="27"/>
        </w:numPr>
        <w:jc w:val="both"/>
      </w:pPr>
      <w:r w:rsidRPr="00713229">
        <w:t xml:space="preserve">ensuring the communication and information instruments of the Network (website, newsletter, mapping and research, ...); </w:t>
      </w:r>
    </w:p>
    <w:p w:rsidR="00715471" w:rsidRPr="00713229" w:rsidRDefault="00715471" w:rsidP="00715471">
      <w:pPr>
        <w:pStyle w:val="ListParagraph"/>
        <w:numPr>
          <w:ilvl w:val="0"/>
          <w:numId w:val="27"/>
        </w:numPr>
        <w:jc w:val="both"/>
      </w:pPr>
      <w:r w:rsidRPr="00713229">
        <w:t xml:space="preserve">Assisting with the outreach work to the members, affiliates, NGO platforms and other partners of the TUDCN;  </w:t>
      </w:r>
    </w:p>
    <w:p w:rsidR="00715471" w:rsidRPr="00713229" w:rsidRDefault="00715471" w:rsidP="00715471">
      <w:pPr>
        <w:pStyle w:val="ListParagraph"/>
        <w:numPr>
          <w:ilvl w:val="0"/>
          <w:numId w:val="27"/>
        </w:numPr>
        <w:jc w:val="both"/>
      </w:pPr>
      <w:r w:rsidRPr="00713229">
        <w:t>Providing technical support and coordination for project design, development and management;</w:t>
      </w:r>
    </w:p>
    <w:p w:rsidR="00715471" w:rsidRDefault="00715471" w:rsidP="00715471">
      <w:pPr>
        <w:pStyle w:val="ListParagraph"/>
        <w:numPr>
          <w:ilvl w:val="0"/>
          <w:numId w:val="27"/>
        </w:numPr>
        <w:jc w:val="both"/>
      </w:pPr>
      <w:r w:rsidRPr="00713229">
        <w:t>Communication and visibility strategy and instruments of the secretariat:</w:t>
      </w:r>
    </w:p>
    <w:p w:rsidR="00715471" w:rsidRPr="00713229" w:rsidRDefault="00715471" w:rsidP="00715471">
      <w:pPr>
        <w:pStyle w:val="ListParagraph"/>
        <w:numPr>
          <w:ilvl w:val="0"/>
          <w:numId w:val="28"/>
        </w:numPr>
        <w:spacing w:line="240" w:lineRule="auto"/>
        <w:jc w:val="both"/>
      </w:pPr>
      <w:r w:rsidRPr="00713229">
        <w:t xml:space="preserve">Newsletter: </w:t>
      </w:r>
    </w:p>
    <w:p w:rsidR="00715471" w:rsidRPr="00713229" w:rsidRDefault="00715471" w:rsidP="00715471">
      <w:pPr>
        <w:pStyle w:val="ListParagraph"/>
        <w:numPr>
          <w:ilvl w:val="0"/>
          <w:numId w:val="28"/>
        </w:numPr>
        <w:spacing w:line="240" w:lineRule="auto"/>
        <w:jc w:val="both"/>
      </w:pPr>
      <w:r w:rsidRPr="00713229">
        <w:t>dissemination by the regional structures to national affiliates in the continent is needed;</w:t>
      </w:r>
    </w:p>
    <w:p w:rsidR="00715471" w:rsidRPr="00713229" w:rsidRDefault="00715471" w:rsidP="00715471">
      <w:pPr>
        <w:pStyle w:val="ListParagraph"/>
        <w:numPr>
          <w:ilvl w:val="0"/>
          <w:numId w:val="28"/>
        </w:numPr>
        <w:spacing w:line="240" w:lineRule="auto"/>
        <w:jc w:val="both"/>
      </w:pPr>
      <w:r>
        <w:t>2 pagers on policy topics;</w:t>
      </w:r>
    </w:p>
    <w:p w:rsidR="00715471" w:rsidRPr="00713229" w:rsidRDefault="00715471" w:rsidP="00715471">
      <w:pPr>
        <w:pStyle w:val="ListParagraph"/>
        <w:numPr>
          <w:ilvl w:val="0"/>
          <w:numId w:val="28"/>
        </w:numPr>
        <w:spacing w:line="240" w:lineRule="auto"/>
        <w:jc w:val="both"/>
      </w:pPr>
      <w:r w:rsidRPr="00713229">
        <w:t xml:space="preserve">Database on projects: to </w:t>
      </w:r>
      <w:r>
        <w:t>be updated through</w:t>
      </w:r>
      <w:r w:rsidRPr="00713229">
        <w:t xml:space="preserve"> individualised approaches for follow up</w:t>
      </w:r>
    </w:p>
    <w:p w:rsidR="00715471" w:rsidRPr="00713229" w:rsidRDefault="00715471" w:rsidP="00715471">
      <w:pPr>
        <w:pStyle w:val="ListParagraph"/>
        <w:numPr>
          <w:ilvl w:val="0"/>
          <w:numId w:val="28"/>
        </w:numPr>
        <w:spacing w:line="240" w:lineRule="auto"/>
        <w:jc w:val="both"/>
      </w:pPr>
      <w:r w:rsidRPr="00713229">
        <w:t>Other instruments</w:t>
      </w:r>
      <w:r>
        <w:t xml:space="preserve">: </w:t>
      </w:r>
      <w:r w:rsidRPr="00713229">
        <w:t>new leaflets, TUDCN outcomes report document to the wider public; possibly a video-clip</w:t>
      </w:r>
      <w:r>
        <w:t>; …</w:t>
      </w:r>
      <w:r w:rsidRPr="00713229">
        <w:t xml:space="preserve">  </w:t>
      </w:r>
    </w:p>
    <w:p w:rsidR="00715471" w:rsidRDefault="00715471" w:rsidP="00715471">
      <w:pPr>
        <w:pStyle w:val="ListParagraph"/>
        <w:numPr>
          <w:ilvl w:val="0"/>
          <w:numId w:val="28"/>
        </w:numPr>
        <w:spacing w:line="240" w:lineRule="auto"/>
        <w:jc w:val="both"/>
      </w:pPr>
      <w:r w:rsidRPr="00713229">
        <w:t xml:space="preserve">Web site: add the activity calendar </w:t>
      </w:r>
    </w:p>
    <w:p w:rsidR="00715471" w:rsidRDefault="00715471" w:rsidP="00715471"/>
    <w:p w:rsidR="003C6C5D" w:rsidRDefault="00715471" w:rsidP="00715471">
      <w:r w:rsidRPr="00713229">
        <w:t xml:space="preserve">The ITUC </w:t>
      </w:r>
      <w:r>
        <w:t>(</w:t>
      </w:r>
      <w:r w:rsidRPr="00713229">
        <w:t>DCE/TUDCN secretariat</w:t>
      </w:r>
      <w:r>
        <w:t>)</w:t>
      </w:r>
      <w:r w:rsidRPr="00713229">
        <w:t xml:space="preserve"> </w:t>
      </w:r>
      <w:r>
        <w:t>is</w:t>
      </w:r>
      <w:r w:rsidRPr="00713229">
        <w:t xml:space="preserve"> responsible </w:t>
      </w:r>
      <w:r>
        <w:t xml:space="preserve">and accountable </w:t>
      </w:r>
      <w:r w:rsidRPr="00713229">
        <w:t>for the EU project management and inform the FSG on progress.</w:t>
      </w:r>
      <w:r>
        <w:t xml:space="preserve">  </w:t>
      </w:r>
    </w:p>
    <w:p w:rsidR="00715471" w:rsidRDefault="00715471" w:rsidP="00715471"/>
    <w:p w:rsidR="00715471" w:rsidRPr="00D16610" w:rsidRDefault="00715471" w:rsidP="00715471">
      <w:pPr>
        <w:jc w:val="center"/>
        <w:rPr>
          <w:b/>
          <w:sz w:val="28"/>
          <w:szCs w:val="28"/>
        </w:rPr>
      </w:pPr>
      <w:r>
        <w:t>==========================</w:t>
      </w:r>
    </w:p>
    <w:sectPr w:rsidR="00715471" w:rsidRPr="00D16610" w:rsidSect="00715471">
      <w:footerReference w:type="default" r:id="rId9"/>
      <w:headerReference w:type="first" r:id="rId10"/>
      <w:footerReference w:type="first" r:id="rId11"/>
      <w:pgSz w:w="11906" w:h="16838"/>
      <w:pgMar w:top="-993" w:right="1133" w:bottom="720" w:left="1134" w:header="150" w:footer="850"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96C" w:rsidRDefault="00FA596C" w:rsidP="00FF20B1">
      <w:pPr>
        <w:spacing w:after="0" w:line="240" w:lineRule="auto"/>
      </w:pPr>
      <w:r>
        <w:separator/>
      </w:r>
    </w:p>
  </w:endnote>
  <w:endnote w:type="continuationSeparator" w:id="0">
    <w:p w:rsidR="00FA596C" w:rsidRDefault="00FA596C" w:rsidP="00FF2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31363"/>
      <w:docPartObj>
        <w:docPartGallery w:val="Page Numbers (Bottom of Page)"/>
        <w:docPartUnique/>
      </w:docPartObj>
    </w:sdtPr>
    <w:sdtEndPr>
      <w:rPr>
        <w:noProof/>
      </w:rPr>
    </w:sdtEndPr>
    <w:sdtContent>
      <w:p w:rsidR="001200E4" w:rsidRDefault="001200E4">
        <w:pPr>
          <w:pStyle w:val="Footer"/>
          <w:jc w:val="center"/>
        </w:pPr>
        <w:r>
          <w:fldChar w:fldCharType="begin"/>
        </w:r>
        <w:r>
          <w:instrText xml:space="preserve"> PAGE   \* MERGEFORMAT </w:instrText>
        </w:r>
        <w:r>
          <w:fldChar w:fldCharType="separate"/>
        </w:r>
        <w:r w:rsidR="002E20D2">
          <w:rPr>
            <w:noProof/>
          </w:rPr>
          <w:t>3</w:t>
        </w:r>
        <w:r>
          <w:rPr>
            <w:noProof/>
          </w:rPr>
          <w:fldChar w:fldCharType="end"/>
        </w:r>
      </w:p>
    </w:sdtContent>
  </w:sdt>
  <w:p w:rsidR="00CE6FBE" w:rsidRDefault="00CE6F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814011"/>
      <w:docPartObj>
        <w:docPartGallery w:val="Page Numbers (Bottom of Page)"/>
        <w:docPartUnique/>
      </w:docPartObj>
    </w:sdtPr>
    <w:sdtEndPr>
      <w:rPr>
        <w:noProof/>
      </w:rPr>
    </w:sdtEndPr>
    <w:sdtContent>
      <w:p w:rsidR="001200E4" w:rsidRDefault="001200E4">
        <w:pPr>
          <w:pStyle w:val="Footer"/>
          <w:jc w:val="center"/>
        </w:pPr>
        <w:r>
          <w:fldChar w:fldCharType="begin"/>
        </w:r>
        <w:r>
          <w:instrText xml:space="preserve"> PAGE   \* MERGEFORMAT </w:instrText>
        </w:r>
        <w:r>
          <w:fldChar w:fldCharType="separate"/>
        </w:r>
        <w:r w:rsidR="002E20D2">
          <w:rPr>
            <w:noProof/>
          </w:rPr>
          <w:t>1</w:t>
        </w:r>
        <w:r>
          <w:rPr>
            <w:noProof/>
          </w:rPr>
          <w:fldChar w:fldCharType="end"/>
        </w:r>
      </w:p>
    </w:sdtContent>
  </w:sdt>
  <w:p w:rsidR="001200E4" w:rsidRDefault="00120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96C" w:rsidRDefault="00FA596C" w:rsidP="00FF20B1">
      <w:pPr>
        <w:spacing w:after="0" w:line="240" w:lineRule="auto"/>
      </w:pPr>
      <w:r>
        <w:separator/>
      </w:r>
    </w:p>
  </w:footnote>
  <w:footnote w:type="continuationSeparator" w:id="0">
    <w:p w:rsidR="00FA596C" w:rsidRDefault="00FA596C" w:rsidP="00FF20B1">
      <w:pPr>
        <w:spacing w:after="0" w:line="240" w:lineRule="auto"/>
      </w:pPr>
      <w:r>
        <w:continuationSeparator/>
      </w:r>
    </w:p>
  </w:footnote>
  <w:footnote w:id="1">
    <w:p w:rsidR="005D4362" w:rsidRDefault="005D4362">
      <w:pPr>
        <w:pStyle w:val="FootnoteText"/>
      </w:pPr>
      <w:r>
        <w:rPr>
          <w:rStyle w:val="FootnoteReference"/>
        </w:rPr>
        <w:footnoteRef/>
      </w:r>
      <w:r>
        <w:t xml:space="preserve"> See </w:t>
      </w:r>
      <w:r w:rsidRPr="005D4362">
        <w:t>Helsinki debates on the issue paper</w:t>
      </w:r>
      <w:r>
        <w:t xml:space="preserve"> (May 2010)</w:t>
      </w:r>
      <w:r w:rsidRPr="005D4362">
        <w:t xml:space="preserve"> </w:t>
      </w:r>
      <w:hyperlink r:id="rId1" w:history="1">
        <w:r w:rsidRPr="001C7C85">
          <w:rPr>
            <w:rStyle w:val="Hyperlink"/>
          </w:rPr>
          <w:t>http://www.ituc-csi.org/the-future-of-the-trade-union,6416.html</w:t>
        </w:r>
      </w:hyperlink>
      <w:r>
        <w:t xml:space="preserve"> and </w:t>
      </w:r>
      <w:r w:rsidRPr="001F5D00">
        <w:t>Improving Trade Union Development Cooperation Effectiveness</w:t>
      </w:r>
      <w:r>
        <w:t xml:space="preserve"> </w:t>
      </w:r>
      <w:hyperlink r:id="rId2" w:history="1">
        <w:r w:rsidRPr="001C7C85">
          <w:rPr>
            <w:rStyle w:val="Hyperlink"/>
          </w:rPr>
          <w:t>http://www.ituc-csi.org/discussion-paper-improving-trade</w:t>
        </w:r>
      </w:hyperlink>
      <w:r>
        <w:t xml:space="preserve"> (November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546" w:rsidRDefault="00D55546" w:rsidP="001200E4">
    <w:pPr>
      <w:pStyle w:val="Header"/>
      <w:spacing w:before="240"/>
      <w:jc w:val="center"/>
    </w:pPr>
    <w:r>
      <w:rPr>
        <w:noProof/>
        <w:lang w:val="fr-BE" w:eastAsia="fr-BE"/>
      </w:rPr>
      <w:drawing>
        <wp:inline distT="0" distB="0" distL="0" distR="0" wp14:anchorId="389F6D3E" wp14:editId="572EAED3">
          <wp:extent cx="1463040" cy="5724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gif"/>
                  <pic:cNvPicPr/>
                </pic:nvPicPr>
                <pic:blipFill>
                  <a:blip r:embed="rId1">
                    <a:extLst>
                      <a:ext uri="{28A0092B-C50C-407E-A947-70E740481C1C}">
                        <a14:useLocalDpi xmlns:a14="http://schemas.microsoft.com/office/drawing/2010/main" val="0"/>
                      </a:ext>
                    </a:extLst>
                  </a:blip>
                  <a:stretch>
                    <a:fillRect/>
                  </a:stretch>
                </pic:blipFill>
                <pic:spPr>
                  <a:xfrm>
                    <a:off x="0" y="0"/>
                    <a:ext cx="1466435" cy="573822"/>
                  </a:xfrm>
                  <a:prstGeom prst="rect">
                    <a:avLst/>
                  </a:prstGeom>
                </pic:spPr>
              </pic:pic>
            </a:graphicData>
          </a:graphic>
        </wp:inline>
      </w:drawing>
    </w:r>
  </w:p>
  <w:p w:rsidR="00D55546" w:rsidRDefault="001200E4" w:rsidP="001200E4">
    <w:pPr>
      <w:pStyle w:val="Header"/>
      <w:tabs>
        <w:tab w:val="clear" w:pos="4513"/>
        <w:tab w:val="clear" w:pos="9026"/>
        <w:tab w:val="left" w:pos="1315"/>
        <w:tab w:val="center" w:pos="5233"/>
      </w:tabs>
    </w:pPr>
    <w:r>
      <w:tab/>
    </w:r>
    <w:r>
      <w:tab/>
    </w:r>
  </w:p>
  <w:p w:rsidR="001200E4" w:rsidRDefault="001200E4" w:rsidP="001200E4">
    <w:pPr>
      <w:pStyle w:val="Header"/>
      <w:tabs>
        <w:tab w:val="clear" w:pos="4513"/>
        <w:tab w:val="clear" w:pos="9026"/>
        <w:tab w:val="left" w:pos="1315"/>
      </w:tabs>
    </w:pPr>
  </w:p>
  <w:p w:rsidR="00D55546" w:rsidRDefault="00D55546">
    <w:pPr>
      <w:pStyle w:val="Header"/>
    </w:pPr>
  </w:p>
  <w:p w:rsidR="00D55546" w:rsidRDefault="001200E4" w:rsidP="001200E4">
    <w:pPr>
      <w:pStyle w:val="Header"/>
      <w:tabs>
        <w:tab w:val="clear" w:pos="4513"/>
        <w:tab w:val="clear" w:pos="9026"/>
        <w:tab w:val="left" w:pos="205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AC1"/>
    <w:multiLevelType w:val="hybridMultilevel"/>
    <w:tmpl w:val="63F40A64"/>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
    <w:nsid w:val="03520ECA"/>
    <w:multiLevelType w:val="hybridMultilevel"/>
    <w:tmpl w:val="1D441AC0"/>
    <w:lvl w:ilvl="0" w:tplc="08090001">
      <w:start w:val="1"/>
      <w:numFmt w:val="bullet"/>
      <w:lvlText w:val=""/>
      <w:lvlJc w:val="left"/>
      <w:pPr>
        <w:ind w:left="2336" w:hanging="360"/>
      </w:pPr>
      <w:rPr>
        <w:rFonts w:ascii="Symbol" w:hAnsi="Symbol" w:cs="Symbol" w:hint="default"/>
      </w:rPr>
    </w:lvl>
    <w:lvl w:ilvl="1" w:tplc="0809000F">
      <w:start w:val="1"/>
      <w:numFmt w:val="decimal"/>
      <w:lvlText w:val="%2."/>
      <w:lvlJc w:val="left"/>
      <w:pPr>
        <w:ind w:left="3056" w:hanging="360"/>
      </w:pPr>
      <w:rPr>
        <w:rFonts w:hint="default"/>
      </w:rPr>
    </w:lvl>
    <w:lvl w:ilvl="2" w:tplc="08090005" w:tentative="1">
      <w:start w:val="1"/>
      <w:numFmt w:val="bullet"/>
      <w:lvlText w:val=""/>
      <w:lvlJc w:val="left"/>
      <w:pPr>
        <w:ind w:left="3776" w:hanging="360"/>
      </w:pPr>
      <w:rPr>
        <w:rFonts w:ascii="Wingdings" w:hAnsi="Wingdings" w:cs="Wingdings" w:hint="default"/>
      </w:rPr>
    </w:lvl>
    <w:lvl w:ilvl="3" w:tplc="08090001" w:tentative="1">
      <w:start w:val="1"/>
      <w:numFmt w:val="bullet"/>
      <w:lvlText w:val=""/>
      <w:lvlJc w:val="left"/>
      <w:pPr>
        <w:ind w:left="4496" w:hanging="360"/>
      </w:pPr>
      <w:rPr>
        <w:rFonts w:ascii="Symbol" w:hAnsi="Symbol" w:cs="Symbol" w:hint="default"/>
      </w:rPr>
    </w:lvl>
    <w:lvl w:ilvl="4" w:tplc="08090003" w:tentative="1">
      <w:start w:val="1"/>
      <w:numFmt w:val="bullet"/>
      <w:lvlText w:val="o"/>
      <w:lvlJc w:val="left"/>
      <w:pPr>
        <w:ind w:left="5216" w:hanging="360"/>
      </w:pPr>
      <w:rPr>
        <w:rFonts w:ascii="Courier New" w:hAnsi="Courier New" w:cs="Courier New" w:hint="default"/>
      </w:rPr>
    </w:lvl>
    <w:lvl w:ilvl="5" w:tplc="08090005" w:tentative="1">
      <w:start w:val="1"/>
      <w:numFmt w:val="bullet"/>
      <w:lvlText w:val=""/>
      <w:lvlJc w:val="left"/>
      <w:pPr>
        <w:ind w:left="5936" w:hanging="360"/>
      </w:pPr>
      <w:rPr>
        <w:rFonts w:ascii="Wingdings" w:hAnsi="Wingdings" w:cs="Wingdings" w:hint="default"/>
      </w:rPr>
    </w:lvl>
    <w:lvl w:ilvl="6" w:tplc="08090001" w:tentative="1">
      <w:start w:val="1"/>
      <w:numFmt w:val="bullet"/>
      <w:lvlText w:val=""/>
      <w:lvlJc w:val="left"/>
      <w:pPr>
        <w:ind w:left="6656" w:hanging="360"/>
      </w:pPr>
      <w:rPr>
        <w:rFonts w:ascii="Symbol" w:hAnsi="Symbol" w:cs="Symbol" w:hint="default"/>
      </w:rPr>
    </w:lvl>
    <w:lvl w:ilvl="7" w:tplc="08090003" w:tentative="1">
      <w:start w:val="1"/>
      <w:numFmt w:val="bullet"/>
      <w:lvlText w:val="o"/>
      <w:lvlJc w:val="left"/>
      <w:pPr>
        <w:ind w:left="7376" w:hanging="360"/>
      </w:pPr>
      <w:rPr>
        <w:rFonts w:ascii="Courier New" w:hAnsi="Courier New" w:cs="Courier New" w:hint="default"/>
      </w:rPr>
    </w:lvl>
    <w:lvl w:ilvl="8" w:tplc="08090005" w:tentative="1">
      <w:start w:val="1"/>
      <w:numFmt w:val="bullet"/>
      <w:lvlText w:val=""/>
      <w:lvlJc w:val="left"/>
      <w:pPr>
        <w:ind w:left="8096" w:hanging="360"/>
      </w:pPr>
      <w:rPr>
        <w:rFonts w:ascii="Wingdings" w:hAnsi="Wingdings" w:cs="Wingdings" w:hint="default"/>
      </w:rPr>
    </w:lvl>
  </w:abstractNum>
  <w:abstractNum w:abstractNumId="2">
    <w:nsid w:val="065F2AB9"/>
    <w:multiLevelType w:val="hybridMultilevel"/>
    <w:tmpl w:val="6756C9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077D662C"/>
    <w:multiLevelType w:val="hybridMultilevel"/>
    <w:tmpl w:val="A4DE6E56"/>
    <w:lvl w:ilvl="0" w:tplc="5CC44D80">
      <w:start w:val="1"/>
      <w:numFmt w:val="decimal"/>
      <w:lvlText w:val="%1"/>
      <w:lvlJc w:val="left"/>
      <w:pPr>
        <w:ind w:left="1068" w:hanging="708"/>
      </w:pPr>
      <w:rPr>
        <w:rFonts w:hint="default"/>
      </w:rPr>
    </w:lvl>
    <w:lvl w:ilvl="1" w:tplc="10A04B7A">
      <w:start w:val="1"/>
      <w:numFmt w:val="bullet"/>
      <w:lvlText w:val=""/>
      <w:lvlJc w:val="left"/>
      <w:pPr>
        <w:ind w:left="1440" w:hanging="360"/>
      </w:pPr>
      <w:rPr>
        <w:rFonts w:ascii="Symbol" w:eastAsia="Times New Roman"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CC3CE7"/>
    <w:multiLevelType w:val="hybridMultilevel"/>
    <w:tmpl w:val="9A4E4F6C"/>
    <w:lvl w:ilvl="0" w:tplc="0813000F">
      <w:start w:val="1"/>
      <w:numFmt w:val="decimal"/>
      <w:lvlText w:val="%1."/>
      <w:lvlJc w:val="left"/>
      <w:pPr>
        <w:ind w:left="360" w:hanging="360"/>
      </w:pPr>
    </w:lvl>
    <w:lvl w:ilvl="1" w:tplc="08130001">
      <w:start w:val="1"/>
      <w:numFmt w:val="bullet"/>
      <w:lvlText w:val=""/>
      <w:lvlJc w:val="left"/>
      <w:pPr>
        <w:ind w:left="1080" w:hanging="360"/>
      </w:pPr>
      <w:rPr>
        <w:rFonts w:ascii="Symbol" w:hAnsi="Symbol" w:hint="default"/>
      </w:rPr>
    </w:lvl>
    <w:lvl w:ilvl="2" w:tplc="08130001">
      <w:start w:val="1"/>
      <w:numFmt w:val="bullet"/>
      <w:lvlText w:val=""/>
      <w:lvlJc w:val="left"/>
      <w:pPr>
        <w:ind w:left="1800" w:hanging="180"/>
      </w:pPr>
      <w:rPr>
        <w:rFonts w:ascii="Symbol" w:hAnsi="Symbol"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1ABA1689"/>
    <w:multiLevelType w:val="hybridMultilevel"/>
    <w:tmpl w:val="4A82D65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1">
      <w:start w:val="1"/>
      <w:numFmt w:val="bullet"/>
      <w:lvlText w:val=""/>
      <w:lvlJc w:val="left"/>
      <w:pPr>
        <w:ind w:left="2520" w:hanging="360"/>
      </w:pPr>
      <w:rPr>
        <w:rFonts w:ascii="Symbol" w:hAnsi="Symbol" w:cs="Symbol" w:hint="default"/>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F5E1137"/>
    <w:multiLevelType w:val="hybridMultilevel"/>
    <w:tmpl w:val="32C29C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0E5518"/>
    <w:multiLevelType w:val="hybridMultilevel"/>
    <w:tmpl w:val="6436CC4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6150F0C"/>
    <w:multiLevelType w:val="hybridMultilevel"/>
    <w:tmpl w:val="7D78EB98"/>
    <w:lvl w:ilvl="0" w:tplc="7A860972">
      <w:numFmt w:val="bullet"/>
      <w:lvlText w:val="-"/>
      <w:lvlJc w:val="left"/>
      <w:pPr>
        <w:ind w:left="2520" w:hanging="360"/>
      </w:pPr>
      <w:rPr>
        <w:rFonts w:ascii="Calibri" w:eastAsia="Times New Roman" w:hAnsi="Calibri" w:hint="default"/>
      </w:rPr>
    </w:lvl>
    <w:lvl w:ilvl="1" w:tplc="0809000F">
      <w:start w:val="1"/>
      <w:numFmt w:val="decimal"/>
      <w:lvlText w:val="%2."/>
      <w:lvlJc w:val="left"/>
      <w:pPr>
        <w:ind w:left="3240" w:hanging="360"/>
      </w:pPr>
      <w:rPr>
        <w:rFonts w:hint="default"/>
      </w:rPr>
    </w:lvl>
    <w:lvl w:ilvl="2" w:tplc="08090005" w:tentative="1">
      <w:start w:val="1"/>
      <w:numFmt w:val="bullet"/>
      <w:lvlText w:val=""/>
      <w:lvlJc w:val="left"/>
      <w:pPr>
        <w:ind w:left="3960" w:hanging="360"/>
      </w:pPr>
      <w:rPr>
        <w:rFonts w:ascii="Wingdings" w:hAnsi="Wingdings" w:cs="Wingdings" w:hint="default"/>
      </w:rPr>
    </w:lvl>
    <w:lvl w:ilvl="3" w:tplc="08090001" w:tentative="1">
      <w:start w:val="1"/>
      <w:numFmt w:val="bullet"/>
      <w:lvlText w:val=""/>
      <w:lvlJc w:val="left"/>
      <w:pPr>
        <w:ind w:left="4680" w:hanging="360"/>
      </w:pPr>
      <w:rPr>
        <w:rFonts w:ascii="Symbol" w:hAnsi="Symbol" w:cs="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cs="Wingdings" w:hint="default"/>
      </w:rPr>
    </w:lvl>
    <w:lvl w:ilvl="6" w:tplc="08090001" w:tentative="1">
      <w:start w:val="1"/>
      <w:numFmt w:val="bullet"/>
      <w:lvlText w:val=""/>
      <w:lvlJc w:val="left"/>
      <w:pPr>
        <w:ind w:left="6840" w:hanging="360"/>
      </w:pPr>
      <w:rPr>
        <w:rFonts w:ascii="Symbol" w:hAnsi="Symbol" w:cs="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cs="Wingdings" w:hint="default"/>
      </w:rPr>
    </w:lvl>
  </w:abstractNum>
  <w:abstractNum w:abstractNumId="9">
    <w:nsid w:val="3AEE7FC7"/>
    <w:multiLevelType w:val="hybridMultilevel"/>
    <w:tmpl w:val="336E91A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0">
    <w:nsid w:val="433D40CA"/>
    <w:multiLevelType w:val="hybridMultilevel"/>
    <w:tmpl w:val="728AA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0534E6"/>
    <w:multiLevelType w:val="hybridMultilevel"/>
    <w:tmpl w:val="B986C7F0"/>
    <w:lvl w:ilvl="0" w:tplc="08090001">
      <w:start w:val="1"/>
      <w:numFmt w:val="bullet"/>
      <w:lvlText w:val=""/>
      <w:lvlJc w:val="left"/>
      <w:pPr>
        <w:ind w:left="2520" w:hanging="360"/>
      </w:pPr>
      <w:rPr>
        <w:rFonts w:ascii="Symbol" w:hAnsi="Symbol" w:cs="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cs="Wingdings" w:hint="default"/>
      </w:rPr>
    </w:lvl>
    <w:lvl w:ilvl="3" w:tplc="08090001" w:tentative="1">
      <w:start w:val="1"/>
      <w:numFmt w:val="bullet"/>
      <w:lvlText w:val=""/>
      <w:lvlJc w:val="left"/>
      <w:pPr>
        <w:ind w:left="4680" w:hanging="360"/>
      </w:pPr>
      <w:rPr>
        <w:rFonts w:ascii="Symbol" w:hAnsi="Symbol" w:cs="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cs="Wingdings" w:hint="default"/>
      </w:rPr>
    </w:lvl>
    <w:lvl w:ilvl="6" w:tplc="08090001" w:tentative="1">
      <w:start w:val="1"/>
      <w:numFmt w:val="bullet"/>
      <w:lvlText w:val=""/>
      <w:lvlJc w:val="left"/>
      <w:pPr>
        <w:ind w:left="6840" w:hanging="360"/>
      </w:pPr>
      <w:rPr>
        <w:rFonts w:ascii="Symbol" w:hAnsi="Symbol" w:cs="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cs="Wingdings" w:hint="default"/>
      </w:rPr>
    </w:lvl>
  </w:abstractNum>
  <w:abstractNum w:abstractNumId="12">
    <w:nsid w:val="44803247"/>
    <w:multiLevelType w:val="hybridMultilevel"/>
    <w:tmpl w:val="090C51A4"/>
    <w:lvl w:ilvl="0" w:tplc="0809000F">
      <w:start w:val="1"/>
      <w:numFmt w:val="decimal"/>
      <w:lvlText w:val="%1."/>
      <w:lvlJc w:val="left"/>
      <w:pPr>
        <w:ind w:left="1440" w:hanging="360"/>
      </w:pPr>
      <w:rPr>
        <w:rFonts w:hint="default"/>
      </w:rPr>
    </w:lvl>
    <w:lvl w:ilvl="1" w:tplc="0809000F">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3">
    <w:nsid w:val="44CA486A"/>
    <w:multiLevelType w:val="hybridMultilevel"/>
    <w:tmpl w:val="C89C9058"/>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4">
    <w:nsid w:val="498B25E3"/>
    <w:multiLevelType w:val="hybridMultilevel"/>
    <w:tmpl w:val="BA967BA8"/>
    <w:lvl w:ilvl="0" w:tplc="0809001B">
      <w:start w:val="1"/>
      <w:numFmt w:val="lowerRoman"/>
      <w:lvlText w:val="%1."/>
      <w:lvlJc w:val="right"/>
      <w:pPr>
        <w:ind w:left="1440" w:hanging="360"/>
      </w:pPr>
    </w:lvl>
    <w:lvl w:ilvl="1" w:tplc="7A860972">
      <w:numFmt w:val="bullet"/>
      <w:lvlText w:val="-"/>
      <w:lvlJc w:val="left"/>
      <w:pPr>
        <w:tabs>
          <w:tab w:val="num" w:pos="2160"/>
        </w:tabs>
        <w:ind w:left="2160" w:hanging="360"/>
      </w:pPr>
      <w:rPr>
        <w:rFonts w:ascii="Calibri" w:eastAsia="Times New Roman" w:hAnsi="Calibri"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4C1471B5"/>
    <w:multiLevelType w:val="hybridMultilevel"/>
    <w:tmpl w:val="DC5C3696"/>
    <w:lvl w:ilvl="0" w:tplc="012A1000">
      <w:start w:val="3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FFF23AE"/>
    <w:multiLevelType w:val="hybridMultilevel"/>
    <w:tmpl w:val="190AFE7E"/>
    <w:lvl w:ilvl="0" w:tplc="08090001">
      <w:start w:val="1"/>
      <w:numFmt w:val="bullet"/>
      <w:lvlText w:val=""/>
      <w:lvlJc w:val="left"/>
      <w:pPr>
        <w:ind w:left="1080" w:hanging="360"/>
      </w:pPr>
      <w:rPr>
        <w:rFonts w:ascii="Symbol" w:hAnsi="Symbol" w:cs="Symbol" w:hint="default"/>
      </w:rPr>
    </w:lvl>
    <w:lvl w:ilvl="1" w:tplc="0813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7">
    <w:nsid w:val="53F24550"/>
    <w:multiLevelType w:val="hybridMultilevel"/>
    <w:tmpl w:val="65E0AAC8"/>
    <w:lvl w:ilvl="0" w:tplc="08090001">
      <w:start w:val="1"/>
      <w:numFmt w:val="bullet"/>
      <w:lvlText w:val=""/>
      <w:lvlJc w:val="left"/>
      <w:pPr>
        <w:ind w:left="1068" w:hanging="708"/>
      </w:pPr>
      <w:rPr>
        <w:rFonts w:ascii="Symbol" w:hAnsi="Symbol" w:cs="Symbol" w:hint="default"/>
        <w:b/>
        <w:bCs/>
      </w:rPr>
    </w:lvl>
    <w:lvl w:ilvl="1" w:tplc="10A04B7A">
      <w:start w:val="1"/>
      <w:numFmt w:val="bullet"/>
      <w:lvlText w:val=""/>
      <w:lvlJc w:val="left"/>
      <w:pPr>
        <w:ind w:left="1440" w:hanging="360"/>
      </w:pPr>
      <w:rPr>
        <w:rFonts w:ascii="Symbol" w:eastAsia="Times New Roman"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E10AAD"/>
    <w:multiLevelType w:val="hybridMultilevel"/>
    <w:tmpl w:val="5B9018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C382540"/>
    <w:multiLevelType w:val="hybridMultilevel"/>
    <w:tmpl w:val="8384F6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86C43AC"/>
    <w:multiLevelType w:val="hybridMultilevel"/>
    <w:tmpl w:val="A030D7A2"/>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1">
    <w:nsid w:val="6965240B"/>
    <w:multiLevelType w:val="hybridMultilevel"/>
    <w:tmpl w:val="E8BAECC0"/>
    <w:lvl w:ilvl="0" w:tplc="08130001">
      <w:start w:val="1"/>
      <w:numFmt w:val="bullet"/>
      <w:lvlText w:val=""/>
      <w:lvlJc w:val="left"/>
      <w:pPr>
        <w:ind w:left="677" w:hanging="360"/>
      </w:pPr>
      <w:rPr>
        <w:rFonts w:ascii="Symbol" w:hAnsi="Symbol" w:hint="default"/>
      </w:rPr>
    </w:lvl>
    <w:lvl w:ilvl="1" w:tplc="08130003" w:tentative="1">
      <w:start w:val="1"/>
      <w:numFmt w:val="bullet"/>
      <w:lvlText w:val="o"/>
      <w:lvlJc w:val="left"/>
      <w:pPr>
        <w:ind w:left="1397" w:hanging="360"/>
      </w:pPr>
      <w:rPr>
        <w:rFonts w:ascii="Courier New" w:hAnsi="Courier New" w:cs="Courier New" w:hint="default"/>
      </w:rPr>
    </w:lvl>
    <w:lvl w:ilvl="2" w:tplc="08130005" w:tentative="1">
      <w:start w:val="1"/>
      <w:numFmt w:val="bullet"/>
      <w:lvlText w:val=""/>
      <w:lvlJc w:val="left"/>
      <w:pPr>
        <w:ind w:left="2117" w:hanging="360"/>
      </w:pPr>
      <w:rPr>
        <w:rFonts w:ascii="Wingdings" w:hAnsi="Wingdings" w:hint="default"/>
      </w:rPr>
    </w:lvl>
    <w:lvl w:ilvl="3" w:tplc="08130001" w:tentative="1">
      <w:start w:val="1"/>
      <w:numFmt w:val="bullet"/>
      <w:lvlText w:val=""/>
      <w:lvlJc w:val="left"/>
      <w:pPr>
        <w:ind w:left="2837" w:hanging="360"/>
      </w:pPr>
      <w:rPr>
        <w:rFonts w:ascii="Symbol" w:hAnsi="Symbol" w:hint="default"/>
      </w:rPr>
    </w:lvl>
    <w:lvl w:ilvl="4" w:tplc="08130003" w:tentative="1">
      <w:start w:val="1"/>
      <w:numFmt w:val="bullet"/>
      <w:lvlText w:val="o"/>
      <w:lvlJc w:val="left"/>
      <w:pPr>
        <w:ind w:left="3557" w:hanging="360"/>
      </w:pPr>
      <w:rPr>
        <w:rFonts w:ascii="Courier New" w:hAnsi="Courier New" w:cs="Courier New" w:hint="default"/>
      </w:rPr>
    </w:lvl>
    <w:lvl w:ilvl="5" w:tplc="08130005" w:tentative="1">
      <w:start w:val="1"/>
      <w:numFmt w:val="bullet"/>
      <w:lvlText w:val=""/>
      <w:lvlJc w:val="left"/>
      <w:pPr>
        <w:ind w:left="4277" w:hanging="360"/>
      </w:pPr>
      <w:rPr>
        <w:rFonts w:ascii="Wingdings" w:hAnsi="Wingdings" w:hint="default"/>
      </w:rPr>
    </w:lvl>
    <w:lvl w:ilvl="6" w:tplc="08130001" w:tentative="1">
      <w:start w:val="1"/>
      <w:numFmt w:val="bullet"/>
      <w:lvlText w:val=""/>
      <w:lvlJc w:val="left"/>
      <w:pPr>
        <w:ind w:left="4997" w:hanging="360"/>
      </w:pPr>
      <w:rPr>
        <w:rFonts w:ascii="Symbol" w:hAnsi="Symbol" w:hint="default"/>
      </w:rPr>
    </w:lvl>
    <w:lvl w:ilvl="7" w:tplc="08130003" w:tentative="1">
      <w:start w:val="1"/>
      <w:numFmt w:val="bullet"/>
      <w:lvlText w:val="o"/>
      <w:lvlJc w:val="left"/>
      <w:pPr>
        <w:ind w:left="5717" w:hanging="360"/>
      </w:pPr>
      <w:rPr>
        <w:rFonts w:ascii="Courier New" w:hAnsi="Courier New" w:cs="Courier New" w:hint="default"/>
      </w:rPr>
    </w:lvl>
    <w:lvl w:ilvl="8" w:tplc="08130005" w:tentative="1">
      <w:start w:val="1"/>
      <w:numFmt w:val="bullet"/>
      <w:lvlText w:val=""/>
      <w:lvlJc w:val="left"/>
      <w:pPr>
        <w:ind w:left="6437" w:hanging="360"/>
      </w:pPr>
      <w:rPr>
        <w:rFonts w:ascii="Wingdings" w:hAnsi="Wingdings" w:hint="default"/>
      </w:rPr>
    </w:lvl>
  </w:abstractNum>
  <w:abstractNum w:abstractNumId="22">
    <w:nsid w:val="6AF04E92"/>
    <w:multiLevelType w:val="hybridMultilevel"/>
    <w:tmpl w:val="132031F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3">
    <w:nsid w:val="6B7D680D"/>
    <w:multiLevelType w:val="hybridMultilevel"/>
    <w:tmpl w:val="14183132"/>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24">
    <w:nsid w:val="74B8018A"/>
    <w:multiLevelType w:val="hybridMultilevel"/>
    <w:tmpl w:val="7924FAE2"/>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5">
    <w:nsid w:val="785B1B5F"/>
    <w:multiLevelType w:val="hybridMultilevel"/>
    <w:tmpl w:val="6CBCED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B3D278F"/>
    <w:multiLevelType w:val="hybridMultilevel"/>
    <w:tmpl w:val="715AEE54"/>
    <w:lvl w:ilvl="0" w:tplc="012A1000">
      <w:start w:val="3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D95469"/>
    <w:multiLevelType w:val="hybridMultilevel"/>
    <w:tmpl w:val="6436CC46"/>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5"/>
  </w:num>
  <w:num w:numId="3">
    <w:abstractNumId w:val="2"/>
  </w:num>
  <w:num w:numId="4">
    <w:abstractNumId w:val="9"/>
  </w:num>
  <w:num w:numId="5">
    <w:abstractNumId w:val="23"/>
  </w:num>
  <w:num w:numId="6">
    <w:abstractNumId w:val="1"/>
  </w:num>
  <w:num w:numId="7">
    <w:abstractNumId w:val="11"/>
  </w:num>
  <w:num w:numId="8">
    <w:abstractNumId w:val="22"/>
  </w:num>
  <w:num w:numId="9">
    <w:abstractNumId w:val="3"/>
  </w:num>
  <w:num w:numId="10">
    <w:abstractNumId w:val="14"/>
  </w:num>
  <w:num w:numId="11">
    <w:abstractNumId w:val="20"/>
  </w:num>
  <w:num w:numId="12">
    <w:abstractNumId w:val="17"/>
  </w:num>
  <w:num w:numId="13">
    <w:abstractNumId w:val="12"/>
  </w:num>
  <w:num w:numId="14">
    <w:abstractNumId w:val="7"/>
  </w:num>
  <w:num w:numId="15">
    <w:abstractNumId w:val="27"/>
  </w:num>
  <w:num w:numId="16">
    <w:abstractNumId w:val="6"/>
  </w:num>
  <w:num w:numId="17">
    <w:abstractNumId w:val="4"/>
  </w:num>
  <w:num w:numId="18">
    <w:abstractNumId w:val="26"/>
  </w:num>
  <w:num w:numId="19">
    <w:abstractNumId w:val="8"/>
  </w:num>
  <w:num w:numId="20">
    <w:abstractNumId w:val="24"/>
  </w:num>
  <w:num w:numId="21">
    <w:abstractNumId w:val="0"/>
  </w:num>
  <w:num w:numId="22">
    <w:abstractNumId w:val="13"/>
  </w:num>
  <w:num w:numId="23">
    <w:abstractNumId w:val="21"/>
  </w:num>
  <w:num w:numId="24">
    <w:abstractNumId w:val="15"/>
  </w:num>
  <w:num w:numId="25">
    <w:abstractNumId w:val="18"/>
  </w:num>
  <w:num w:numId="26">
    <w:abstractNumId w:val="25"/>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283"/>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0B1"/>
    <w:rsid w:val="000042BE"/>
    <w:rsid w:val="00005505"/>
    <w:rsid w:val="000072B5"/>
    <w:rsid w:val="00031AD1"/>
    <w:rsid w:val="000369A8"/>
    <w:rsid w:val="000433C1"/>
    <w:rsid w:val="00091BCC"/>
    <w:rsid w:val="001200E4"/>
    <w:rsid w:val="001523FB"/>
    <w:rsid w:val="00155E59"/>
    <w:rsid w:val="00166E26"/>
    <w:rsid w:val="00183312"/>
    <w:rsid w:val="001A181B"/>
    <w:rsid w:val="001C7EB6"/>
    <w:rsid w:val="001C7FDD"/>
    <w:rsid w:val="001E08DE"/>
    <w:rsid w:val="001F5D00"/>
    <w:rsid w:val="00204AFD"/>
    <w:rsid w:val="00206471"/>
    <w:rsid w:val="00265E64"/>
    <w:rsid w:val="0027038C"/>
    <w:rsid w:val="002A2A1C"/>
    <w:rsid w:val="002B7FAC"/>
    <w:rsid w:val="002E20D2"/>
    <w:rsid w:val="00301285"/>
    <w:rsid w:val="0031553D"/>
    <w:rsid w:val="003179D9"/>
    <w:rsid w:val="00333646"/>
    <w:rsid w:val="00335A95"/>
    <w:rsid w:val="00341B24"/>
    <w:rsid w:val="00363BD1"/>
    <w:rsid w:val="00384A7C"/>
    <w:rsid w:val="00397D41"/>
    <w:rsid w:val="003A47AD"/>
    <w:rsid w:val="003A5EE9"/>
    <w:rsid w:val="003B41DA"/>
    <w:rsid w:val="003C6C5D"/>
    <w:rsid w:val="003D19D3"/>
    <w:rsid w:val="003E5E99"/>
    <w:rsid w:val="00406798"/>
    <w:rsid w:val="00422FB3"/>
    <w:rsid w:val="0046174D"/>
    <w:rsid w:val="0047270B"/>
    <w:rsid w:val="00481203"/>
    <w:rsid w:val="004C5EDB"/>
    <w:rsid w:val="005233F8"/>
    <w:rsid w:val="00525F5E"/>
    <w:rsid w:val="00543B03"/>
    <w:rsid w:val="00546198"/>
    <w:rsid w:val="00590A7E"/>
    <w:rsid w:val="005A4870"/>
    <w:rsid w:val="005B48A9"/>
    <w:rsid w:val="005C106D"/>
    <w:rsid w:val="005C5B5E"/>
    <w:rsid w:val="005D4362"/>
    <w:rsid w:val="00613562"/>
    <w:rsid w:val="00632944"/>
    <w:rsid w:val="006456D9"/>
    <w:rsid w:val="006C48BC"/>
    <w:rsid w:val="006D0C55"/>
    <w:rsid w:val="006E658F"/>
    <w:rsid w:val="006F330D"/>
    <w:rsid w:val="00713229"/>
    <w:rsid w:val="00715471"/>
    <w:rsid w:val="007171EE"/>
    <w:rsid w:val="00725A27"/>
    <w:rsid w:val="00734905"/>
    <w:rsid w:val="00784CCA"/>
    <w:rsid w:val="007968CB"/>
    <w:rsid w:val="007A22CB"/>
    <w:rsid w:val="007A4C34"/>
    <w:rsid w:val="007A5674"/>
    <w:rsid w:val="007C4F1F"/>
    <w:rsid w:val="007E29F2"/>
    <w:rsid w:val="007E5AF4"/>
    <w:rsid w:val="007F5EEA"/>
    <w:rsid w:val="00854839"/>
    <w:rsid w:val="008B0026"/>
    <w:rsid w:val="008C7399"/>
    <w:rsid w:val="008E1CE5"/>
    <w:rsid w:val="008E1FC5"/>
    <w:rsid w:val="008F2313"/>
    <w:rsid w:val="00921BD6"/>
    <w:rsid w:val="009542E7"/>
    <w:rsid w:val="0096578A"/>
    <w:rsid w:val="00970B85"/>
    <w:rsid w:val="00976678"/>
    <w:rsid w:val="009918DE"/>
    <w:rsid w:val="009A549E"/>
    <w:rsid w:val="009B0C66"/>
    <w:rsid w:val="009B6A30"/>
    <w:rsid w:val="009C26E6"/>
    <w:rsid w:val="00A07BD7"/>
    <w:rsid w:val="00A44066"/>
    <w:rsid w:val="00A51ABD"/>
    <w:rsid w:val="00A61AD5"/>
    <w:rsid w:val="00A71CA8"/>
    <w:rsid w:val="00A74409"/>
    <w:rsid w:val="00A852B4"/>
    <w:rsid w:val="00A94662"/>
    <w:rsid w:val="00AD1A72"/>
    <w:rsid w:val="00AD44AF"/>
    <w:rsid w:val="00AD74C0"/>
    <w:rsid w:val="00AF707B"/>
    <w:rsid w:val="00B350A2"/>
    <w:rsid w:val="00B410A4"/>
    <w:rsid w:val="00B557CE"/>
    <w:rsid w:val="00BA1F2C"/>
    <w:rsid w:val="00BB0614"/>
    <w:rsid w:val="00BC30A3"/>
    <w:rsid w:val="00BC3A19"/>
    <w:rsid w:val="00BC69CB"/>
    <w:rsid w:val="00BC7E09"/>
    <w:rsid w:val="00C61EFE"/>
    <w:rsid w:val="00CA5280"/>
    <w:rsid w:val="00CB77C0"/>
    <w:rsid w:val="00CC23B9"/>
    <w:rsid w:val="00CC4626"/>
    <w:rsid w:val="00CD3C6A"/>
    <w:rsid w:val="00CD660B"/>
    <w:rsid w:val="00CE6FBE"/>
    <w:rsid w:val="00D057B3"/>
    <w:rsid w:val="00D152FC"/>
    <w:rsid w:val="00D16610"/>
    <w:rsid w:val="00D174FC"/>
    <w:rsid w:val="00D232DC"/>
    <w:rsid w:val="00D26748"/>
    <w:rsid w:val="00D52FB3"/>
    <w:rsid w:val="00D55546"/>
    <w:rsid w:val="00D833AD"/>
    <w:rsid w:val="00D9554D"/>
    <w:rsid w:val="00DD2F07"/>
    <w:rsid w:val="00E410D7"/>
    <w:rsid w:val="00E50A10"/>
    <w:rsid w:val="00E725CD"/>
    <w:rsid w:val="00E83AE7"/>
    <w:rsid w:val="00E92CC2"/>
    <w:rsid w:val="00EC606F"/>
    <w:rsid w:val="00F00B5B"/>
    <w:rsid w:val="00F175DC"/>
    <w:rsid w:val="00F4248F"/>
    <w:rsid w:val="00F73B8C"/>
    <w:rsid w:val="00F9335F"/>
    <w:rsid w:val="00F93C64"/>
    <w:rsid w:val="00FA596C"/>
    <w:rsid w:val="00FC05FD"/>
    <w:rsid w:val="00FC429C"/>
    <w:rsid w:val="00FC54C3"/>
    <w:rsid w:val="00FE31FB"/>
    <w:rsid w:val="00FF2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9C"/>
    <w:pPr>
      <w:spacing w:after="200" w:line="276" w:lineRule="auto"/>
    </w:pPr>
    <w:rPr>
      <w:rFonts w:cs="Calibri"/>
      <w:lang w:val="en-GB" w:eastAsia="en-US"/>
    </w:rPr>
  </w:style>
  <w:style w:type="paragraph" w:styleId="Heading2">
    <w:name w:val="heading 2"/>
    <w:basedOn w:val="Normal"/>
    <w:next w:val="Normal"/>
    <w:link w:val="Heading2Char"/>
    <w:uiPriority w:val="99"/>
    <w:qFormat/>
    <w:rsid w:val="001E08DE"/>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E08DE"/>
    <w:rPr>
      <w:rFonts w:ascii="Cambria" w:hAnsi="Cambria" w:cs="Cambria"/>
      <w:b/>
      <w:bCs/>
      <w:color w:val="4F81BD"/>
      <w:sz w:val="26"/>
      <w:szCs w:val="26"/>
    </w:rPr>
  </w:style>
  <w:style w:type="paragraph" w:styleId="FootnoteText">
    <w:name w:val="footnote text"/>
    <w:aliases w:val="Footnote Text Char1,Footnote Text Char Char,Char"/>
    <w:basedOn w:val="Normal"/>
    <w:link w:val="FootnoteTextChar"/>
    <w:uiPriority w:val="99"/>
    <w:semiHidden/>
    <w:rsid w:val="00FF20B1"/>
    <w:pPr>
      <w:spacing w:after="0" w:line="240" w:lineRule="auto"/>
    </w:pPr>
    <w:rPr>
      <w:sz w:val="20"/>
      <w:szCs w:val="20"/>
    </w:rPr>
  </w:style>
  <w:style w:type="character" w:customStyle="1" w:styleId="FootnoteTextChar">
    <w:name w:val="Footnote Text Char"/>
    <w:aliases w:val="Footnote Text Char1 Char,Footnote Text Char Char Char,Char Char"/>
    <w:basedOn w:val="DefaultParagraphFont"/>
    <w:link w:val="FootnoteText"/>
    <w:uiPriority w:val="99"/>
    <w:rsid w:val="00FF20B1"/>
    <w:rPr>
      <w:sz w:val="20"/>
      <w:szCs w:val="20"/>
    </w:rPr>
  </w:style>
  <w:style w:type="character" w:styleId="FootnoteReference">
    <w:name w:val="footnote reference"/>
    <w:aliases w:val="BVI fnr,BVI fnr Car Car,BVI fnr Car,BVI fnr Car Car Car Car,BVI fnr Car Car Car Car Char,BVI fnr Car Car Car,BVI fnr Car Car Car Car Car"/>
    <w:basedOn w:val="DefaultParagraphFont"/>
    <w:link w:val="Char2"/>
    <w:uiPriority w:val="99"/>
    <w:semiHidden/>
    <w:rsid w:val="00FF20B1"/>
    <w:rPr>
      <w:vertAlign w:val="superscript"/>
    </w:rPr>
  </w:style>
  <w:style w:type="character" w:styleId="Hyperlink">
    <w:name w:val="Hyperlink"/>
    <w:basedOn w:val="DefaultParagraphFont"/>
    <w:uiPriority w:val="99"/>
    <w:rsid w:val="00A07BD7"/>
    <w:rPr>
      <w:color w:val="0000FF"/>
      <w:u w:val="single"/>
    </w:rPr>
  </w:style>
  <w:style w:type="character" w:styleId="FollowedHyperlink">
    <w:name w:val="FollowedHyperlink"/>
    <w:basedOn w:val="DefaultParagraphFont"/>
    <w:uiPriority w:val="99"/>
    <w:semiHidden/>
    <w:rsid w:val="00A07BD7"/>
    <w:rPr>
      <w:color w:val="800080"/>
      <w:u w:val="single"/>
    </w:rPr>
  </w:style>
  <w:style w:type="paragraph" w:styleId="ListParagraph">
    <w:name w:val="List Paragraph"/>
    <w:basedOn w:val="Normal"/>
    <w:uiPriority w:val="34"/>
    <w:qFormat/>
    <w:rsid w:val="00A07BD7"/>
    <w:pPr>
      <w:ind w:left="720"/>
      <w:contextualSpacing/>
    </w:pPr>
  </w:style>
  <w:style w:type="paragraph" w:styleId="Title">
    <w:name w:val="Title"/>
    <w:basedOn w:val="Normal"/>
    <w:next w:val="Normal"/>
    <w:link w:val="TitleChar"/>
    <w:uiPriority w:val="99"/>
    <w:qFormat/>
    <w:rsid w:val="001E08DE"/>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1E08DE"/>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1E08DE"/>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rsid w:val="001E08DE"/>
    <w:rPr>
      <w:rFonts w:ascii="Cambria" w:hAnsi="Cambria" w:cs="Cambria"/>
      <w:i/>
      <w:iCs/>
      <w:color w:val="4F81BD"/>
      <w:spacing w:val="15"/>
      <w:sz w:val="24"/>
      <w:szCs w:val="24"/>
    </w:rPr>
  </w:style>
  <w:style w:type="paragraph" w:styleId="BalloonText">
    <w:name w:val="Balloon Text"/>
    <w:basedOn w:val="Normal"/>
    <w:link w:val="BalloonTextChar"/>
    <w:uiPriority w:val="99"/>
    <w:semiHidden/>
    <w:rsid w:val="001E0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8DE"/>
    <w:rPr>
      <w:rFonts w:ascii="Tahoma" w:hAnsi="Tahoma" w:cs="Tahoma"/>
      <w:sz w:val="16"/>
      <w:szCs w:val="16"/>
    </w:rPr>
  </w:style>
  <w:style w:type="paragraph" w:styleId="Header">
    <w:name w:val="header"/>
    <w:basedOn w:val="Normal"/>
    <w:link w:val="HeaderChar"/>
    <w:uiPriority w:val="99"/>
    <w:rsid w:val="00036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9A8"/>
  </w:style>
  <w:style w:type="paragraph" w:styleId="Footer">
    <w:name w:val="footer"/>
    <w:basedOn w:val="Normal"/>
    <w:link w:val="FooterChar"/>
    <w:uiPriority w:val="99"/>
    <w:rsid w:val="001E0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8DE"/>
  </w:style>
  <w:style w:type="paragraph" w:customStyle="1" w:styleId="Char2">
    <w:name w:val="Char2"/>
    <w:basedOn w:val="Normal"/>
    <w:link w:val="FootnoteReference"/>
    <w:uiPriority w:val="99"/>
    <w:rsid w:val="008F2313"/>
    <w:pPr>
      <w:spacing w:after="160" w:line="240" w:lineRule="exact"/>
      <w:ind w:left="425"/>
      <w:jc w:val="both"/>
    </w:pPr>
    <w:rPr>
      <w:vertAlign w:val="superscript"/>
    </w:rPr>
  </w:style>
  <w:style w:type="table" w:styleId="TableGrid">
    <w:name w:val="Table Grid"/>
    <w:basedOn w:val="TableNormal"/>
    <w:uiPriority w:val="99"/>
    <w:rsid w:val="00E50A1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784CCA"/>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784CCA"/>
    <w:rPr>
      <w:rFonts w:asciiTheme="minorHAnsi" w:eastAsiaTheme="minorEastAsia" w:hAnsiTheme="minorHAnsi" w:cstheme="minorBidi"/>
      <w:i/>
      <w:iCs/>
      <w:color w:val="000000" w:themeColor="text1"/>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9C"/>
    <w:pPr>
      <w:spacing w:after="200" w:line="276" w:lineRule="auto"/>
    </w:pPr>
    <w:rPr>
      <w:rFonts w:cs="Calibri"/>
      <w:lang w:val="en-GB" w:eastAsia="en-US"/>
    </w:rPr>
  </w:style>
  <w:style w:type="paragraph" w:styleId="Heading2">
    <w:name w:val="heading 2"/>
    <w:basedOn w:val="Normal"/>
    <w:next w:val="Normal"/>
    <w:link w:val="Heading2Char"/>
    <w:uiPriority w:val="99"/>
    <w:qFormat/>
    <w:rsid w:val="001E08DE"/>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E08DE"/>
    <w:rPr>
      <w:rFonts w:ascii="Cambria" w:hAnsi="Cambria" w:cs="Cambria"/>
      <w:b/>
      <w:bCs/>
      <w:color w:val="4F81BD"/>
      <w:sz w:val="26"/>
      <w:szCs w:val="26"/>
    </w:rPr>
  </w:style>
  <w:style w:type="paragraph" w:styleId="FootnoteText">
    <w:name w:val="footnote text"/>
    <w:aliases w:val="Footnote Text Char1,Footnote Text Char Char,Char"/>
    <w:basedOn w:val="Normal"/>
    <w:link w:val="FootnoteTextChar"/>
    <w:uiPriority w:val="99"/>
    <w:semiHidden/>
    <w:rsid w:val="00FF20B1"/>
    <w:pPr>
      <w:spacing w:after="0" w:line="240" w:lineRule="auto"/>
    </w:pPr>
    <w:rPr>
      <w:sz w:val="20"/>
      <w:szCs w:val="20"/>
    </w:rPr>
  </w:style>
  <w:style w:type="character" w:customStyle="1" w:styleId="FootnoteTextChar">
    <w:name w:val="Footnote Text Char"/>
    <w:aliases w:val="Footnote Text Char1 Char,Footnote Text Char Char Char,Char Char"/>
    <w:basedOn w:val="DefaultParagraphFont"/>
    <w:link w:val="FootnoteText"/>
    <w:uiPriority w:val="99"/>
    <w:rsid w:val="00FF20B1"/>
    <w:rPr>
      <w:sz w:val="20"/>
      <w:szCs w:val="20"/>
    </w:rPr>
  </w:style>
  <w:style w:type="character" w:styleId="FootnoteReference">
    <w:name w:val="footnote reference"/>
    <w:aliases w:val="BVI fnr,BVI fnr Car Car,BVI fnr Car,BVI fnr Car Car Car Car,BVI fnr Car Car Car Car Char,BVI fnr Car Car Car,BVI fnr Car Car Car Car Car"/>
    <w:basedOn w:val="DefaultParagraphFont"/>
    <w:link w:val="Char2"/>
    <w:uiPriority w:val="99"/>
    <w:semiHidden/>
    <w:rsid w:val="00FF20B1"/>
    <w:rPr>
      <w:vertAlign w:val="superscript"/>
    </w:rPr>
  </w:style>
  <w:style w:type="character" w:styleId="Hyperlink">
    <w:name w:val="Hyperlink"/>
    <w:basedOn w:val="DefaultParagraphFont"/>
    <w:uiPriority w:val="99"/>
    <w:rsid w:val="00A07BD7"/>
    <w:rPr>
      <w:color w:val="0000FF"/>
      <w:u w:val="single"/>
    </w:rPr>
  </w:style>
  <w:style w:type="character" w:styleId="FollowedHyperlink">
    <w:name w:val="FollowedHyperlink"/>
    <w:basedOn w:val="DefaultParagraphFont"/>
    <w:uiPriority w:val="99"/>
    <w:semiHidden/>
    <w:rsid w:val="00A07BD7"/>
    <w:rPr>
      <w:color w:val="800080"/>
      <w:u w:val="single"/>
    </w:rPr>
  </w:style>
  <w:style w:type="paragraph" w:styleId="ListParagraph">
    <w:name w:val="List Paragraph"/>
    <w:basedOn w:val="Normal"/>
    <w:uiPriority w:val="34"/>
    <w:qFormat/>
    <w:rsid w:val="00A07BD7"/>
    <w:pPr>
      <w:ind w:left="720"/>
      <w:contextualSpacing/>
    </w:pPr>
  </w:style>
  <w:style w:type="paragraph" w:styleId="Title">
    <w:name w:val="Title"/>
    <w:basedOn w:val="Normal"/>
    <w:next w:val="Normal"/>
    <w:link w:val="TitleChar"/>
    <w:uiPriority w:val="99"/>
    <w:qFormat/>
    <w:rsid w:val="001E08DE"/>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1E08DE"/>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1E08DE"/>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rsid w:val="001E08DE"/>
    <w:rPr>
      <w:rFonts w:ascii="Cambria" w:hAnsi="Cambria" w:cs="Cambria"/>
      <w:i/>
      <w:iCs/>
      <w:color w:val="4F81BD"/>
      <w:spacing w:val="15"/>
      <w:sz w:val="24"/>
      <w:szCs w:val="24"/>
    </w:rPr>
  </w:style>
  <w:style w:type="paragraph" w:styleId="BalloonText">
    <w:name w:val="Balloon Text"/>
    <w:basedOn w:val="Normal"/>
    <w:link w:val="BalloonTextChar"/>
    <w:uiPriority w:val="99"/>
    <w:semiHidden/>
    <w:rsid w:val="001E0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8DE"/>
    <w:rPr>
      <w:rFonts w:ascii="Tahoma" w:hAnsi="Tahoma" w:cs="Tahoma"/>
      <w:sz w:val="16"/>
      <w:szCs w:val="16"/>
    </w:rPr>
  </w:style>
  <w:style w:type="paragraph" w:styleId="Header">
    <w:name w:val="header"/>
    <w:basedOn w:val="Normal"/>
    <w:link w:val="HeaderChar"/>
    <w:uiPriority w:val="99"/>
    <w:rsid w:val="00036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9A8"/>
  </w:style>
  <w:style w:type="paragraph" w:styleId="Footer">
    <w:name w:val="footer"/>
    <w:basedOn w:val="Normal"/>
    <w:link w:val="FooterChar"/>
    <w:uiPriority w:val="99"/>
    <w:rsid w:val="001E0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8DE"/>
  </w:style>
  <w:style w:type="paragraph" w:customStyle="1" w:styleId="Char2">
    <w:name w:val="Char2"/>
    <w:basedOn w:val="Normal"/>
    <w:link w:val="FootnoteReference"/>
    <w:uiPriority w:val="99"/>
    <w:rsid w:val="008F2313"/>
    <w:pPr>
      <w:spacing w:after="160" w:line="240" w:lineRule="exact"/>
      <w:ind w:left="425"/>
      <w:jc w:val="both"/>
    </w:pPr>
    <w:rPr>
      <w:vertAlign w:val="superscript"/>
    </w:rPr>
  </w:style>
  <w:style w:type="table" w:styleId="TableGrid">
    <w:name w:val="Table Grid"/>
    <w:basedOn w:val="TableNormal"/>
    <w:uiPriority w:val="99"/>
    <w:rsid w:val="00E50A1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784CCA"/>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784CCA"/>
    <w:rPr>
      <w:rFonts w:asciiTheme="minorHAnsi" w:eastAsiaTheme="minorEastAsia" w:hAnsiTheme="minorHAnsi" w:cstheme="minorBidi"/>
      <w:i/>
      <w:iCs/>
      <w:color w:val="000000" w:themeColor="text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ituc-csi.org/discussion-paper-improving-trade" TargetMode="External"/><Relationship Id="rId1" Type="http://schemas.openxmlformats.org/officeDocument/2006/relationships/hyperlink" Target="http://www.ituc-csi.org/the-future-of-the-trade-union,641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03352-9C8D-4D96-B740-7C474C8D5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1407</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TUDCN Mission, structures and workplan</vt:lpstr>
    </vt:vector>
  </TitlesOfParts>
  <Company>International Trade Union Confederation</Company>
  <LinksUpToDate>false</LinksUpToDate>
  <CharactersWithSpaces>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TUDCN Mission, structures and workplan</dc:title>
  <dc:creator>Jan Dereymaeker</dc:creator>
  <cp:lastModifiedBy>Marion Levillain</cp:lastModifiedBy>
  <cp:revision>3</cp:revision>
  <dcterms:created xsi:type="dcterms:W3CDTF">2013-11-13T11:52:00Z</dcterms:created>
  <dcterms:modified xsi:type="dcterms:W3CDTF">2013-11-14T09:24:00Z</dcterms:modified>
</cp:coreProperties>
</file>