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83" w:rsidRDefault="008E7283" w:rsidP="008E7283">
      <w:pPr>
        <w:rPr>
          <w:b/>
          <w:sz w:val="28"/>
          <w:szCs w:val="28"/>
        </w:rPr>
      </w:pPr>
      <w:bookmarkStart w:id="0" w:name="_GoBack"/>
      <w:r>
        <w:rPr>
          <w:b/>
          <w:sz w:val="28"/>
          <w:szCs w:val="28"/>
        </w:rPr>
        <w:t xml:space="preserve">The Private Sector and its role in Development - A trade union perspective </w:t>
      </w:r>
    </w:p>
    <w:bookmarkEnd w:id="0"/>
    <w:p w:rsidR="003A5984" w:rsidRDefault="003A5984" w:rsidP="008E7283">
      <w:r>
        <w:t>ITUC Discussion paper for consideration by the TUDCN</w:t>
      </w:r>
    </w:p>
    <w:p w:rsidR="008E7283" w:rsidRPr="003A5984" w:rsidRDefault="00D841BD" w:rsidP="008E7283">
      <w:r>
        <w:t>Brussels, t</w:t>
      </w:r>
      <w:r w:rsidR="003A5984" w:rsidRPr="003A5984">
        <w:t>his version 13</w:t>
      </w:r>
      <w:r w:rsidR="008E7283" w:rsidRPr="003A5984">
        <w:t xml:space="preserve"> March 2014</w:t>
      </w:r>
    </w:p>
    <w:p w:rsidR="008E7283" w:rsidRDefault="008E7283" w:rsidP="008E7283"/>
    <w:p w:rsidR="00EF7788" w:rsidRDefault="00EF7788">
      <w:pPr>
        <w:pStyle w:val="TableofContentsHeading"/>
        <w:ind w:left="708" w:hanging="708"/>
      </w:pPr>
      <w:bookmarkStart w:id="1" w:name="TOC"/>
      <w:r>
        <w:t>Table of contents</w:t>
      </w:r>
    </w:p>
    <w:p w:rsidR="00D841BD" w:rsidRDefault="00EF7788">
      <w:pPr>
        <w:pStyle w:val="TOC1"/>
        <w:rPr>
          <w:rFonts w:asciiTheme="minorHAnsi" w:eastAsiaTheme="minorEastAsia" w:hAnsiTheme="minorHAnsi"/>
          <w:caps w:val="0"/>
          <w:noProof/>
          <w:sz w:val="22"/>
          <w:lang w:eastAsia="en-GB"/>
        </w:rPr>
      </w:pPr>
      <w:r>
        <w:rPr>
          <w:b/>
          <w:noProof/>
        </w:rPr>
        <w:fldChar w:fldCharType="begin"/>
      </w:r>
      <w:r>
        <w:rPr>
          <w:b/>
          <w:noProof/>
        </w:rPr>
        <w:instrText xml:space="preserve"> TOC \o "1-2" \t "Summary Heading,1,Preface Heading,1,Conclusion Heading,1,Bibliography Heading,1,Appendix Heading,1,Annex Heading,1,Glossary Heading,1,Index Heading,1,Executive Summary Heading,1,Foreword Heading,1,Annexes Heading,1,Part Heading,1,Introduction Heading,1" \h</w:instrText>
      </w:r>
      <w:r>
        <w:rPr>
          <w:b/>
          <w:noProof/>
        </w:rPr>
        <w:fldChar w:fldCharType="separate"/>
      </w:r>
      <w:hyperlink w:anchor="_Toc382512087" w:history="1">
        <w:r w:rsidR="00D841BD" w:rsidRPr="00EE52E4">
          <w:rPr>
            <w:rStyle w:val="Hyperlink"/>
            <w:noProof/>
          </w:rPr>
          <w:t>Introduction</w:t>
        </w:r>
        <w:r w:rsidR="00D841BD">
          <w:rPr>
            <w:noProof/>
          </w:rPr>
          <w:tab/>
        </w:r>
        <w:r w:rsidR="00D841BD">
          <w:rPr>
            <w:noProof/>
          </w:rPr>
          <w:fldChar w:fldCharType="begin"/>
        </w:r>
        <w:r w:rsidR="00D841BD">
          <w:rPr>
            <w:noProof/>
          </w:rPr>
          <w:instrText xml:space="preserve"> PAGEREF _Toc382512087 \h </w:instrText>
        </w:r>
        <w:r w:rsidR="00D841BD">
          <w:rPr>
            <w:noProof/>
          </w:rPr>
        </w:r>
        <w:r w:rsidR="00D841BD">
          <w:rPr>
            <w:noProof/>
          </w:rPr>
          <w:fldChar w:fldCharType="separate"/>
        </w:r>
        <w:r w:rsidR="00D841BD">
          <w:rPr>
            <w:noProof/>
          </w:rPr>
          <w:t>2</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88" w:history="1">
        <w:r w:rsidR="00D841BD" w:rsidRPr="00EE52E4">
          <w:rPr>
            <w:rStyle w:val="Hyperlink"/>
            <w:noProof/>
          </w:rPr>
          <w:t>What is private sector for development?</w:t>
        </w:r>
        <w:r w:rsidR="00D841BD">
          <w:rPr>
            <w:noProof/>
          </w:rPr>
          <w:tab/>
        </w:r>
        <w:r w:rsidR="00D841BD">
          <w:rPr>
            <w:noProof/>
          </w:rPr>
          <w:fldChar w:fldCharType="begin"/>
        </w:r>
        <w:r w:rsidR="00D841BD">
          <w:rPr>
            <w:noProof/>
          </w:rPr>
          <w:instrText xml:space="preserve"> PAGEREF _Toc382512088 \h </w:instrText>
        </w:r>
        <w:r w:rsidR="00D841BD">
          <w:rPr>
            <w:noProof/>
          </w:rPr>
        </w:r>
        <w:r w:rsidR="00D841BD">
          <w:rPr>
            <w:noProof/>
          </w:rPr>
          <w:fldChar w:fldCharType="separate"/>
        </w:r>
        <w:r w:rsidR="00D841BD">
          <w:rPr>
            <w:noProof/>
          </w:rPr>
          <w:t>2</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89" w:history="1">
        <w:r w:rsidR="00D841BD" w:rsidRPr="00EE52E4">
          <w:rPr>
            <w:rStyle w:val="Hyperlink"/>
            <w:noProof/>
          </w:rPr>
          <w:t>A rising agenda</w:t>
        </w:r>
        <w:r w:rsidR="00D841BD">
          <w:rPr>
            <w:noProof/>
          </w:rPr>
          <w:tab/>
        </w:r>
        <w:r w:rsidR="00D841BD">
          <w:rPr>
            <w:noProof/>
          </w:rPr>
          <w:fldChar w:fldCharType="begin"/>
        </w:r>
        <w:r w:rsidR="00D841BD">
          <w:rPr>
            <w:noProof/>
          </w:rPr>
          <w:instrText xml:space="preserve"> PAGEREF _Toc382512089 \h </w:instrText>
        </w:r>
        <w:r w:rsidR="00D841BD">
          <w:rPr>
            <w:noProof/>
          </w:rPr>
        </w:r>
        <w:r w:rsidR="00D841BD">
          <w:rPr>
            <w:noProof/>
          </w:rPr>
          <w:fldChar w:fldCharType="separate"/>
        </w:r>
        <w:r w:rsidR="00D841BD">
          <w:rPr>
            <w:noProof/>
          </w:rPr>
          <w:t>3</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90" w:history="1">
        <w:r w:rsidR="00D841BD" w:rsidRPr="00EE52E4">
          <w:rPr>
            <w:rStyle w:val="Hyperlink"/>
            <w:noProof/>
          </w:rPr>
          <w:t>Putting a figure</w:t>
        </w:r>
        <w:r w:rsidR="00D841BD">
          <w:rPr>
            <w:noProof/>
          </w:rPr>
          <w:tab/>
        </w:r>
        <w:r w:rsidR="00D841BD">
          <w:rPr>
            <w:noProof/>
          </w:rPr>
          <w:fldChar w:fldCharType="begin"/>
        </w:r>
        <w:r w:rsidR="00D841BD">
          <w:rPr>
            <w:noProof/>
          </w:rPr>
          <w:instrText xml:space="preserve"> PAGEREF _Toc382512090 \h </w:instrText>
        </w:r>
        <w:r w:rsidR="00D841BD">
          <w:rPr>
            <w:noProof/>
          </w:rPr>
        </w:r>
        <w:r w:rsidR="00D841BD">
          <w:rPr>
            <w:noProof/>
          </w:rPr>
          <w:fldChar w:fldCharType="separate"/>
        </w:r>
        <w:r w:rsidR="00D841BD">
          <w:rPr>
            <w:noProof/>
          </w:rPr>
          <w:t>3</w:t>
        </w:r>
        <w:r w:rsidR="00D841BD">
          <w:rPr>
            <w:noProof/>
          </w:rPr>
          <w:fldChar w:fldCharType="end"/>
        </w:r>
      </w:hyperlink>
    </w:p>
    <w:p w:rsidR="00D841BD" w:rsidRDefault="00682361">
      <w:pPr>
        <w:pStyle w:val="TOC1"/>
        <w:rPr>
          <w:rFonts w:asciiTheme="minorHAnsi" w:eastAsiaTheme="minorEastAsia" w:hAnsiTheme="minorHAnsi"/>
          <w:caps w:val="0"/>
          <w:noProof/>
          <w:sz w:val="22"/>
          <w:lang w:eastAsia="en-GB"/>
        </w:rPr>
      </w:pPr>
      <w:hyperlink w:anchor="_Toc382512091" w:history="1">
        <w:r w:rsidR="00D841BD" w:rsidRPr="00EE52E4">
          <w:rPr>
            <w:rStyle w:val="Hyperlink"/>
            <w:noProof/>
          </w:rPr>
          <w:t>The Drivers</w:t>
        </w:r>
        <w:r w:rsidR="00D841BD">
          <w:rPr>
            <w:noProof/>
          </w:rPr>
          <w:tab/>
        </w:r>
        <w:r w:rsidR="00D841BD">
          <w:rPr>
            <w:noProof/>
          </w:rPr>
          <w:fldChar w:fldCharType="begin"/>
        </w:r>
        <w:r w:rsidR="00D841BD">
          <w:rPr>
            <w:noProof/>
          </w:rPr>
          <w:instrText xml:space="preserve"> PAGEREF _Toc382512091 \h </w:instrText>
        </w:r>
        <w:r w:rsidR="00D841BD">
          <w:rPr>
            <w:noProof/>
          </w:rPr>
        </w:r>
        <w:r w:rsidR="00D841BD">
          <w:rPr>
            <w:noProof/>
          </w:rPr>
          <w:fldChar w:fldCharType="separate"/>
        </w:r>
        <w:r w:rsidR="00D841BD">
          <w:rPr>
            <w:noProof/>
          </w:rPr>
          <w:t>5</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92" w:history="1">
        <w:r w:rsidR="00D841BD" w:rsidRPr="00EE52E4">
          <w:rPr>
            <w:rStyle w:val="Hyperlink"/>
            <w:noProof/>
          </w:rPr>
          <w:t>Business groups as “equal partners” of government</w:t>
        </w:r>
        <w:r w:rsidR="00D841BD">
          <w:rPr>
            <w:noProof/>
          </w:rPr>
          <w:tab/>
        </w:r>
        <w:r w:rsidR="00D841BD">
          <w:rPr>
            <w:noProof/>
          </w:rPr>
          <w:fldChar w:fldCharType="begin"/>
        </w:r>
        <w:r w:rsidR="00D841BD">
          <w:rPr>
            <w:noProof/>
          </w:rPr>
          <w:instrText xml:space="preserve"> PAGEREF _Toc382512092 \h </w:instrText>
        </w:r>
        <w:r w:rsidR="00D841BD">
          <w:rPr>
            <w:noProof/>
          </w:rPr>
        </w:r>
        <w:r w:rsidR="00D841BD">
          <w:rPr>
            <w:noProof/>
          </w:rPr>
          <w:fldChar w:fldCharType="separate"/>
        </w:r>
        <w:r w:rsidR="00D841BD">
          <w:rPr>
            <w:noProof/>
          </w:rPr>
          <w:t>5</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93" w:history="1">
        <w:r w:rsidR="00D841BD" w:rsidRPr="00EE52E4">
          <w:rPr>
            <w:rStyle w:val="Hyperlink"/>
            <w:noProof/>
          </w:rPr>
          <w:t>Leveraging and tied aid</w:t>
        </w:r>
        <w:r w:rsidR="00D841BD">
          <w:rPr>
            <w:noProof/>
          </w:rPr>
          <w:tab/>
        </w:r>
        <w:r w:rsidR="00D841BD">
          <w:rPr>
            <w:noProof/>
          </w:rPr>
          <w:fldChar w:fldCharType="begin"/>
        </w:r>
        <w:r w:rsidR="00D841BD">
          <w:rPr>
            <w:noProof/>
          </w:rPr>
          <w:instrText xml:space="preserve"> PAGEREF _Toc382512093 \h </w:instrText>
        </w:r>
        <w:r w:rsidR="00D841BD">
          <w:rPr>
            <w:noProof/>
          </w:rPr>
        </w:r>
        <w:r w:rsidR="00D841BD">
          <w:rPr>
            <w:noProof/>
          </w:rPr>
          <w:fldChar w:fldCharType="separate"/>
        </w:r>
        <w:r w:rsidR="00D841BD">
          <w:rPr>
            <w:noProof/>
          </w:rPr>
          <w:t>6</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94" w:history="1">
        <w:r w:rsidR="00D841BD" w:rsidRPr="00EE52E4">
          <w:rPr>
            <w:rStyle w:val="Hyperlink"/>
            <w:noProof/>
          </w:rPr>
          <w:t>Inclusive business</w:t>
        </w:r>
        <w:r w:rsidR="00D841BD">
          <w:rPr>
            <w:noProof/>
          </w:rPr>
          <w:tab/>
        </w:r>
        <w:r w:rsidR="00D841BD">
          <w:rPr>
            <w:noProof/>
          </w:rPr>
          <w:fldChar w:fldCharType="begin"/>
        </w:r>
        <w:r w:rsidR="00D841BD">
          <w:rPr>
            <w:noProof/>
          </w:rPr>
          <w:instrText xml:space="preserve"> PAGEREF _Toc382512094 \h </w:instrText>
        </w:r>
        <w:r w:rsidR="00D841BD">
          <w:rPr>
            <w:noProof/>
          </w:rPr>
        </w:r>
        <w:r w:rsidR="00D841BD">
          <w:rPr>
            <w:noProof/>
          </w:rPr>
          <w:fldChar w:fldCharType="separate"/>
        </w:r>
        <w:r w:rsidR="00D841BD">
          <w:rPr>
            <w:noProof/>
          </w:rPr>
          <w:t>7</w:t>
        </w:r>
        <w:r w:rsidR="00D841BD">
          <w:rPr>
            <w:noProof/>
          </w:rPr>
          <w:fldChar w:fldCharType="end"/>
        </w:r>
      </w:hyperlink>
    </w:p>
    <w:p w:rsidR="00D841BD" w:rsidRDefault="00682361">
      <w:pPr>
        <w:pStyle w:val="TOC1"/>
        <w:rPr>
          <w:rFonts w:asciiTheme="minorHAnsi" w:eastAsiaTheme="minorEastAsia" w:hAnsiTheme="minorHAnsi"/>
          <w:caps w:val="0"/>
          <w:noProof/>
          <w:sz w:val="22"/>
          <w:lang w:eastAsia="en-GB"/>
        </w:rPr>
      </w:pPr>
      <w:hyperlink w:anchor="_Toc382512095" w:history="1">
        <w:r w:rsidR="00D841BD" w:rsidRPr="00EE52E4">
          <w:rPr>
            <w:rStyle w:val="Hyperlink"/>
            <w:noProof/>
          </w:rPr>
          <w:fldChar w:fldCharType="begin"/>
        </w:r>
        <w:r w:rsidR="00D841BD" w:rsidRPr="00EE52E4">
          <w:rPr>
            <w:rStyle w:val="Hyperlink"/>
            <w:noProof/>
          </w:rPr>
          <w:instrText xml:space="preserve"> MACROBUTTON NUMBERING </w:instrText>
        </w:r>
        <w:r w:rsidR="00D841BD" w:rsidRPr="00EE52E4">
          <w:rPr>
            <w:rStyle w:val="Hyperlink"/>
            <w:noProof/>
          </w:rPr>
          <w:fldChar w:fldCharType="begin"/>
        </w:r>
        <w:r w:rsidR="00D841BD" w:rsidRPr="00EE52E4">
          <w:rPr>
            <w:rStyle w:val="Hyperlink"/>
            <w:noProof/>
          </w:rPr>
          <w:instrText xml:space="preserve"> SEQ  cpara \h \r 0</w:instrText>
        </w:r>
        <w:r w:rsidR="00D841BD" w:rsidRPr="00EE52E4">
          <w:rPr>
            <w:rStyle w:val="Hyperlink"/>
            <w:noProof/>
          </w:rPr>
          <w:fldChar w:fldCharType="end"/>
        </w:r>
        <w:r w:rsidR="00D841BD" w:rsidRPr="00EE52E4">
          <w:rPr>
            <w:rStyle w:val="Hyperlink"/>
            <w:noProof/>
          </w:rPr>
          <w:fldChar w:fldCharType="begin"/>
        </w:r>
        <w:r w:rsidR="00D841BD" w:rsidRPr="00EE52E4">
          <w:rPr>
            <w:rStyle w:val="Hyperlink"/>
            <w:noProof/>
          </w:rPr>
          <w:instrText xml:space="preserve"> SEQ  ccount \h</w:instrText>
        </w:r>
        <w:r w:rsidR="00D841BD" w:rsidRPr="00EE52E4">
          <w:rPr>
            <w:rStyle w:val="Hyperlink"/>
            <w:noProof/>
          </w:rPr>
          <w:fldChar w:fldCharType="end"/>
        </w:r>
        <w:r w:rsidR="00D841BD" w:rsidRPr="00EE52E4">
          <w:rPr>
            <w:rStyle w:val="Hyperlink"/>
            <w:noProof/>
          </w:rPr>
          <w:fldChar w:fldCharType="end"/>
        </w:r>
        <w:r w:rsidR="00D841BD" w:rsidRPr="00EE52E4">
          <w:rPr>
            <w:rStyle w:val="Hyperlink"/>
            <w:noProof/>
          </w:rPr>
          <w:t>Policy priorities</w:t>
        </w:r>
        <w:r w:rsidR="00D841BD">
          <w:rPr>
            <w:noProof/>
          </w:rPr>
          <w:tab/>
        </w:r>
        <w:r w:rsidR="00D841BD">
          <w:rPr>
            <w:noProof/>
          </w:rPr>
          <w:fldChar w:fldCharType="begin"/>
        </w:r>
        <w:r w:rsidR="00D841BD">
          <w:rPr>
            <w:noProof/>
          </w:rPr>
          <w:instrText xml:space="preserve"> PAGEREF _Toc382512095 \h </w:instrText>
        </w:r>
        <w:r w:rsidR="00D841BD">
          <w:rPr>
            <w:noProof/>
          </w:rPr>
        </w:r>
        <w:r w:rsidR="00D841BD">
          <w:rPr>
            <w:noProof/>
          </w:rPr>
          <w:fldChar w:fldCharType="separate"/>
        </w:r>
        <w:r w:rsidR="00D841BD">
          <w:rPr>
            <w:noProof/>
          </w:rPr>
          <w:t>7</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96" w:history="1">
        <w:r w:rsidR="00D841BD" w:rsidRPr="00EE52E4">
          <w:rPr>
            <w:rStyle w:val="Hyperlink"/>
            <w:noProof/>
          </w:rPr>
          <w:t>Asserting the developmental role of the state</w:t>
        </w:r>
        <w:r w:rsidR="00D841BD">
          <w:rPr>
            <w:noProof/>
          </w:rPr>
          <w:tab/>
        </w:r>
        <w:r w:rsidR="00D841BD">
          <w:rPr>
            <w:noProof/>
          </w:rPr>
          <w:fldChar w:fldCharType="begin"/>
        </w:r>
        <w:r w:rsidR="00D841BD">
          <w:rPr>
            <w:noProof/>
          </w:rPr>
          <w:instrText xml:space="preserve"> PAGEREF _Toc382512096 \h </w:instrText>
        </w:r>
        <w:r w:rsidR="00D841BD">
          <w:rPr>
            <w:noProof/>
          </w:rPr>
        </w:r>
        <w:r w:rsidR="00D841BD">
          <w:rPr>
            <w:noProof/>
          </w:rPr>
          <w:fldChar w:fldCharType="separate"/>
        </w:r>
        <w:r w:rsidR="00D841BD">
          <w:rPr>
            <w:noProof/>
          </w:rPr>
          <w:t>8</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97" w:history="1">
        <w:r w:rsidR="00D841BD" w:rsidRPr="00EE52E4">
          <w:rPr>
            <w:rStyle w:val="Hyperlink"/>
            <w:noProof/>
          </w:rPr>
          <w:t>Upholding a rights-based approach to development through rule of law &amp; social dialogue</w:t>
        </w:r>
        <w:r w:rsidR="00D841BD">
          <w:rPr>
            <w:noProof/>
          </w:rPr>
          <w:tab/>
        </w:r>
        <w:r w:rsidR="00D841BD">
          <w:rPr>
            <w:noProof/>
          </w:rPr>
          <w:fldChar w:fldCharType="begin"/>
        </w:r>
        <w:r w:rsidR="00D841BD">
          <w:rPr>
            <w:noProof/>
          </w:rPr>
          <w:instrText xml:space="preserve"> PAGEREF _Toc382512097 \h </w:instrText>
        </w:r>
        <w:r w:rsidR="00D841BD">
          <w:rPr>
            <w:noProof/>
          </w:rPr>
        </w:r>
        <w:r w:rsidR="00D841BD">
          <w:rPr>
            <w:noProof/>
          </w:rPr>
          <w:fldChar w:fldCharType="separate"/>
        </w:r>
        <w:r w:rsidR="00D841BD">
          <w:rPr>
            <w:noProof/>
          </w:rPr>
          <w:t>8</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98" w:history="1">
        <w:r w:rsidR="00D841BD" w:rsidRPr="00EE52E4">
          <w:rPr>
            <w:rStyle w:val="Hyperlink"/>
            <w:noProof/>
          </w:rPr>
          <w:t>Holding multinational businesses to account</w:t>
        </w:r>
        <w:r w:rsidR="00D841BD">
          <w:rPr>
            <w:noProof/>
          </w:rPr>
          <w:tab/>
        </w:r>
        <w:r w:rsidR="00D841BD">
          <w:rPr>
            <w:noProof/>
          </w:rPr>
          <w:fldChar w:fldCharType="begin"/>
        </w:r>
        <w:r w:rsidR="00D841BD">
          <w:rPr>
            <w:noProof/>
          </w:rPr>
          <w:instrText xml:space="preserve"> PAGEREF _Toc382512098 \h </w:instrText>
        </w:r>
        <w:r w:rsidR="00D841BD">
          <w:rPr>
            <w:noProof/>
          </w:rPr>
        </w:r>
        <w:r w:rsidR="00D841BD">
          <w:rPr>
            <w:noProof/>
          </w:rPr>
          <w:fldChar w:fldCharType="separate"/>
        </w:r>
        <w:r w:rsidR="00D841BD">
          <w:rPr>
            <w:noProof/>
          </w:rPr>
          <w:t>9</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099" w:history="1">
        <w:r w:rsidR="00D841BD" w:rsidRPr="00EE52E4">
          <w:rPr>
            <w:rStyle w:val="Hyperlink"/>
            <w:noProof/>
          </w:rPr>
          <w:t>Setting standards for aid effectiveness, measuring impacts and results</w:t>
        </w:r>
        <w:r w:rsidR="00D841BD">
          <w:rPr>
            <w:noProof/>
          </w:rPr>
          <w:tab/>
        </w:r>
        <w:r w:rsidR="00D841BD">
          <w:rPr>
            <w:noProof/>
          </w:rPr>
          <w:fldChar w:fldCharType="begin"/>
        </w:r>
        <w:r w:rsidR="00D841BD">
          <w:rPr>
            <w:noProof/>
          </w:rPr>
          <w:instrText xml:space="preserve"> PAGEREF _Toc382512099 \h </w:instrText>
        </w:r>
        <w:r w:rsidR="00D841BD">
          <w:rPr>
            <w:noProof/>
          </w:rPr>
        </w:r>
        <w:r w:rsidR="00D841BD">
          <w:rPr>
            <w:noProof/>
          </w:rPr>
          <w:fldChar w:fldCharType="separate"/>
        </w:r>
        <w:r w:rsidR="00D841BD">
          <w:rPr>
            <w:noProof/>
          </w:rPr>
          <w:t>9</w:t>
        </w:r>
        <w:r w:rsidR="00D841BD">
          <w:rPr>
            <w:noProof/>
          </w:rPr>
          <w:fldChar w:fldCharType="end"/>
        </w:r>
      </w:hyperlink>
    </w:p>
    <w:p w:rsidR="00D841BD" w:rsidRDefault="00682361">
      <w:pPr>
        <w:pStyle w:val="TOC2"/>
        <w:rPr>
          <w:rFonts w:asciiTheme="minorHAnsi" w:eastAsiaTheme="minorEastAsia" w:hAnsiTheme="minorHAnsi"/>
          <w:noProof/>
          <w:sz w:val="22"/>
          <w:lang w:eastAsia="en-GB"/>
        </w:rPr>
      </w:pPr>
      <w:hyperlink w:anchor="_Toc382512100" w:history="1">
        <w:r w:rsidR="00D841BD" w:rsidRPr="00EE52E4">
          <w:rPr>
            <w:rStyle w:val="Hyperlink"/>
            <w:noProof/>
          </w:rPr>
          <w:t>Supporting SMEs and entrepreneurship, tackling informality</w:t>
        </w:r>
        <w:r w:rsidR="00D841BD">
          <w:rPr>
            <w:noProof/>
          </w:rPr>
          <w:tab/>
        </w:r>
        <w:r w:rsidR="00D841BD">
          <w:rPr>
            <w:noProof/>
          </w:rPr>
          <w:fldChar w:fldCharType="begin"/>
        </w:r>
        <w:r w:rsidR="00D841BD">
          <w:rPr>
            <w:noProof/>
          </w:rPr>
          <w:instrText xml:space="preserve"> PAGEREF _Toc382512100 \h </w:instrText>
        </w:r>
        <w:r w:rsidR="00D841BD">
          <w:rPr>
            <w:noProof/>
          </w:rPr>
        </w:r>
        <w:r w:rsidR="00D841BD">
          <w:rPr>
            <w:noProof/>
          </w:rPr>
          <w:fldChar w:fldCharType="separate"/>
        </w:r>
        <w:r w:rsidR="00D841BD">
          <w:rPr>
            <w:noProof/>
          </w:rPr>
          <w:t>10</w:t>
        </w:r>
        <w:r w:rsidR="00D841BD">
          <w:rPr>
            <w:noProof/>
          </w:rPr>
          <w:fldChar w:fldCharType="end"/>
        </w:r>
      </w:hyperlink>
    </w:p>
    <w:p w:rsidR="00D841BD" w:rsidRDefault="00682361">
      <w:pPr>
        <w:pStyle w:val="TOC1"/>
        <w:rPr>
          <w:rFonts w:asciiTheme="minorHAnsi" w:eastAsiaTheme="minorEastAsia" w:hAnsiTheme="minorHAnsi"/>
          <w:caps w:val="0"/>
          <w:noProof/>
          <w:sz w:val="22"/>
          <w:lang w:eastAsia="en-GB"/>
        </w:rPr>
      </w:pPr>
      <w:hyperlink w:anchor="_Toc382512101" w:history="1">
        <w:r w:rsidR="00D841BD" w:rsidRPr="00EE52E4">
          <w:rPr>
            <w:rStyle w:val="Hyperlink"/>
            <w:noProof/>
          </w:rPr>
          <w:t>Wrap-up</w:t>
        </w:r>
        <w:r w:rsidR="00D841BD">
          <w:rPr>
            <w:noProof/>
          </w:rPr>
          <w:tab/>
        </w:r>
        <w:r w:rsidR="00D841BD">
          <w:rPr>
            <w:noProof/>
          </w:rPr>
          <w:fldChar w:fldCharType="begin"/>
        </w:r>
        <w:r w:rsidR="00D841BD">
          <w:rPr>
            <w:noProof/>
          </w:rPr>
          <w:instrText xml:space="preserve"> PAGEREF _Toc382512101 \h </w:instrText>
        </w:r>
        <w:r w:rsidR="00D841BD">
          <w:rPr>
            <w:noProof/>
          </w:rPr>
        </w:r>
        <w:r w:rsidR="00D841BD">
          <w:rPr>
            <w:noProof/>
          </w:rPr>
          <w:fldChar w:fldCharType="separate"/>
        </w:r>
        <w:r w:rsidR="00D841BD">
          <w:rPr>
            <w:noProof/>
          </w:rPr>
          <w:t>10</w:t>
        </w:r>
        <w:r w:rsidR="00D841BD">
          <w:rPr>
            <w:noProof/>
          </w:rPr>
          <w:fldChar w:fldCharType="end"/>
        </w:r>
      </w:hyperlink>
    </w:p>
    <w:p w:rsidR="00EF7788" w:rsidRDefault="00EF7788">
      <w:pPr>
        <w:rPr>
          <w:b/>
          <w:noProof/>
        </w:rPr>
      </w:pPr>
      <w:r>
        <w:rPr>
          <w:b/>
          <w:noProof/>
        </w:rPr>
        <w:fldChar w:fldCharType="end"/>
      </w:r>
      <w:r>
        <w:rPr>
          <w:b/>
          <w:noProof/>
        </w:rPr>
        <w:fldChar w:fldCharType="begin"/>
      </w:r>
      <w:r>
        <w:rPr>
          <w:b/>
          <w:noProof/>
        </w:rPr>
        <w:instrText xml:space="preserve"> SEQ ccount \h \r0 </w:instrText>
      </w:r>
      <w:r>
        <w:rPr>
          <w:b/>
          <w:noProof/>
        </w:rPr>
        <w:fldChar w:fldCharType="end"/>
      </w:r>
    </w:p>
    <w:p w:rsidR="00EF7788" w:rsidRDefault="00EF7788">
      <w:pPr>
        <w:rPr>
          <w:b/>
          <w:noProof/>
        </w:rPr>
      </w:pPr>
    </w:p>
    <w:p w:rsidR="00EF7788" w:rsidRDefault="00EF7788">
      <w:r>
        <w:br w:type="page"/>
      </w:r>
    </w:p>
    <w:bookmarkEnd w:id="1"/>
    <w:p w:rsidR="00FE5B73" w:rsidRDefault="00FE5B73"/>
    <w:p w:rsidR="00FE5B73" w:rsidRPr="00FE5B73" w:rsidRDefault="00FE5B73" w:rsidP="008E7283"/>
    <w:p w:rsidR="008E7283" w:rsidRDefault="008E7283" w:rsidP="008E7283">
      <w:pPr>
        <w:pStyle w:val="Heading1"/>
      </w:pPr>
      <w:bookmarkStart w:id="2" w:name="_Toc378166812"/>
      <w:bookmarkStart w:id="3" w:name="_Toc381823846"/>
      <w:bookmarkStart w:id="4" w:name="_Toc382332816"/>
      <w:bookmarkStart w:id="5" w:name="_Toc382512087"/>
      <w:r>
        <w:t>Introduction</w:t>
      </w:r>
      <w:bookmarkEnd w:id="2"/>
      <w:bookmarkEnd w:id="3"/>
      <w:bookmarkEnd w:id="4"/>
      <w:bookmarkEnd w:id="5"/>
    </w:p>
    <w:p w:rsidR="008E7283" w:rsidRDefault="003B570D"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w:instrText>
      </w:r>
      <w:r>
        <w:fldChar w:fldCharType="end"/>
      </w:r>
      <w:r>
        <w:instrText>.</w:instrText>
      </w:r>
      <w:r>
        <w:tab/>
      </w:r>
      <w:r>
        <w:fldChar w:fldCharType="end"/>
      </w:r>
      <w:r w:rsidR="008E7283">
        <w:t xml:space="preserve">A growing choir of voices within multilateral institutions and donor aid agencies is championing the role of the private sector in development at a time, very probably not coincidental, when Official Development Assistant (ODA) budgets are declining, the 2015 Millennium Development Goals deadline is quickly approaching and the post-2015 development cooperation agenda is taking shape. While there is no established method to measure the volume of development focused private sector initiatives it is clear that ODA targeted at the private sector for development is steadily increasing. </w:t>
      </w:r>
    </w:p>
    <w:p w:rsidR="003B570D" w:rsidRDefault="003B570D"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w:instrText>
      </w:r>
      <w:r>
        <w:fldChar w:fldCharType="end"/>
      </w:r>
      <w:r>
        <w:instrText>.</w:instrText>
      </w:r>
      <w:r>
        <w:tab/>
      </w:r>
      <w:r>
        <w:fldChar w:fldCharType="end"/>
      </w:r>
      <w:r>
        <w:t>In what follows, we will attempt to provide for a stable and comprehensive definition of private sector for development (which is not necessarily an easy exercise), identify what are the relevant forums and initiatives at the international level and finally help assess the scale and volume of financing compared with “traditional” ODA.</w:t>
      </w:r>
    </w:p>
    <w:p w:rsidR="003B570D" w:rsidRPr="003B570D" w:rsidRDefault="003B570D" w:rsidP="008E7283">
      <w:pPr>
        <w:pStyle w:val="Num-DocParagraph"/>
      </w:pPr>
    </w:p>
    <w:p w:rsidR="008E7283" w:rsidRDefault="008E7283" w:rsidP="008E7283">
      <w:pPr>
        <w:pStyle w:val="Heading2"/>
      </w:pPr>
      <w:bookmarkStart w:id="6" w:name="_Toc378166813"/>
      <w:bookmarkStart w:id="7" w:name="_Toc378149365"/>
      <w:bookmarkStart w:id="8" w:name="_Toc381823847"/>
      <w:bookmarkStart w:id="9" w:name="_Toc382332817"/>
      <w:bookmarkStart w:id="10" w:name="_Toc382512088"/>
      <w:r>
        <w:t>What is private sector for development?</w:t>
      </w:r>
      <w:bookmarkEnd w:id="6"/>
      <w:bookmarkEnd w:id="7"/>
      <w:bookmarkEnd w:id="8"/>
      <w:bookmarkEnd w:id="9"/>
      <w:bookmarkEnd w:id="10"/>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3</w:instrText>
      </w:r>
      <w:r>
        <w:fldChar w:fldCharType="end"/>
      </w:r>
      <w:r>
        <w:instrText>.</w:instrText>
      </w:r>
      <w:r>
        <w:tab/>
      </w:r>
      <w:r>
        <w:fldChar w:fldCharType="end"/>
      </w:r>
      <w:r>
        <w:t xml:space="preserve">Private sector for development is about the various forms of contractual engagement between a public party on the one hand – be it a public donor, another type of aid-related public institution, or a public administration – and a private party on the other – a private sector company and/or an investor – for the purpose of achieving </w:t>
      </w:r>
      <w:r w:rsidR="003B570D">
        <w:t>a</w:t>
      </w:r>
      <w:r>
        <w:t xml:space="preserve"> </w:t>
      </w:r>
      <w:r w:rsidR="003B570D">
        <w:t xml:space="preserve">given </w:t>
      </w:r>
      <w:r>
        <w:t>development</w:t>
      </w:r>
      <w:r w:rsidR="003B570D">
        <w:t>-related</w:t>
      </w:r>
      <w:r>
        <w:t xml:space="preserve"> objective</w:t>
      </w:r>
      <w:r w:rsidR="003B570D">
        <w:t>. Private sector for devel</w:t>
      </w:r>
      <w:r>
        <w:t xml:space="preserve">opment </w:t>
      </w:r>
      <w:r w:rsidR="003B570D">
        <w:t>can aim for a variety of objective</w:t>
      </w:r>
      <w:r w:rsidR="00016F8E">
        <w:t xml:space="preserve">s including, and unsurprisingly, supporting local markets and the </w:t>
      </w:r>
      <w:r>
        <w:t>domestic private sector</w:t>
      </w:r>
      <w:r w:rsidR="00016F8E">
        <w:t xml:space="preserve">, but also, and increasingly, </w:t>
      </w:r>
      <w:r>
        <w:t xml:space="preserve">financing </w:t>
      </w:r>
      <w:r w:rsidR="00016F8E">
        <w:t xml:space="preserve">and operating </w:t>
      </w:r>
      <w:r>
        <w:t>infrastructure a</w:t>
      </w:r>
      <w:r w:rsidR="00016F8E">
        <w:t xml:space="preserve">s well as </w:t>
      </w:r>
      <w:r>
        <w:t>community and public services.</w:t>
      </w:r>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4</w:instrText>
      </w:r>
      <w:r>
        <w:fldChar w:fldCharType="end"/>
      </w:r>
      <w:r>
        <w:instrText>.</w:instrText>
      </w:r>
      <w:r>
        <w:tab/>
      </w:r>
      <w:r>
        <w:fldChar w:fldCharType="end"/>
      </w:r>
      <w:r>
        <w:t>When that happens, the private sector company can act as:</w:t>
      </w:r>
    </w:p>
    <w:p w:rsidR="008E7283" w:rsidRDefault="008E7283" w:rsidP="006C1426">
      <w:pPr>
        <w:pStyle w:val="ListBullet"/>
        <w:spacing w:after="0"/>
      </w:pPr>
      <w:r>
        <w:t>a direct recipient of public aid, including ODA, for their investments and activities (subsidies and loans);</w:t>
      </w:r>
    </w:p>
    <w:p w:rsidR="008E7283" w:rsidRDefault="008E7283" w:rsidP="006C1426">
      <w:pPr>
        <w:pStyle w:val="ListBullet"/>
        <w:spacing w:after="0"/>
      </w:pPr>
      <w:r>
        <w:t>a contractor in implementing aid projects (through traditional public procurement procedures);</w:t>
      </w:r>
    </w:p>
    <w:p w:rsidR="008E7283" w:rsidRDefault="008E7283" w:rsidP="006C1426">
      <w:pPr>
        <w:pStyle w:val="ListBullet"/>
        <w:spacing w:after="0"/>
      </w:pPr>
      <w:r>
        <w:t>a commercial and/or financial partner within an established public-private partnerships or through blending commercial loans with aid grants;</w:t>
      </w:r>
    </w:p>
    <w:p w:rsidR="008E7283" w:rsidRDefault="008E7283" w:rsidP="006C1426">
      <w:pPr>
        <w:pStyle w:val="ListBullet"/>
        <w:spacing w:after="0"/>
      </w:pPr>
      <w:r>
        <w:t>a provider of aid-equivalent development resources (private philanthropic foundations and corporate donations); and/or</w:t>
      </w:r>
    </w:p>
    <w:p w:rsidR="008E7283" w:rsidRDefault="008E7283" w:rsidP="006C1426">
      <w:pPr>
        <w:pStyle w:val="ListBullet"/>
        <w:spacing w:after="0"/>
      </w:pPr>
      <w:r>
        <w:t>a facilitator in networking and policy making processes through business forums and networks.</w:t>
      </w:r>
    </w:p>
    <w:p w:rsidR="006C1426" w:rsidRPr="006C1426" w:rsidRDefault="006C1426" w:rsidP="006C1426">
      <w:pPr>
        <w:pStyle w:val="ListBullet"/>
        <w:numPr>
          <w:ilvl w:val="0"/>
          <w:numId w:val="0"/>
        </w:numPr>
        <w:spacing w:after="0"/>
      </w:pPr>
    </w:p>
    <w:p w:rsidR="008E7283" w:rsidRDefault="008E7283" w:rsidP="008E7283">
      <w:pPr>
        <w:pStyle w:val="Heading2"/>
      </w:pPr>
      <w:bookmarkStart w:id="11" w:name="_Toc378166814"/>
      <w:bookmarkStart w:id="12" w:name="_Toc381823848"/>
      <w:bookmarkStart w:id="13" w:name="_Toc382332818"/>
      <w:bookmarkStart w:id="14" w:name="_Toc382512089"/>
      <w:r>
        <w:lastRenderedPageBreak/>
        <w:t>A rising agenda</w:t>
      </w:r>
      <w:bookmarkEnd w:id="11"/>
      <w:bookmarkEnd w:id="12"/>
      <w:bookmarkEnd w:id="13"/>
      <w:bookmarkEnd w:id="14"/>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5</w:instrText>
      </w:r>
      <w:r>
        <w:fldChar w:fldCharType="end"/>
      </w:r>
      <w:r>
        <w:instrText>.</w:instrText>
      </w:r>
      <w:r>
        <w:tab/>
      </w:r>
      <w:r>
        <w:fldChar w:fldCharType="end"/>
      </w:r>
      <w:r>
        <w:t>Several international and regional forums deal with the private sector for development as a stand-alone policy area, with the Global Partnership for Effective Development Cooperation, the International Financial Institutions, regional development banks, the OECD and to some extent the G20 Process acting as the strongest champions. Likewise, at this stage in the discussions on a Post 2015 sustainable development agenda the role of the private sector is being emphasized, perhaps more so than anything else, as an essential component of a future framework.</w:t>
      </w:r>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6</w:instrText>
      </w:r>
      <w:r>
        <w:fldChar w:fldCharType="end"/>
      </w:r>
      <w:r>
        <w:instrText>.</w:instrText>
      </w:r>
      <w:r>
        <w:tab/>
      </w:r>
      <w:r>
        <w:fldChar w:fldCharType="end"/>
      </w:r>
      <w:r w:rsidR="00016F8E">
        <w:t xml:space="preserve">These forums are different in nature and geographic scope and do not necessarily overlap with each other. There are nevertheless common features between in the design and objectives of private sector for development. </w:t>
      </w:r>
      <w:r>
        <w:t>They have in common:</w:t>
      </w:r>
    </w:p>
    <w:p w:rsidR="008E7283" w:rsidRDefault="008E7283" w:rsidP="006C1426">
      <w:pPr>
        <w:pStyle w:val="ListBullet"/>
        <w:spacing w:after="0"/>
      </w:pPr>
      <w:r>
        <w:t xml:space="preserve">the active and </w:t>
      </w:r>
      <w:r w:rsidR="000D45B5">
        <w:t xml:space="preserve">perhaps </w:t>
      </w:r>
      <w:r>
        <w:t>uncritical support and promotion of Public Private Partnerships</w:t>
      </w:r>
      <w:r w:rsidR="000D45B5">
        <w:t xml:space="preserve"> (PPP) financing schemes</w:t>
      </w:r>
      <w:r>
        <w:t xml:space="preserve"> – as opposed to public procurement and to public services;</w:t>
      </w:r>
    </w:p>
    <w:p w:rsidR="008E7283" w:rsidRDefault="008E7283" w:rsidP="006C1426">
      <w:pPr>
        <w:pStyle w:val="ListBullet"/>
        <w:spacing w:after="0"/>
      </w:pPr>
      <w:r>
        <w:t>a recognition of business groups as a key if not “an equal” partner in policy advocacy;</w:t>
      </w:r>
    </w:p>
    <w:p w:rsidR="008E7283" w:rsidRDefault="008E7283" w:rsidP="006C1426">
      <w:pPr>
        <w:pStyle w:val="ListBullet"/>
        <w:spacing w:after="0"/>
      </w:pPr>
      <w:r>
        <w:t>a need to change the “business model” of the development cooperation and development banks so that they behave as private sector investment bankers;</w:t>
      </w:r>
    </w:p>
    <w:p w:rsidR="008E7283" w:rsidRDefault="008E7283" w:rsidP="006C1426">
      <w:pPr>
        <w:pStyle w:val="ListBullet"/>
        <w:spacing w:after="0"/>
      </w:pPr>
      <w:r>
        <w:t>improving the “business climate” as a central priority while at the same time none, or very little acceptance for the effective compliance of other stakeholders’ rights, such as those laid out in the ILO core labour standards.</w:t>
      </w:r>
    </w:p>
    <w:p w:rsidR="006C1426" w:rsidRDefault="006C1426" w:rsidP="00016F8E">
      <w:pPr>
        <w:pStyle w:val="Num-DocParagraph"/>
      </w:pPr>
    </w:p>
    <w:p w:rsidR="00016F8E" w:rsidRPr="006C1426" w:rsidRDefault="006C1426" w:rsidP="00016F8E">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7</w:instrText>
      </w:r>
      <w:r>
        <w:fldChar w:fldCharType="end"/>
      </w:r>
      <w:r>
        <w:instrText>.</w:instrText>
      </w:r>
      <w:r>
        <w:tab/>
      </w:r>
      <w:r>
        <w:fldChar w:fldCharType="end"/>
      </w:r>
      <w:r w:rsidR="00016F8E" w:rsidRPr="006C1426">
        <w:t>T</w:t>
      </w:r>
      <w:r w:rsidR="002E6F7E" w:rsidRPr="006C1426">
        <w:t>he Global Partnership for Ef</w:t>
      </w:r>
      <w:r w:rsidR="00016F8E" w:rsidRPr="006C1426">
        <w:t>fective Development Cooperation is holding its first “High Level Meeting” in Mexico in April 2014 to help draw lessons three years into the implementation of the 2011 High Level Forum on Aid Effectiveness in Busan, South Korea. At the time the development community committed to four “shared principles”: (i) ownership of development priorities by developing countries, (ii) effectiveness focused on results, (iii) implementation through “inclusive partnerships” and finally, (iv) accountability through greater transparency to beneficiaries and to citizens at large (noting with relevance the caveat that transparency</w:t>
      </w:r>
      <w:r w:rsidR="00947044" w:rsidRPr="006C1426">
        <w:t xml:space="preserve"> of private sector involvement </w:t>
      </w:r>
      <w:r w:rsidR="00016F8E" w:rsidRPr="006C1426">
        <w:t>be “subject to legitimate concerns about commercially sensitive information”).</w:t>
      </w:r>
    </w:p>
    <w:p w:rsidR="002E6F7E" w:rsidRDefault="006C1426" w:rsidP="000D45B5">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8</w:instrText>
      </w:r>
      <w:r>
        <w:fldChar w:fldCharType="end"/>
      </w:r>
      <w:r>
        <w:instrText>.</w:instrText>
      </w:r>
      <w:r>
        <w:tab/>
      </w:r>
      <w:r>
        <w:fldChar w:fldCharType="end"/>
      </w:r>
      <w:r w:rsidR="00016F8E" w:rsidRPr="00016F8E">
        <w:t xml:space="preserve">The </w:t>
      </w:r>
      <w:r w:rsidR="00947044">
        <w:t xml:space="preserve">outcome of the </w:t>
      </w:r>
      <w:r w:rsidR="00016F8E" w:rsidRPr="00016F8E">
        <w:t xml:space="preserve">Mexico meeting </w:t>
      </w:r>
      <w:r w:rsidR="00947044">
        <w:t xml:space="preserve">might be instructive </w:t>
      </w:r>
      <w:r w:rsidR="000D45B5">
        <w:t>on the extent to which the above features are supported and articulated. Based on a draft proposal of final communiqué, the Mexico meeting could well highlight “b</w:t>
      </w:r>
      <w:r w:rsidR="002E6F7E">
        <w:t xml:space="preserve">usiness as a </w:t>
      </w:r>
      <w:r w:rsidR="000D45B5">
        <w:t>p</w:t>
      </w:r>
      <w:r w:rsidR="002E6F7E">
        <w:t xml:space="preserve">artner in </w:t>
      </w:r>
      <w:r w:rsidR="000D45B5">
        <w:t>d</w:t>
      </w:r>
      <w:r w:rsidR="002E6F7E">
        <w:t>evelopment</w:t>
      </w:r>
      <w:r w:rsidR="000D45B5">
        <w:t>” and beyond that the “</w:t>
      </w:r>
      <w:r w:rsidR="002E6F7E">
        <w:t>critical importance of promoting an enabling business environment</w:t>
      </w:r>
      <w:r w:rsidR="000D45B5">
        <w:t>”</w:t>
      </w:r>
      <w:r w:rsidR="002E6F7E">
        <w:t>,</w:t>
      </w:r>
      <w:r w:rsidR="000D45B5">
        <w:t xml:space="preserve"> the need to facilitate and promote</w:t>
      </w:r>
      <w:r w:rsidR="002E6F7E">
        <w:t xml:space="preserve"> </w:t>
      </w:r>
      <w:r w:rsidR="000D45B5">
        <w:t>“</w:t>
      </w:r>
      <w:r w:rsidR="002E6F7E">
        <w:t>platforms and hubs</w:t>
      </w:r>
      <w:r w:rsidR="000D45B5">
        <w:t>”</w:t>
      </w:r>
      <w:r w:rsidR="002E6F7E">
        <w:t xml:space="preserve"> for structured </w:t>
      </w:r>
      <w:r w:rsidR="000D45B5">
        <w:t>government-business</w:t>
      </w:r>
      <w:r w:rsidR="002E6F7E">
        <w:t xml:space="preserve"> dialogue</w:t>
      </w:r>
      <w:r w:rsidR="000D45B5">
        <w:t xml:space="preserve"> and not least to promote “</w:t>
      </w:r>
      <w:r w:rsidR="002E6F7E">
        <w:t>the broad range of public-private partnerships</w:t>
      </w:r>
      <w:r w:rsidR="000D45B5">
        <w:t>”</w:t>
      </w:r>
      <w:r w:rsidR="002E6F7E">
        <w:t xml:space="preserve">, </w:t>
      </w:r>
      <w:r w:rsidR="000D45B5">
        <w:t>including “</w:t>
      </w:r>
      <w:r w:rsidR="002E6F7E">
        <w:t>innovative</w:t>
      </w:r>
      <w:r w:rsidR="000D45B5">
        <w:t>”</w:t>
      </w:r>
      <w:r w:rsidR="002E6F7E">
        <w:t xml:space="preserve"> public finance mechanisms that</w:t>
      </w:r>
      <w:r>
        <w:t xml:space="preserve"> can help</w:t>
      </w:r>
      <w:r w:rsidR="002E6F7E">
        <w:t xml:space="preserve"> mitigate risk for </w:t>
      </w:r>
      <w:r>
        <w:t xml:space="preserve">private </w:t>
      </w:r>
      <w:r w:rsidR="002E6F7E">
        <w:t>investors</w:t>
      </w:r>
      <w:r>
        <w:t>.</w:t>
      </w:r>
    </w:p>
    <w:p w:rsidR="006C1426" w:rsidRPr="006C1426" w:rsidRDefault="006C1426" w:rsidP="000D45B5">
      <w:pPr>
        <w:pStyle w:val="Num-DocParagraph"/>
      </w:pPr>
    </w:p>
    <w:p w:rsidR="00376B9C" w:rsidRDefault="00376B9C" w:rsidP="00376B9C">
      <w:pPr>
        <w:pStyle w:val="Heading2"/>
      </w:pPr>
      <w:bookmarkStart w:id="15" w:name="_Toc381823849"/>
      <w:bookmarkStart w:id="16" w:name="_Toc382332819"/>
      <w:bookmarkStart w:id="17" w:name="_Toc382512090"/>
      <w:r>
        <w:t>Putting a figure</w:t>
      </w:r>
      <w:bookmarkEnd w:id="15"/>
      <w:bookmarkEnd w:id="16"/>
      <w:bookmarkEnd w:id="17"/>
    </w:p>
    <w:p w:rsidR="00376B9C" w:rsidRPr="00376B9C" w:rsidRDefault="00376B9C" w:rsidP="00376B9C">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9</w:instrText>
      </w:r>
      <w:r>
        <w:fldChar w:fldCharType="end"/>
      </w:r>
      <w:r>
        <w:instrText>.</w:instrText>
      </w:r>
      <w:r>
        <w:tab/>
      </w:r>
      <w:r>
        <w:fldChar w:fldCharType="end"/>
      </w:r>
      <w:r w:rsidRPr="00376B9C">
        <w:t xml:space="preserve">There is no established method to measure the volume of development focused private sector initiatives, owing in large part to the ambiguity in its definition, how it is qualified as part of ODA statistics and furthermore since not all initiatives are considered as part of ODA in the first instance. To illustrate, Australia claims that 27% of its ODA in 2012/13 is allocated to </w:t>
      </w:r>
      <w:r w:rsidRPr="00376B9C">
        <w:lastRenderedPageBreak/>
        <w:t>“sustainable economic development” and Canada states that in 2009/10 22.3% of CIDA’s activities (the Canadian ODA agency) were allocated for “sustainable economic growth”. Yet, even with this type of information it is difficult to undertake any sort of comparative exercise given that the two countries’ definition of “sustainable economic development” differs substantially.</w:t>
      </w:r>
    </w:p>
    <w:p w:rsidR="00376B9C" w:rsidRPr="00BD2D63" w:rsidRDefault="00376B9C" w:rsidP="00376B9C">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10</w:instrText>
      </w:r>
      <w:r>
        <w:fldChar w:fldCharType="end"/>
      </w:r>
      <w:r>
        <w:instrText>.</w:instrText>
      </w:r>
      <w:r>
        <w:tab/>
      </w:r>
      <w:r>
        <w:fldChar w:fldCharType="end"/>
      </w:r>
      <w:r w:rsidRPr="00BD2D63">
        <w:t>We can nevertheless identify broad trends. As shown in the table and graphs below, the OECD Development Assistance Committee (DAC) “creditor reporting system” indicates that ODA flows to “Economic Infrastructure &amp; Services” projects and to “Production sectors” have grown at a much faster pace than any other sectors between 2006 and in 201</w:t>
      </w:r>
      <w:r w:rsidR="003D16E5">
        <w:t>2</w:t>
      </w:r>
      <w:r w:rsidRPr="00BD2D63">
        <w:t xml:space="preserve"> (+</w:t>
      </w:r>
      <w:r w:rsidR="003D16E5">
        <w:t>137</w:t>
      </w:r>
      <w:r w:rsidRPr="00BD2D63">
        <w:t>% and +</w:t>
      </w:r>
      <w:r w:rsidR="003D16E5">
        <w:t>118</w:t>
      </w:r>
      <w:r w:rsidRPr="00BD2D63">
        <w:t>%, as compared to +4</w:t>
      </w:r>
      <w:r w:rsidR="003D16E5">
        <w:t>3</w:t>
      </w:r>
      <w:r w:rsidRPr="00BD2D63">
        <w:t xml:space="preserve">% for social infrastructure), thus corroborating the notion that ODA targeted at the private sector for development is steadily increasing. </w:t>
      </w:r>
    </w:p>
    <w:p w:rsidR="00376B9C" w:rsidRPr="00BD2D63" w:rsidRDefault="00376B9C" w:rsidP="00376B9C"/>
    <w:p w:rsidR="003D16E5" w:rsidRPr="003D16E5" w:rsidRDefault="003D16E5" w:rsidP="006C1426">
      <w:pPr>
        <w:pStyle w:val="Heading4"/>
      </w:pPr>
      <w:r w:rsidRPr="00BD2D63">
        <w:t>Sector</w:t>
      </w:r>
      <w:r>
        <w:t>al</w:t>
      </w:r>
      <w:r w:rsidRPr="00BD2D63">
        <w:t xml:space="preserve"> distribution of </w:t>
      </w:r>
      <w:r>
        <w:t xml:space="preserve">OECD-based </w:t>
      </w:r>
      <w:r w:rsidRPr="00BD2D63">
        <w:t>ODA 2006-201</w:t>
      </w:r>
      <w:r>
        <w:t>2</w:t>
      </w:r>
    </w:p>
    <w:tbl>
      <w:tblPr>
        <w:tblW w:w="9457" w:type="dxa"/>
        <w:tblInd w:w="93" w:type="dxa"/>
        <w:shd w:val="clear" w:color="auto" w:fill="FFFFFF" w:themeFill="background1"/>
        <w:tblLayout w:type="fixed"/>
        <w:tblLook w:val="04A0" w:firstRow="1" w:lastRow="0" w:firstColumn="1" w:lastColumn="0" w:noHBand="0" w:noVBand="1"/>
      </w:tblPr>
      <w:tblGrid>
        <w:gridCol w:w="3928"/>
        <w:gridCol w:w="765"/>
        <w:gridCol w:w="1191"/>
        <w:gridCol w:w="1191"/>
        <w:gridCol w:w="1191"/>
        <w:gridCol w:w="1191"/>
      </w:tblGrid>
      <w:tr w:rsidR="006C1426" w:rsidRPr="006C1426"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rsidR="006C1426" w:rsidRPr="006C1426" w:rsidRDefault="006C1426" w:rsidP="006C1426">
            <w:pPr>
              <w:rPr>
                <w:rFonts w:eastAsia="Times New Roman" w:cs="Times New Roman"/>
                <w:b/>
                <w:sz w:val="18"/>
                <w:szCs w:val="18"/>
                <w:lang w:eastAsia="en-GB"/>
              </w:rPr>
            </w:pPr>
            <w:r>
              <w:rPr>
                <w:rFonts w:eastAsia="Times New Roman" w:cs="Times New Roman"/>
                <w:b/>
                <w:sz w:val="18"/>
                <w:szCs w:val="18"/>
                <w:lang w:eastAsia="en-GB"/>
              </w:rPr>
              <w:t>In USDbn</w:t>
            </w:r>
          </w:p>
        </w:tc>
        <w:tc>
          <w:tcPr>
            <w:tcW w:w="765" w:type="dxa"/>
            <w:tcBorders>
              <w:top w:val="nil"/>
              <w:left w:val="nil"/>
              <w:bottom w:val="single" w:sz="4" w:space="0" w:color="C0C0C0"/>
              <w:right w:val="single" w:sz="4" w:space="0" w:color="C0C0C0"/>
            </w:tcBorders>
            <w:shd w:val="clear" w:color="auto" w:fill="FFFFFF" w:themeFill="background1"/>
            <w:noWrap/>
            <w:hideMark/>
          </w:tcPr>
          <w:p w:rsidR="006C1426" w:rsidRPr="006C1426" w:rsidRDefault="006C1426" w:rsidP="004D295F">
            <w:pPr>
              <w:jc w:val="center"/>
              <w:rPr>
                <w:rFonts w:eastAsia="Times New Roman" w:cs="Times New Roman"/>
                <w:b/>
                <w:sz w:val="18"/>
                <w:szCs w:val="18"/>
                <w:lang w:eastAsia="en-GB"/>
              </w:rPr>
            </w:pPr>
            <w:r w:rsidRPr="006C1426">
              <w:rPr>
                <w:rFonts w:eastAsia="Times New Roman" w:cs="Times New Roman"/>
                <w:b/>
                <w:sz w:val="18"/>
                <w:szCs w:val="18"/>
                <w:lang w:eastAsia="en-GB"/>
              </w:rPr>
              <w:t>2006</w:t>
            </w:r>
          </w:p>
        </w:tc>
        <w:tc>
          <w:tcPr>
            <w:tcW w:w="1191" w:type="dxa"/>
            <w:tcBorders>
              <w:top w:val="nil"/>
              <w:left w:val="nil"/>
              <w:bottom w:val="single" w:sz="4" w:space="0" w:color="C0C0C0"/>
              <w:right w:val="single" w:sz="4" w:space="0" w:color="C0C0C0"/>
            </w:tcBorders>
            <w:shd w:val="clear" w:color="auto" w:fill="FFFFFF" w:themeFill="background1"/>
            <w:noWrap/>
            <w:hideMark/>
          </w:tcPr>
          <w:p w:rsidR="006C1426" w:rsidRPr="006C1426" w:rsidRDefault="006C1426" w:rsidP="004D295F">
            <w:pPr>
              <w:jc w:val="center"/>
              <w:rPr>
                <w:rFonts w:eastAsia="Times New Roman" w:cs="Times New Roman"/>
                <w:b/>
                <w:sz w:val="18"/>
                <w:szCs w:val="18"/>
                <w:lang w:eastAsia="en-GB"/>
              </w:rPr>
            </w:pPr>
            <w:r w:rsidRPr="006C1426">
              <w:rPr>
                <w:rFonts w:eastAsia="Times New Roman" w:cs="Times New Roman"/>
                <w:b/>
                <w:sz w:val="18"/>
                <w:szCs w:val="18"/>
                <w:lang w:eastAsia="en-GB"/>
              </w:rPr>
              <w:t>2008</w:t>
            </w:r>
          </w:p>
        </w:tc>
        <w:tc>
          <w:tcPr>
            <w:tcW w:w="1191" w:type="dxa"/>
            <w:tcBorders>
              <w:top w:val="nil"/>
              <w:left w:val="nil"/>
              <w:bottom w:val="single" w:sz="4" w:space="0" w:color="C0C0C0"/>
              <w:right w:val="single" w:sz="4" w:space="0" w:color="C0C0C0"/>
            </w:tcBorders>
            <w:shd w:val="clear" w:color="auto" w:fill="FFFFFF" w:themeFill="background1"/>
            <w:noWrap/>
            <w:hideMark/>
          </w:tcPr>
          <w:p w:rsidR="006C1426" w:rsidRPr="006C1426" w:rsidRDefault="006C1426" w:rsidP="004D295F">
            <w:pPr>
              <w:jc w:val="center"/>
              <w:rPr>
                <w:rFonts w:eastAsia="Times New Roman" w:cs="Times New Roman"/>
                <w:b/>
                <w:sz w:val="18"/>
                <w:szCs w:val="18"/>
                <w:lang w:eastAsia="en-GB"/>
              </w:rPr>
            </w:pPr>
            <w:r w:rsidRPr="006C1426">
              <w:rPr>
                <w:rFonts w:eastAsia="Times New Roman" w:cs="Times New Roman"/>
                <w:b/>
                <w:sz w:val="18"/>
                <w:szCs w:val="18"/>
                <w:lang w:eastAsia="en-GB"/>
              </w:rPr>
              <w:t>2010</w:t>
            </w:r>
          </w:p>
        </w:tc>
        <w:tc>
          <w:tcPr>
            <w:tcW w:w="1191" w:type="dxa"/>
            <w:tcBorders>
              <w:top w:val="nil"/>
              <w:left w:val="nil"/>
              <w:bottom w:val="single" w:sz="4" w:space="0" w:color="C0C0C0"/>
              <w:right w:val="single" w:sz="4" w:space="0" w:color="C0C0C0"/>
            </w:tcBorders>
            <w:shd w:val="clear" w:color="auto" w:fill="FFFFFF" w:themeFill="background1"/>
            <w:noWrap/>
            <w:hideMark/>
          </w:tcPr>
          <w:p w:rsidR="006C1426" w:rsidRPr="006C1426" w:rsidRDefault="006C1426" w:rsidP="004D295F">
            <w:pPr>
              <w:jc w:val="center"/>
              <w:rPr>
                <w:rFonts w:eastAsia="Times New Roman" w:cs="Times New Roman"/>
                <w:b/>
                <w:sz w:val="18"/>
                <w:szCs w:val="18"/>
                <w:lang w:eastAsia="en-GB"/>
              </w:rPr>
            </w:pPr>
            <w:r w:rsidRPr="006C1426">
              <w:rPr>
                <w:rFonts w:eastAsia="Times New Roman" w:cs="Times New Roman"/>
                <w:b/>
                <w:sz w:val="18"/>
                <w:szCs w:val="18"/>
                <w:lang w:eastAsia="en-GB"/>
              </w:rPr>
              <w:t>2012</w:t>
            </w:r>
          </w:p>
        </w:tc>
        <w:tc>
          <w:tcPr>
            <w:tcW w:w="1191" w:type="dxa"/>
            <w:tcBorders>
              <w:top w:val="nil"/>
              <w:left w:val="nil"/>
              <w:bottom w:val="nil"/>
              <w:right w:val="single" w:sz="4" w:space="0" w:color="C0C0C0"/>
            </w:tcBorders>
            <w:shd w:val="clear" w:color="auto" w:fill="FFFFFF" w:themeFill="background1"/>
            <w:noWrap/>
            <w:hideMark/>
          </w:tcPr>
          <w:p w:rsidR="006C1426" w:rsidRPr="006C1426" w:rsidRDefault="006C1426" w:rsidP="004D295F">
            <w:pPr>
              <w:jc w:val="center"/>
              <w:rPr>
                <w:rFonts w:eastAsia="Times New Roman" w:cs="Times New Roman"/>
                <w:b/>
                <w:sz w:val="18"/>
                <w:szCs w:val="18"/>
                <w:lang w:eastAsia="en-GB"/>
              </w:rPr>
            </w:pPr>
            <w:r w:rsidRPr="006C1426">
              <w:rPr>
                <w:rFonts w:eastAsia="Times New Roman" w:cs="Times New Roman"/>
                <w:b/>
                <w:sz w:val="18"/>
                <w:szCs w:val="18"/>
                <w:lang w:eastAsia="en-GB"/>
              </w:rPr>
              <w:t>2006-2012</w:t>
            </w:r>
          </w:p>
        </w:tc>
      </w:tr>
      <w:tr w:rsidR="003D16E5" w:rsidRPr="003D16E5"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rsidR="003D16E5" w:rsidRPr="006C1426" w:rsidRDefault="003D16E5" w:rsidP="003D16E5">
            <w:pPr>
              <w:rPr>
                <w:rFonts w:eastAsia="Times New Roman" w:cs="Times New Roman"/>
                <w:sz w:val="18"/>
                <w:szCs w:val="18"/>
                <w:lang w:eastAsia="en-GB"/>
              </w:rPr>
            </w:pPr>
            <w:r w:rsidRPr="006C1426">
              <w:rPr>
                <w:rFonts w:eastAsia="Times New Roman" w:cs="Times New Roman"/>
                <w:sz w:val="18"/>
                <w:szCs w:val="18"/>
                <w:lang w:eastAsia="en-GB"/>
              </w:rPr>
              <w:t>I. Social Infrastructure &amp; Services</w:t>
            </w:r>
          </w:p>
        </w:tc>
        <w:tc>
          <w:tcPr>
            <w:tcW w:w="765"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46.6</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62.0</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64.4</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66.8</w:t>
            </w:r>
          </w:p>
        </w:tc>
        <w:tc>
          <w:tcPr>
            <w:tcW w:w="1191" w:type="dxa"/>
            <w:tcBorders>
              <w:top w:val="nil"/>
              <w:left w:val="nil"/>
              <w:bottom w:val="nil"/>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+43%</w:t>
            </w:r>
          </w:p>
        </w:tc>
      </w:tr>
      <w:tr w:rsidR="003D16E5" w:rsidRPr="003D16E5"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rsidR="003D16E5" w:rsidRPr="006C1426" w:rsidRDefault="003D16E5" w:rsidP="003D16E5">
            <w:pPr>
              <w:rPr>
                <w:rFonts w:eastAsia="Times New Roman" w:cs="Times New Roman"/>
                <w:sz w:val="18"/>
                <w:szCs w:val="18"/>
                <w:lang w:eastAsia="en-GB"/>
              </w:rPr>
            </w:pPr>
            <w:r w:rsidRPr="006C1426">
              <w:rPr>
                <w:rFonts w:eastAsia="Times New Roman" w:cs="Times New Roman"/>
                <w:sz w:val="18"/>
                <w:szCs w:val="18"/>
                <w:lang w:eastAsia="en-GB"/>
              </w:rPr>
              <w:t>II. Economic Infrastructure &amp; Services</w:t>
            </w:r>
          </w:p>
        </w:tc>
        <w:tc>
          <w:tcPr>
            <w:tcW w:w="765"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15.8</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27.5</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30.5</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37.5</w:t>
            </w:r>
          </w:p>
        </w:tc>
        <w:tc>
          <w:tcPr>
            <w:tcW w:w="1191" w:type="dxa"/>
            <w:tcBorders>
              <w:top w:val="nil"/>
              <w:left w:val="nil"/>
              <w:bottom w:val="nil"/>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u w:val="single"/>
                <w:lang w:eastAsia="en-GB"/>
              </w:rPr>
            </w:pPr>
            <w:r w:rsidRPr="006C1426">
              <w:rPr>
                <w:rFonts w:eastAsia="Times New Roman" w:cs="Times New Roman"/>
                <w:sz w:val="18"/>
                <w:szCs w:val="18"/>
                <w:u w:val="single"/>
                <w:lang w:eastAsia="en-GB"/>
              </w:rPr>
              <w:t>+137%</w:t>
            </w:r>
          </w:p>
        </w:tc>
      </w:tr>
      <w:tr w:rsidR="003D16E5" w:rsidRPr="003D16E5"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rsidR="003D16E5" w:rsidRPr="006C1426" w:rsidRDefault="003D16E5" w:rsidP="003D16E5">
            <w:pPr>
              <w:rPr>
                <w:rFonts w:eastAsia="Times New Roman" w:cs="Times New Roman"/>
                <w:sz w:val="18"/>
                <w:szCs w:val="18"/>
                <w:lang w:eastAsia="en-GB"/>
              </w:rPr>
            </w:pPr>
            <w:r w:rsidRPr="006C1426">
              <w:rPr>
                <w:rFonts w:eastAsia="Times New Roman" w:cs="Times New Roman"/>
                <w:sz w:val="18"/>
                <w:szCs w:val="18"/>
                <w:lang w:eastAsia="en-GB"/>
              </w:rPr>
              <w:t>III. Production Sectors</w:t>
            </w:r>
          </w:p>
        </w:tc>
        <w:tc>
          <w:tcPr>
            <w:tcW w:w="765"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8.1</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11.3</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12.9</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17.6</w:t>
            </w:r>
          </w:p>
        </w:tc>
        <w:tc>
          <w:tcPr>
            <w:tcW w:w="1191" w:type="dxa"/>
            <w:tcBorders>
              <w:top w:val="nil"/>
              <w:left w:val="nil"/>
              <w:bottom w:val="nil"/>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u w:val="single"/>
                <w:lang w:eastAsia="en-GB"/>
              </w:rPr>
            </w:pPr>
            <w:r w:rsidRPr="006C1426">
              <w:rPr>
                <w:rFonts w:eastAsia="Times New Roman" w:cs="Times New Roman"/>
                <w:sz w:val="18"/>
                <w:szCs w:val="18"/>
                <w:u w:val="single"/>
                <w:lang w:eastAsia="en-GB"/>
              </w:rPr>
              <w:t>+118%</w:t>
            </w:r>
          </w:p>
        </w:tc>
      </w:tr>
      <w:tr w:rsidR="003D16E5" w:rsidRPr="003D16E5"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rsidR="003D16E5" w:rsidRPr="006C1426" w:rsidRDefault="003D16E5" w:rsidP="003D16E5">
            <w:pPr>
              <w:rPr>
                <w:rFonts w:eastAsia="Times New Roman" w:cs="Times New Roman"/>
                <w:sz w:val="18"/>
                <w:szCs w:val="18"/>
                <w:lang w:eastAsia="en-GB"/>
              </w:rPr>
            </w:pPr>
            <w:r w:rsidRPr="006C1426">
              <w:rPr>
                <w:rFonts w:eastAsia="Times New Roman" w:cs="Times New Roman"/>
                <w:sz w:val="18"/>
                <w:szCs w:val="18"/>
                <w:lang w:eastAsia="en-GB"/>
              </w:rPr>
              <w:t>IV. Multi-Sector / Cross-Cutting</w:t>
            </w:r>
          </w:p>
        </w:tc>
        <w:tc>
          <w:tcPr>
            <w:tcW w:w="765"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8.7</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11.9</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21.0</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18.9</w:t>
            </w:r>
          </w:p>
        </w:tc>
        <w:tc>
          <w:tcPr>
            <w:tcW w:w="1191" w:type="dxa"/>
            <w:tcBorders>
              <w:top w:val="nil"/>
              <w:left w:val="nil"/>
              <w:bottom w:val="nil"/>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+117%</w:t>
            </w:r>
          </w:p>
        </w:tc>
      </w:tr>
      <w:tr w:rsidR="003D16E5" w:rsidRPr="003D16E5"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rsidR="003D16E5" w:rsidRPr="006C1426" w:rsidRDefault="003D16E5" w:rsidP="003D16E5">
            <w:pPr>
              <w:rPr>
                <w:rFonts w:eastAsia="Times New Roman" w:cs="Times New Roman"/>
                <w:sz w:val="18"/>
                <w:szCs w:val="18"/>
                <w:lang w:eastAsia="en-GB"/>
              </w:rPr>
            </w:pPr>
            <w:r w:rsidRPr="006C1426">
              <w:rPr>
                <w:rFonts w:eastAsia="Times New Roman" w:cs="Times New Roman"/>
                <w:sz w:val="18"/>
                <w:szCs w:val="18"/>
                <w:lang w:eastAsia="en-GB"/>
              </w:rPr>
              <w:t>VII. Action Relating to Debt</w:t>
            </w:r>
          </w:p>
        </w:tc>
        <w:tc>
          <w:tcPr>
            <w:tcW w:w="765"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23.2</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11.3</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4.9</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2.9</w:t>
            </w:r>
          </w:p>
        </w:tc>
        <w:tc>
          <w:tcPr>
            <w:tcW w:w="1191" w:type="dxa"/>
            <w:tcBorders>
              <w:top w:val="nil"/>
              <w:left w:val="nil"/>
              <w:bottom w:val="nil"/>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-87%</w:t>
            </w:r>
          </w:p>
        </w:tc>
      </w:tr>
      <w:tr w:rsidR="003D16E5" w:rsidRPr="003D16E5"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rsidR="003D16E5" w:rsidRPr="006C1426" w:rsidRDefault="003D16E5" w:rsidP="003D16E5">
            <w:pPr>
              <w:rPr>
                <w:rFonts w:eastAsia="Times New Roman" w:cs="Times New Roman"/>
                <w:sz w:val="18"/>
                <w:szCs w:val="18"/>
                <w:lang w:eastAsia="en-GB"/>
              </w:rPr>
            </w:pPr>
            <w:r w:rsidRPr="006C1426">
              <w:rPr>
                <w:rFonts w:eastAsia="Times New Roman" w:cs="Times New Roman"/>
                <w:sz w:val="18"/>
                <w:szCs w:val="18"/>
                <w:lang w:eastAsia="en-GB"/>
              </w:rPr>
              <w:t>VIII. Humanitarian Aid</w:t>
            </w:r>
          </w:p>
        </w:tc>
        <w:tc>
          <w:tcPr>
            <w:tcW w:w="765"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8.5</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11.0</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13.4</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13.1</w:t>
            </w:r>
          </w:p>
        </w:tc>
        <w:tc>
          <w:tcPr>
            <w:tcW w:w="1191" w:type="dxa"/>
            <w:tcBorders>
              <w:top w:val="nil"/>
              <w:left w:val="nil"/>
              <w:bottom w:val="nil"/>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+54%</w:t>
            </w:r>
          </w:p>
        </w:tc>
      </w:tr>
      <w:tr w:rsidR="003D16E5" w:rsidRPr="003D16E5"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rsidR="003D16E5" w:rsidRPr="006C1426" w:rsidRDefault="003D16E5" w:rsidP="003D16E5">
            <w:pPr>
              <w:rPr>
                <w:rFonts w:eastAsia="Times New Roman" w:cs="Times New Roman"/>
                <w:sz w:val="18"/>
                <w:szCs w:val="18"/>
                <w:lang w:eastAsia="en-GB"/>
              </w:rPr>
            </w:pPr>
            <w:r w:rsidRPr="006C1426">
              <w:rPr>
                <w:rFonts w:eastAsia="Times New Roman" w:cs="Times New Roman"/>
                <w:sz w:val="18"/>
                <w:szCs w:val="18"/>
                <w:lang w:eastAsia="en-GB"/>
              </w:rPr>
              <w:t>IX. Unallocated / Unspecified</w:t>
            </w:r>
          </w:p>
        </w:tc>
        <w:tc>
          <w:tcPr>
            <w:tcW w:w="765"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13.6</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13.2</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12.9</w:t>
            </w:r>
          </w:p>
        </w:tc>
        <w:tc>
          <w:tcPr>
            <w:tcW w:w="1191" w:type="dxa"/>
            <w:tcBorders>
              <w:top w:val="nil"/>
              <w:left w:val="nil"/>
              <w:bottom w:val="single" w:sz="4" w:space="0" w:color="C0C0C0"/>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14.7</w:t>
            </w:r>
          </w:p>
        </w:tc>
        <w:tc>
          <w:tcPr>
            <w:tcW w:w="1191" w:type="dxa"/>
            <w:tcBorders>
              <w:top w:val="nil"/>
              <w:left w:val="nil"/>
              <w:bottom w:val="nil"/>
              <w:right w:val="single" w:sz="4" w:space="0" w:color="C0C0C0"/>
            </w:tcBorders>
            <w:shd w:val="clear" w:color="auto" w:fill="FFFFFF" w:themeFill="background1"/>
            <w:noWrap/>
            <w:hideMark/>
          </w:tcPr>
          <w:p w:rsidR="003D16E5" w:rsidRPr="006C1426" w:rsidRDefault="003D16E5" w:rsidP="003D16E5">
            <w:pPr>
              <w:jc w:val="center"/>
              <w:rPr>
                <w:rFonts w:eastAsia="Times New Roman" w:cs="Times New Roman"/>
                <w:sz w:val="18"/>
                <w:szCs w:val="18"/>
                <w:lang w:eastAsia="en-GB"/>
              </w:rPr>
            </w:pPr>
            <w:r w:rsidRPr="006C1426">
              <w:rPr>
                <w:rFonts w:eastAsia="Times New Roman" w:cs="Times New Roman"/>
                <w:sz w:val="18"/>
                <w:szCs w:val="18"/>
                <w:lang w:eastAsia="en-GB"/>
              </w:rPr>
              <w:t>+8%</w:t>
            </w:r>
          </w:p>
        </w:tc>
      </w:tr>
    </w:tbl>
    <w:p w:rsidR="006C1426" w:rsidRPr="003D16E5" w:rsidRDefault="006C1426" w:rsidP="006C1426">
      <w:pPr>
        <w:rPr>
          <w:sz w:val="20"/>
          <w:szCs w:val="20"/>
        </w:rPr>
      </w:pPr>
      <w:r w:rsidRPr="003D16E5">
        <w:rPr>
          <w:sz w:val="20"/>
          <w:szCs w:val="20"/>
        </w:rPr>
        <w:t>Source: http://dotstat.oecd.org</w:t>
      </w:r>
    </w:p>
    <w:p w:rsidR="003D16E5" w:rsidRDefault="003D16E5" w:rsidP="003D16E5"/>
    <w:p w:rsidR="00376B9C" w:rsidRPr="00BD2D63" w:rsidRDefault="004356CB" w:rsidP="00376B9C">
      <w:r>
        <w:rPr>
          <w:noProof/>
          <w:lang w:val="fr-BE" w:eastAsia="fr-BE"/>
        </w:rPr>
        <w:drawing>
          <wp:inline distT="0" distB="0" distL="0" distR="0" wp14:anchorId="3C46781F" wp14:editId="767B1A1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6B9C" w:rsidRPr="003D16E5" w:rsidRDefault="00376B9C" w:rsidP="00376B9C">
      <w:pPr>
        <w:rPr>
          <w:sz w:val="20"/>
          <w:szCs w:val="20"/>
        </w:rPr>
      </w:pPr>
      <w:r w:rsidRPr="003D16E5">
        <w:rPr>
          <w:sz w:val="20"/>
          <w:szCs w:val="20"/>
        </w:rPr>
        <w:t xml:space="preserve">Source: </w:t>
      </w:r>
      <w:r w:rsidR="004356CB" w:rsidRPr="003D16E5">
        <w:rPr>
          <w:sz w:val="20"/>
          <w:szCs w:val="20"/>
        </w:rPr>
        <w:t>http://dotstat.oecd.org</w:t>
      </w:r>
    </w:p>
    <w:p w:rsidR="003D16E5" w:rsidRPr="003D16E5" w:rsidRDefault="003D16E5" w:rsidP="00376B9C"/>
    <w:p w:rsidR="00376B9C" w:rsidRPr="003D16E5" w:rsidRDefault="004356CB" w:rsidP="00376B9C">
      <w:r w:rsidRPr="003D16E5">
        <w:rPr>
          <w:noProof/>
          <w:lang w:val="fr-BE" w:eastAsia="fr-BE"/>
        </w:rPr>
        <w:lastRenderedPageBreak/>
        <w:drawing>
          <wp:inline distT="0" distB="0" distL="0" distR="0" wp14:anchorId="6BA50CF1" wp14:editId="35EE6DE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16E5" w:rsidRPr="00305803" w:rsidRDefault="003D16E5" w:rsidP="003D16E5">
      <w:pPr>
        <w:rPr>
          <w:sz w:val="20"/>
          <w:szCs w:val="20"/>
        </w:rPr>
      </w:pPr>
      <w:r w:rsidRPr="00305803">
        <w:rPr>
          <w:sz w:val="20"/>
          <w:szCs w:val="20"/>
        </w:rPr>
        <w:t>Source: http://dotstat.oecd.org</w:t>
      </w:r>
    </w:p>
    <w:p w:rsidR="00376B9C" w:rsidRPr="00376B9C" w:rsidRDefault="00376B9C" w:rsidP="00376B9C"/>
    <w:p w:rsidR="003D1749" w:rsidRDefault="003D1749" w:rsidP="003D1749"/>
    <w:p w:rsidR="008E7283" w:rsidRDefault="003D1749" w:rsidP="008E7283">
      <w:pPr>
        <w:pStyle w:val="Heading1"/>
      </w:pPr>
      <w:bookmarkStart w:id="18" w:name="_Toc381823851"/>
      <w:bookmarkStart w:id="19" w:name="_Toc382332821"/>
      <w:bookmarkStart w:id="20" w:name="_Toc382512091"/>
      <w:r>
        <w:t>The Drivers</w:t>
      </w:r>
      <w:bookmarkEnd w:id="18"/>
      <w:bookmarkEnd w:id="19"/>
      <w:bookmarkEnd w:id="20"/>
    </w:p>
    <w:p w:rsidR="006C1426" w:rsidRDefault="006C1426"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11</w:instrText>
      </w:r>
      <w:r>
        <w:fldChar w:fldCharType="end"/>
      </w:r>
      <w:r>
        <w:instrText>.</w:instrText>
      </w:r>
      <w:r>
        <w:tab/>
      </w:r>
      <w:r>
        <w:fldChar w:fldCharType="end"/>
      </w:r>
      <w:r w:rsidRPr="006C1426">
        <w:t xml:space="preserve"> </w:t>
      </w:r>
      <w:r>
        <w:t>As discussed in the introductory part, t</w:t>
      </w:r>
      <w:r w:rsidRPr="006C1426">
        <w:t>here is no mistaking the orientation in policy circles towards a focus on the role of private sector for development. There is a clear gravitation both at the international policy setting level as well as at individual donor level. Some very important donors have fully integrated orientations towards the private sector into their development cooperation policies.</w:t>
      </w:r>
    </w:p>
    <w:p w:rsidR="008E7283" w:rsidRDefault="0076049F"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12</w:instrText>
      </w:r>
      <w:r>
        <w:fldChar w:fldCharType="end"/>
      </w:r>
      <w:r>
        <w:instrText>.</w:instrText>
      </w:r>
      <w:r>
        <w:tab/>
      </w:r>
      <w:r>
        <w:fldChar w:fldCharType="end"/>
      </w:r>
      <w:r w:rsidRPr="0076049F">
        <w:t xml:space="preserve"> </w:t>
      </w:r>
      <w:r w:rsidRPr="006C1426">
        <w:t>The question is what is behind this trend?</w:t>
      </w:r>
      <w:r>
        <w:t xml:space="preserve"> And what are </w:t>
      </w:r>
      <w:r w:rsidRPr="006C1426">
        <w:t>policy implications</w:t>
      </w:r>
      <w:r>
        <w:t>?</w:t>
      </w:r>
      <w:r w:rsidR="008E7283" w:rsidRPr="006C1426">
        <w:t xml:space="preserve"> Are we slowly but surely moving in a direction where development cooperation would be co-managed, or at least under substantial influence by business groups and their leaders? </w:t>
      </w:r>
      <w:r>
        <w:t>Going to the extreme, could f</w:t>
      </w:r>
      <w:r w:rsidR="008E7283" w:rsidRPr="006C1426">
        <w:t xml:space="preserve">oreign </w:t>
      </w:r>
      <w:r>
        <w:t>d</w:t>
      </w:r>
      <w:r w:rsidR="008E7283" w:rsidRPr="006C1426">
        <w:t xml:space="preserve">irect </w:t>
      </w:r>
      <w:r>
        <w:t>i</w:t>
      </w:r>
      <w:r w:rsidR="008E7283" w:rsidRPr="006C1426">
        <w:t xml:space="preserve">nvestment be considered </w:t>
      </w:r>
      <w:r>
        <w:t xml:space="preserve">as qualifying as </w:t>
      </w:r>
      <w:r w:rsidR="008E7283" w:rsidRPr="006C1426">
        <w:t>development cooperation per se? To put it bluntly is ODA at risk of becoming privati</w:t>
      </w:r>
      <w:r>
        <w:t xml:space="preserve">sed? In what follows we outline a number of “push factors”, or policy drivers, behind the rising agenda on private sector development. </w:t>
      </w:r>
    </w:p>
    <w:p w:rsidR="0076049F" w:rsidRPr="0076049F" w:rsidRDefault="0076049F" w:rsidP="008E7283">
      <w:pPr>
        <w:pStyle w:val="Num-DocParagraph"/>
      </w:pPr>
    </w:p>
    <w:p w:rsidR="008E7283" w:rsidRDefault="008E7283" w:rsidP="008E7283">
      <w:pPr>
        <w:pStyle w:val="Heading2"/>
      </w:pPr>
      <w:bookmarkStart w:id="21" w:name="_Toc378166816"/>
      <w:bookmarkStart w:id="22" w:name="_Toc381823852"/>
      <w:bookmarkStart w:id="23" w:name="_Toc382332822"/>
      <w:bookmarkStart w:id="24" w:name="_Toc382512092"/>
      <w:r>
        <w:t xml:space="preserve">Business groups as </w:t>
      </w:r>
      <w:r w:rsidR="00E2677A">
        <w:t>“</w:t>
      </w:r>
      <w:r>
        <w:t>equal partners</w:t>
      </w:r>
      <w:r w:rsidR="00E2677A">
        <w:t>”</w:t>
      </w:r>
      <w:r>
        <w:t xml:space="preserve"> of government</w:t>
      </w:r>
      <w:bookmarkEnd w:id="21"/>
      <w:bookmarkEnd w:id="22"/>
      <w:bookmarkEnd w:id="23"/>
      <w:bookmarkEnd w:id="24"/>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13</w:instrText>
      </w:r>
      <w:r>
        <w:fldChar w:fldCharType="end"/>
      </w:r>
      <w:r>
        <w:instrText>.</w:instrText>
      </w:r>
      <w:r>
        <w:tab/>
      </w:r>
      <w:r>
        <w:fldChar w:fldCharType="end"/>
      </w:r>
      <w:r>
        <w:t>Private sector always ha</w:t>
      </w:r>
      <w:r w:rsidR="0076049F">
        <w:t>s</w:t>
      </w:r>
      <w:r>
        <w:t xml:space="preserve"> been a central feature of development cooperation. Many aid project aims at developing the private sector. What distinguishes the </w:t>
      </w:r>
      <w:r w:rsidR="0076049F">
        <w:t>private sector for development</w:t>
      </w:r>
      <w:r>
        <w:t xml:space="preserve"> framework from traditional ODA however is the recognition of business groups as a key if not “an equal” partner of governments and donors in policy making and project design. </w:t>
      </w:r>
      <w:r w:rsidR="0076049F">
        <w:t xml:space="preserve">It is a policy </w:t>
      </w:r>
      <w:r w:rsidR="0076049F">
        <w:lastRenderedPageBreak/>
        <w:t xml:space="preserve">framework </w:t>
      </w:r>
      <w:r>
        <w:t>that clearly favours pro-business regulatory reforms in the domestic arena (</w:t>
      </w:r>
      <w:r w:rsidR="0076049F">
        <w:t xml:space="preserve">cutting down on private sector regulatory requirements, </w:t>
      </w:r>
      <w:r>
        <w:t xml:space="preserve">trade facilitation, development of local credit and capital markets) and often </w:t>
      </w:r>
      <w:r w:rsidR="0076049F">
        <w:t>a</w:t>
      </w:r>
      <w:r>
        <w:t xml:space="preserve"> “downsizing” of the </w:t>
      </w:r>
      <w:r w:rsidR="0076049F">
        <w:t xml:space="preserve">role of government </w:t>
      </w:r>
      <w:r>
        <w:t xml:space="preserve">(privatisation, ‘corporatisation’ of state-owned companies and administration, sector-wide de-regulation). The World Bank “Doing Business” country ranking methodology is perhaps the most well-known tool worldwide </w:t>
      </w:r>
      <w:r w:rsidR="0076049F">
        <w:t xml:space="preserve">supporting pro-business reforms </w:t>
      </w:r>
      <w:r>
        <w:t>and is widely referenced when private sector</w:t>
      </w:r>
      <w:r w:rsidR="0076049F">
        <w:t xml:space="preserve"> for</w:t>
      </w:r>
      <w:r>
        <w:t xml:space="preserve"> development is considered. And while the primary focus is on developing domestic private for </w:t>
      </w:r>
      <w:r w:rsidR="0076049F">
        <w:t>profit sector, in many ways the p</w:t>
      </w:r>
      <w:r>
        <w:t xml:space="preserve">rivate sector </w:t>
      </w:r>
      <w:r w:rsidR="0076049F">
        <w:t xml:space="preserve">for </w:t>
      </w:r>
      <w:r>
        <w:t>development agenda often is closely intertwined with attracting foreign direct investment objectives and the commercial interests of multinational enterprises.</w:t>
      </w:r>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14</w:instrText>
      </w:r>
      <w:r>
        <w:fldChar w:fldCharType="end"/>
      </w:r>
      <w:r>
        <w:instrText>.</w:instrText>
      </w:r>
      <w:r>
        <w:tab/>
      </w:r>
      <w:r>
        <w:fldChar w:fldCharType="end"/>
      </w:r>
      <w:r w:rsidR="0058623B">
        <w:t>While i</w:t>
      </w:r>
      <w:r>
        <w:t xml:space="preserve">mproving </w:t>
      </w:r>
      <w:r w:rsidR="0058623B">
        <w:t xml:space="preserve">the </w:t>
      </w:r>
      <w:r>
        <w:t xml:space="preserve">“business climate” is central </w:t>
      </w:r>
      <w:r w:rsidR="0058623B">
        <w:t xml:space="preserve">in the narrative on private sector for development, there is </w:t>
      </w:r>
      <w:r>
        <w:t xml:space="preserve">very little acceptance for the effective compliance of other stakeholders’ rights </w:t>
      </w:r>
      <w:r w:rsidR="0058623B">
        <w:t>(</w:t>
      </w:r>
      <w:r>
        <w:t xml:space="preserve">than the rights of entrepreneurs and business managers). In particular there is no recognition of social dialogue and </w:t>
      </w:r>
      <w:r w:rsidR="0058623B">
        <w:t xml:space="preserve">of the role of </w:t>
      </w:r>
      <w:r>
        <w:t>social partners (</w:t>
      </w:r>
      <w:r w:rsidR="0058623B">
        <w:t xml:space="preserve">trade unions and </w:t>
      </w:r>
      <w:r>
        <w:t>employer</w:t>
      </w:r>
      <w:r w:rsidR="0058623B">
        <w:t xml:space="preserve"> </w:t>
      </w:r>
      <w:r>
        <w:t xml:space="preserve">organisations) </w:t>
      </w:r>
      <w:r w:rsidR="0058623B">
        <w:t>as</w:t>
      </w:r>
      <w:r>
        <w:t xml:space="preserve"> essential foundation</w:t>
      </w:r>
      <w:r w:rsidR="0058623B">
        <w:t>s</w:t>
      </w:r>
      <w:r>
        <w:t xml:space="preserve"> for project and policy making.</w:t>
      </w:r>
    </w:p>
    <w:p w:rsidR="008E7283" w:rsidRPr="008E7283" w:rsidRDefault="008E7283" w:rsidP="008E7283">
      <w:pPr>
        <w:pStyle w:val="Num-DocParagraph"/>
      </w:pPr>
    </w:p>
    <w:p w:rsidR="008E7283" w:rsidRDefault="003D1749" w:rsidP="008E7283">
      <w:pPr>
        <w:pStyle w:val="Heading2"/>
      </w:pPr>
      <w:bookmarkStart w:id="25" w:name="_Toc378166817"/>
      <w:bookmarkStart w:id="26" w:name="_Toc378149371"/>
      <w:bookmarkStart w:id="27" w:name="_Toc381823853"/>
      <w:bookmarkStart w:id="28" w:name="_Toc382332823"/>
      <w:bookmarkStart w:id="29" w:name="_Toc382512093"/>
      <w:r>
        <w:t>L</w:t>
      </w:r>
      <w:r w:rsidR="008E7283">
        <w:t>everaging and tied aid</w:t>
      </w:r>
      <w:bookmarkEnd w:id="25"/>
      <w:bookmarkEnd w:id="26"/>
      <w:bookmarkEnd w:id="27"/>
      <w:bookmarkEnd w:id="28"/>
      <w:bookmarkEnd w:id="29"/>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15</w:instrText>
      </w:r>
      <w:r>
        <w:fldChar w:fldCharType="end"/>
      </w:r>
      <w:r>
        <w:instrText>.</w:instrText>
      </w:r>
      <w:r>
        <w:tab/>
      </w:r>
      <w:r>
        <w:fldChar w:fldCharType="end"/>
      </w:r>
      <w:r>
        <w:t>An</w:t>
      </w:r>
      <w:r w:rsidR="0058623B">
        <w:t xml:space="preserve">other </w:t>
      </w:r>
      <w:r>
        <w:t xml:space="preserve">important driver </w:t>
      </w:r>
      <w:r w:rsidR="0058623B">
        <w:t xml:space="preserve">in the rise of the private sector for development </w:t>
      </w:r>
      <w:r>
        <w:t>agenda</w:t>
      </w:r>
      <w:r w:rsidR="0058623B">
        <w:t xml:space="preserve">, particularly post-2008 crisis, </w:t>
      </w:r>
      <w:r>
        <w:t xml:space="preserve">is the perception that the </w:t>
      </w:r>
      <w:r w:rsidR="0058623B">
        <w:t>“</w:t>
      </w:r>
      <w:r>
        <w:t>public purse has run dry</w:t>
      </w:r>
      <w:r w:rsidR="0058623B">
        <w:t>”</w:t>
      </w:r>
      <w:r>
        <w:t xml:space="preserve"> or more specifically declining ODA flows. </w:t>
      </w:r>
      <w:r w:rsidR="0058623B">
        <w:t>A</w:t>
      </w:r>
      <w:r>
        <w:t>s public budgets are squeezed</w:t>
      </w:r>
      <w:r w:rsidR="0058623B">
        <w:t xml:space="preserve">, private sector for development is portrayed as </w:t>
      </w:r>
      <w:r w:rsidR="004D295F">
        <w:t xml:space="preserve">a suitable </w:t>
      </w:r>
      <w:r>
        <w:t>alternative form of development financing or in this case, private sector finance. Key to this line of thinking are the notions of “value for money” and of “leveraging” private finance through public support.</w:t>
      </w:r>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16</w:instrText>
      </w:r>
      <w:r>
        <w:fldChar w:fldCharType="end"/>
      </w:r>
      <w:r>
        <w:instrText>.</w:instrText>
      </w:r>
      <w:r>
        <w:tab/>
      </w:r>
      <w:r>
        <w:fldChar w:fldCharType="end"/>
      </w:r>
      <w:r>
        <w:t xml:space="preserve">The unwavering and blind support to </w:t>
      </w:r>
      <w:r w:rsidR="004D295F">
        <w:t>PPPs</w:t>
      </w:r>
      <w:r>
        <w:t xml:space="preserve"> in developing countries – as opposed to traditional public procurement and public services –</w:t>
      </w:r>
      <w:r w:rsidR="004D295F">
        <w:t xml:space="preserve"> </w:t>
      </w:r>
      <w:r>
        <w:t>for financing infrastructure is of serious concern. In practice, PPPs have proven to be a flawed model that leads to over-priced public services, and there is much evidence to corroborate this. In contrast to traditional public procurement, experience within Europe shows that PPPs have many hidden costs and are excessively complex contracts to handle. It overlooks any possible risk associated with “blending” and in particular the possibility of situations where gains are privatised while losses socialized.</w:t>
      </w:r>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17</w:instrText>
      </w:r>
      <w:r>
        <w:fldChar w:fldCharType="end"/>
      </w:r>
      <w:r>
        <w:instrText>.</w:instrText>
      </w:r>
      <w:r>
        <w:tab/>
      </w:r>
      <w:r>
        <w:fldChar w:fldCharType="end"/>
      </w:r>
      <w:r>
        <w:t>Another powerful ‘push’ factor explaining the increased interest in the role of the private sector in development circles is the opportunity for creating tied aid. Some donors are in fact very explicit about the link between efforts around the private sector and aid tying, despite the latter running directly contrary to the principles and commitments agreed to under the Aid and Development Effectiveness agenda. The potential that ODA public finance becomes a new and obtuse instrument for tied aid and public subsidy to OECD-based businesses operating in developing countries should be opposed.</w:t>
      </w:r>
    </w:p>
    <w:p w:rsidR="008E7283" w:rsidRPr="008E7283" w:rsidRDefault="008E7283" w:rsidP="008E7283">
      <w:pPr>
        <w:pStyle w:val="Num-DocParagraph"/>
      </w:pPr>
    </w:p>
    <w:p w:rsidR="008E7283" w:rsidRDefault="008E7283" w:rsidP="008E7283">
      <w:pPr>
        <w:pStyle w:val="Heading2"/>
      </w:pPr>
      <w:bookmarkStart w:id="30" w:name="_Toc378149373"/>
      <w:bookmarkStart w:id="31" w:name="_Toc378166818"/>
      <w:bookmarkStart w:id="32" w:name="_Toc381823854"/>
      <w:bookmarkStart w:id="33" w:name="_Toc382332824"/>
      <w:bookmarkStart w:id="34" w:name="_Toc382512094"/>
      <w:r>
        <w:lastRenderedPageBreak/>
        <w:t>Inclusive b</w:t>
      </w:r>
      <w:bookmarkEnd w:id="30"/>
      <w:r>
        <w:t>usiness</w:t>
      </w:r>
      <w:bookmarkEnd w:id="31"/>
      <w:bookmarkEnd w:id="32"/>
      <w:bookmarkEnd w:id="33"/>
      <w:bookmarkEnd w:id="34"/>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18</w:instrText>
      </w:r>
      <w:r>
        <w:fldChar w:fldCharType="end"/>
      </w:r>
      <w:r>
        <w:instrText>.</w:instrText>
      </w:r>
      <w:r>
        <w:tab/>
      </w:r>
      <w:r>
        <w:fldChar w:fldCharType="end"/>
      </w:r>
      <w:r w:rsidR="004D295F">
        <w:t>Whether a driver or a consequence</w:t>
      </w:r>
      <w:r w:rsidR="00176DC5">
        <w:t xml:space="preserve">, the “inclusive business” model is </w:t>
      </w:r>
      <w:r>
        <w:t xml:space="preserve">concomitant to the growing importance of </w:t>
      </w:r>
      <w:r w:rsidR="004D295F">
        <w:t>the</w:t>
      </w:r>
      <w:r w:rsidR="00176DC5">
        <w:t xml:space="preserve"> private sector for development agenda</w:t>
      </w:r>
      <w:r w:rsidR="004D295F">
        <w:t>. A</w:t>
      </w:r>
      <w:r>
        <w:t>ctively supported by the World Bank</w:t>
      </w:r>
      <w:r w:rsidR="004D295F">
        <w:t xml:space="preserve"> and, within the private sector, by the World Business Council for Sustainable Development (WBCSD), </w:t>
      </w:r>
      <w:r>
        <w:t>inclusive business is about unlocking the business opportunities of the poor living at the “bottom of the pyramid” to transform these people into a “financially profitable business model”. The poor themselves are depicted as consumers and sometimes as entrepreneurs or as “producers”, but rarely as workers or as employees, never as citizens.</w:t>
      </w:r>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19</w:instrText>
      </w:r>
      <w:r>
        <w:fldChar w:fldCharType="end"/>
      </w:r>
      <w:r>
        <w:instrText>.</w:instrText>
      </w:r>
      <w:r>
        <w:tab/>
      </w:r>
      <w:r>
        <w:fldChar w:fldCharType="end"/>
      </w:r>
      <w:r w:rsidR="004D295F">
        <w:t xml:space="preserve">It is fair to say that, at least implicitly, the inclusive business model </w:t>
      </w:r>
      <w:r>
        <w:t>favours privatisation processes of public services (such as education and health services)</w:t>
      </w:r>
      <w:r w:rsidR="004D295F">
        <w:t xml:space="preserve">. It is also very much silent on stakeholder rights. There is </w:t>
      </w:r>
      <w:r>
        <w:t>no reference to international norms and conventions, not least human rights and core labour standards</w:t>
      </w:r>
      <w:r w:rsidR="004D295F">
        <w:t>, i</w:t>
      </w:r>
      <w:r>
        <w:t>n stark contrast however</w:t>
      </w:r>
      <w:r w:rsidR="004D295F">
        <w:t xml:space="preserve"> with</w:t>
      </w:r>
      <w:r>
        <w:t xml:space="preserve"> property and investor rights</w:t>
      </w:r>
      <w:r w:rsidR="004D295F">
        <w:t xml:space="preserve"> which are heralded</w:t>
      </w:r>
      <w:r>
        <w:t xml:space="preserve">. The </w:t>
      </w:r>
      <w:r w:rsidR="004D295F">
        <w:t xml:space="preserve">WBCSD </w:t>
      </w:r>
      <w:r>
        <w:t xml:space="preserve">framework on inclusive business for example </w:t>
      </w:r>
      <w:r w:rsidR="00B24AFA">
        <w:t xml:space="preserve">defines </w:t>
      </w:r>
      <w:r>
        <w:t>“rule of law”</w:t>
      </w:r>
      <w:r w:rsidR="00B24AFA">
        <w:t xml:space="preserve"> in a very restrictive manner: </w:t>
      </w:r>
      <w:r w:rsidR="00176DC5">
        <w:t xml:space="preserve">it </w:t>
      </w:r>
      <w:r w:rsidR="00B24AFA">
        <w:t>e</w:t>
      </w:r>
      <w:r>
        <w:t>ssentially boil</w:t>
      </w:r>
      <w:r w:rsidR="00176DC5">
        <w:t>s</w:t>
      </w:r>
      <w:r>
        <w:t xml:space="preserve"> down to securing land tenure and property rights, as well as compliance with (private) contracts</w:t>
      </w:r>
      <w:r w:rsidR="00176DC5">
        <w:t xml:space="preserve"> – little or nothing is said about human rights and democracy</w:t>
      </w:r>
      <w:r>
        <w:t xml:space="preserve">. For its part, the </w:t>
      </w:r>
      <w:r w:rsidR="00B24AFA">
        <w:t xml:space="preserve">World Bank </w:t>
      </w:r>
      <w:r>
        <w:t>I</w:t>
      </w:r>
      <w:r w:rsidR="00B24AFA">
        <w:t xml:space="preserve">nternational </w:t>
      </w:r>
      <w:r>
        <w:t>F</w:t>
      </w:r>
      <w:r w:rsidR="00B24AFA">
        <w:t xml:space="preserve">inance </w:t>
      </w:r>
      <w:r>
        <w:t>C</w:t>
      </w:r>
      <w:r w:rsidR="00B24AFA">
        <w:t>ooperation (IFC)</w:t>
      </w:r>
      <w:r>
        <w:t xml:space="preserve"> has listed a number of “regulatory hurdles” to the “business environment that are conducive to inclusive business models” and </w:t>
      </w:r>
      <w:r w:rsidR="00176DC5">
        <w:t>including “</w:t>
      </w:r>
      <w:r>
        <w:t>excessive</w:t>
      </w:r>
      <w:r w:rsidR="00176DC5">
        <w:t>”</w:t>
      </w:r>
      <w:r>
        <w:t xml:space="preserve"> consumer protection legislation and </w:t>
      </w:r>
      <w:r w:rsidR="00176DC5">
        <w:t xml:space="preserve">loose protection of intellectual property rights, both of which would need </w:t>
      </w:r>
      <w:r>
        <w:t>“rethinking” as they “may unintentional</w:t>
      </w:r>
      <w:r w:rsidR="003A5984">
        <w:t>ly stifle” innovation</w:t>
      </w:r>
      <w:r>
        <w:t>.</w:t>
      </w:r>
    </w:p>
    <w:p w:rsidR="008E7283" w:rsidRPr="008E7283" w:rsidRDefault="008E7283" w:rsidP="008E7283">
      <w:pPr>
        <w:pStyle w:val="Num-DocParagraph"/>
      </w:pPr>
    </w:p>
    <w:bookmarkStart w:id="35" w:name="_Toc378166819"/>
    <w:p w:rsidR="008E7283" w:rsidRDefault="00FC5E14" w:rsidP="00FC5E14">
      <w:pPr>
        <w:pStyle w:val="Heading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36" w:name="_Toc381823855"/>
      <w:bookmarkStart w:id="37" w:name="_Toc382332825"/>
      <w:bookmarkStart w:id="38" w:name="_Toc382512095"/>
      <w:r>
        <w:fldChar w:fldCharType="end"/>
      </w:r>
      <w:r w:rsidR="00DF1D7A">
        <w:t>Policy</w:t>
      </w:r>
      <w:r w:rsidR="008E7283">
        <w:t xml:space="preserve"> p</w:t>
      </w:r>
      <w:r w:rsidR="00176DC5">
        <w:t>riorities</w:t>
      </w:r>
      <w:bookmarkEnd w:id="35"/>
      <w:bookmarkEnd w:id="36"/>
      <w:bookmarkEnd w:id="37"/>
      <w:bookmarkEnd w:id="38"/>
    </w:p>
    <w:p w:rsidR="005F1EC1" w:rsidRDefault="005F1EC1"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20</w:instrText>
      </w:r>
      <w:r>
        <w:fldChar w:fldCharType="end"/>
      </w:r>
      <w:r>
        <w:instrText>.</w:instrText>
      </w:r>
      <w:r>
        <w:tab/>
      </w:r>
      <w:r>
        <w:fldChar w:fldCharType="end"/>
      </w:r>
      <w:r w:rsidR="00176DC5">
        <w:t>As discussed in this paper, private sector for development initiatives can take many forms</w:t>
      </w:r>
      <w:r w:rsidR="00A34489">
        <w:t>, depending on national and local context</w:t>
      </w:r>
      <w:r w:rsidR="00176DC5">
        <w:t xml:space="preserve">. It would be difficult, if not impossible to propose a definitive </w:t>
      </w:r>
      <w:r>
        <w:t>and comprehensive understanding of its underpinnings and from there to propose a definitive positioning for the international labour movement to adopt</w:t>
      </w:r>
      <w:r w:rsidR="00176DC5">
        <w:t>.</w:t>
      </w:r>
      <w:r>
        <w:t xml:space="preserve"> </w:t>
      </w:r>
      <w:r w:rsidR="00A34489">
        <w:t xml:space="preserve">In some specific instances, </w:t>
      </w:r>
      <w:r>
        <w:t>private sector for development projects and programmes may indeed offer opportunities for trade union action</w:t>
      </w:r>
      <w:r w:rsidR="00A34489">
        <w:t>.</w:t>
      </w:r>
      <w:r>
        <w:t xml:space="preserve"> </w:t>
      </w:r>
      <w:r w:rsidR="00A34489">
        <w:t>I</w:t>
      </w:r>
      <w:r>
        <w:t>n other</w:t>
      </w:r>
      <w:r w:rsidR="00A34489">
        <w:t>s</w:t>
      </w:r>
      <w:r>
        <w:t xml:space="preserve"> however, and perhaps in </w:t>
      </w:r>
      <w:r w:rsidR="00A34489">
        <w:t xml:space="preserve">a </w:t>
      </w:r>
      <w:r>
        <w:t xml:space="preserve">majority of cases, they may pose serious concerns and threats to the </w:t>
      </w:r>
      <w:r w:rsidR="00A34489">
        <w:t>rights-based approach to development cooperation as favoured by trade unions</w:t>
      </w:r>
      <w:r>
        <w:t xml:space="preserve">. </w:t>
      </w:r>
    </w:p>
    <w:p w:rsidR="008E7283" w:rsidRDefault="00A34489"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21</w:instrText>
      </w:r>
      <w:r>
        <w:fldChar w:fldCharType="end"/>
      </w:r>
      <w:r>
        <w:instrText>.</w:instrText>
      </w:r>
      <w:r>
        <w:tab/>
      </w:r>
      <w:r>
        <w:fldChar w:fldCharType="end"/>
      </w:r>
      <w:r>
        <w:t xml:space="preserve">What would matter from a trade union perspective is to </w:t>
      </w:r>
      <w:r w:rsidR="00DF1D7A">
        <w:t>stay firm</w:t>
      </w:r>
      <w:r w:rsidR="009A68E7">
        <w:t xml:space="preserve"> and </w:t>
      </w:r>
      <w:r w:rsidR="00DF1D7A">
        <w:t xml:space="preserve">defend </w:t>
      </w:r>
      <w:r w:rsidR="009A68E7">
        <w:t xml:space="preserve">a worker-friendly sustainable </w:t>
      </w:r>
      <w:r w:rsidR="00DF1D7A">
        <w:t xml:space="preserve">development </w:t>
      </w:r>
      <w:r w:rsidR="009A68E7">
        <w:t xml:space="preserve">model of growth </w:t>
      </w:r>
      <w:r w:rsidR="00DF1D7A">
        <w:t>whenever a policy debate takes place on the role of private sector in development cooperation. A number of trade union policy priorities are suggested in this chapter.</w:t>
      </w:r>
    </w:p>
    <w:p w:rsidR="00A34489" w:rsidRPr="00A34489" w:rsidRDefault="00A34489" w:rsidP="008E7283">
      <w:pPr>
        <w:pStyle w:val="Num-DocParagraph"/>
      </w:pPr>
    </w:p>
    <w:p w:rsidR="006C1426" w:rsidRDefault="00C35B51" w:rsidP="006C1426">
      <w:pPr>
        <w:pStyle w:val="Heading2"/>
      </w:pPr>
      <w:bookmarkStart w:id="39" w:name="_Toc381823850"/>
      <w:bookmarkStart w:id="40" w:name="_Toc382332820"/>
      <w:bookmarkStart w:id="41" w:name="_Toc382512096"/>
      <w:r>
        <w:lastRenderedPageBreak/>
        <w:t>Asserting t</w:t>
      </w:r>
      <w:r w:rsidR="006C1426">
        <w:t>he developmental role of the state</w:t>
      </w:r>
      <w:bookmarkEnd w:id="39"/>
      <w:bookmarkEnd w:id="40"/>
      <w:bookmarkEnd w:id="41"/>
    </w:p>
    <w:p w:rsidR="006C1426" w:rsidRDefault="006C1426" w:rsidP="006C1426">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22</w:instrText>
      </w:r>
      <w:r>
        <w:fldChar w:fldCharType="end"/>
      </w:r>
      <w:r>
        <w:instrText>.</w:instrText>
      </w:r>
      <w:r>
        <w:tab/>
      </w:r>
      <w:r>
        <w:fldChar w:fldCharType="end"/>
      </w:r>
      <w:r>
        <w:t xml:space="preserve">One major concern trade unions have with this gravitation towards the private sector is that it undercuts the developmental role of the state and its institutions for delivering public services, for example.  The very motivation that underpins private sector activity, namely its profit seeking nature, </w:t>
      </w:r>
      <w:r w:rsidR="009A68E7">
        <w:t>i</w:t>
      </w:r>
      <w:r>
        <w:t>s not necessarily aligned with development objectives. Trade unions should not accept that the private sector becomes a suitable replacement to the state in delivering essential services, and as a result public finance should continue to be used to strengthen state institutions.</w:t>
      </w:r>
    </w:p>
    <w:p w:rsidR="00DA4981" w:rsidRDefault="009A68E7" w:rsidP="009A68E7">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23</w:instrText>
      </w:r>
      <w:r>
        <w:fldChar w:fldCharType="end"/>
      </w:r>
      <w:r>
        <w:instrText>.</w:instrText>
      </w:r>
      <w:r>
        <w:tab/>
      </w:r>
      <w:r>
        <w:fldChar w:fldCharType="end"/>
      </w:r>
      <w:r w:rsidR="006C1426">
        <w:t>Development cooperation should sustain and reinforce the role of public administration and services in developing countries</w:t>
      </w:r>
      <w:r>
        <w:t xml:space="preserve">. There is a real risk that </w:t>
      </w:r>
      <w:r w:rsidR="006C1426">
        <w:t xml:space="preserve">diverting scarce ODA resource </w:t>
      </w:r>
      <w:r>
        <w:t>private sector for development initiative would in the end help extend PPP financing and privatisations and hence weaken public services</w:t>
      </w:r>
      <w:r w:rsidR="006C1426">
        <w:t xml:space="preserve">. </w:t>
      </w:r>
      <w:r w:rsidRPr="00F12943">
        <w:t xml:space="preserve">OECD countries have committed, but so far have failed to raise ODA to 0.7% of their Gross National Income (GNI). </w:t>
      </w:r>
      <w:r w:rsidR="006C1426">
        <w:t xml:space="preserve">In times of austerity-related ODA cuts, there is </w:t>
      </w:r>
      <w:r>
        <w:t xml:space="preserve">also </w:t>
      </w:r>
      <w:r w:rsidR="006C1426">
        <w:t xml:space="preserve">a risk that any increase in support for private sector </w:t>
      </w:r>
      <w:r>
        <w:t xml:space="preserve">for </w:t>
      </w:r>
      <w:r w:rsidR="006C1426">
        <w:t xml:space="preserve">development </w:t>
      </w:r>
      <w:r>
        <w:t xml:space="preserve">initiatives </w:t>
      </w:r>
      <w:r w:rsidR="006C1426">
        <w:t>would end in depriving other essential traditional ODA sectors of their means.</w:t>
      </w:r>
    </w:p>
    <w:p w:rsidR="003D1749" w:rsidRPr="003D1749" w:rsidRDefault="003D1749" w:rsidP="003D1749">
      <w:pPr>
        <w:pStyle w:val="Num-DocParagraph"/>
      </w:pPr>
    </w:p>
    <w:p w:rsidR="008E7283" w:rsidRDefault="009A68E7" w:rsidP="008E7283">
      <w:pPr>
        <w:pStyle w:val="Heading2"/>
      </w:pPr>
      <w:bookmarkStart w:id="42" w:name="_Toc378166824"/>
      <w:bookmarkStart w:id="43" w:name="_Toc381823857"/>
      <w:bookmarkStart w:id="44" w:name="_Toc382332827"/>
      <w:bookmarkStart w:id="45" w:name="_Toc382512097"/>
      <w:r>
        <w:t>Upholding a rights-based approach</w:t>
      </w:r>
      <w:r w:rsidR="00C35B51">
        <w:t xml:space="preserve"> to development</w:t>
      </w:r>
      <w:bookmarkEnd w:id="42"/>
      <w:bookmarkEnd w:id="43"/>
      <w:bookmarkEnd w:id="44"/>
      <w:r w:rsidR="00C35B51">
        <w:t xml:space="preserve"> through rule of law &amp; social dialogue</w:t>
      </w:r>
      <w:bookmarkEnd w:id="45"/>
    </w:p>
    <w:p w:rsidR="00C35B51" w:rsidRDefault="00C35B51" w:rsidP="00C35B51">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24</w:instrText>
      </w:r>
      <w:r>
        <w:fldChar w:fldCharType="end"/>
      </w:r>
      <w:r>
        <w:instrText>.</w:instrText>
      </w:r>
      <w:r>
        <w:tab/>
      </w:r>
      <w:r>
        <w:fldChar w:fldCharType="end"/>
      </w:r>
      <w:r>
        <w:t xml:space="preserve">If any, the narrative on private sector for development relegates rights-approaches </w:t>
      </w:r>
      <w:r w:rsidRPr="009A7F20">
        <w:t xml:space="preserve">to </w:t>
      </w:r>
      <w:r>
        <w:t xml:space="preserve">development, and with that human rights and labour rights as defined by the ILO, at best as </w:t>
      </w:r>
      <w:r w:rsidRPr="009A7F20">
        <w:t xml:space="preserve">a </w:t>
      </w:r>
      <w:r>
        <w:t>“</w:t>
      </w:r>
      <w:r w:rsidRPr="009A7F20">
        <w:t>sideshow</w:t>
      </w:r>
      <w:r>
        <w:t xml:space="preserve">”. As discussed in this paper, policy reforms that are most </w:t>
      </w:r>
      <w:r w:rsidRPr="009A7F20">
        <w:t>favour</w:t>
      </w:r>
      <w:r>
        <w:t>ed are those that services private</w:t>
      </w:r>
      <w:r w:rsidRPr="009A7F20">
        <w:t xml:space="preserve"> business</w:t>
      </w:r>
      <w:r>
        <w:t>es</w:t>
      </w:r>
      <w:r w:rsidRPr="009A7F20">
        <w:t xml:space="preserve"> and </w:t>
      </w:r>
      <w:r>
        <w:t xml:space="preserve">private </w:t>
      </w:r>
      <w:r w:rsidRPr="009A7F20">
        <w:t>contract</w:t>
      </w:r>
      <w:r>
        <w:t>ing</w:t>
      </w:r>
      <w:r w:rsidRPr="009A7F20">
        <w:t>.</w:t>
      </w:r>
      <w:r>
        <w:t xml:space="preserve"> In response</w:t>
      </w:r>
      <w:r w:rsidR="009233EC">
        <w:t>,</w:t>
      </w:r>
      <w:r>
        <w:t xml:space="preserve"> trade unions should stand firm on key principles for a rights-approach to development: rule of law </w:t>
      </w:r>
      <w:r w:rsidR="00E56099">
        <w:t>and social dialogue.</w:t>
      </w:r>
    </w:p>
    <w:p w:rsidR="00C35B51" w:rsidRDefault="00C35B51" w:rsidP="00C35B51"/>
    <w:p w:rsidR="00C35B51" w:rsidRDefault="00C35B51" w:rsidP="00C35B51">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25</w:instrText>
      </w:r>
      <w:r>
        <w:fldChar w:fldCharType="end"/>
      </w:r>
      <w:r>
        <w:instrText>.</w:instrText>
      </w:r>
      <w:r>
        <w:tab/>
      </w:r>
      <w:r>
        <w:fldChar w:fldCharType="end"/>
      </w:r>
      <w:r>
        <w:t>T</w:t>
      </w:r>
      <w:r w:rsidR="00F12943" w:rsidRPr="00C35B51">
        <w:t xml:space="preserve">he concept of rule of law is crucial for trade unions and for an obvious reason. </w:t>
      </w:r>
      <w:r>
        <w:t xml:space="preserve">The policy framework that prevail under private sector for development, and the one that guides the “inclusive business” model in particular, </w:t>
      </w:r>
      <w:r w:rsidR="00F12943" w:rsidRPr="00C35B51">
        <w:t xml:space="preserve">skews the notion of </w:t>
      </w:r>
      <w:r>
        <w:t>rule of law</w:t>
      </w:r>
      <w:r w:rsidR="00F12943" w:rsidRPr="00C35B51">
        <w:t xml:space="preserve"> to fit it into a very narrow, free market conceptual pattern. This does not correspond to the general concept and use of </w:t>
      </w:r>
      <w:r>
        <w:t>the concept</w:t>
      </w:r>
      <w:r w:rsidR="00F12943" w:rsidRPr="00C35B51">
        <w:t>, which is more centred around human rights and proper administration of justice.</w:t>
      </w:r>
      <w:r>
        <w:t xml:space="preserve"> </w:t>
      </w:r>
      <w:r w:rsidRPr="00C35B51">
        <w:t>R</w:t>
      </w:r>
      <w:r>
        <w:t xml:space="preserve">ule </w:t>
      </w:r>
      <w:r w:rsidRPr="00C35B51">
        <w:t>o</w:t>
      </w:r>
      <w:r>
        <w:t xml:space="preserve">f </w:t>
      </w:r>
      <w:r w:rsidRPr="00C35B51">
        <w:t>L</w:t>
      </w:r>
      <w:r>
        <w:t>aw</w:t>
      </w:r>
      <w:r w:rsidRPr="00C35B51">
        <w:t xml:space="preserve"> is a decisive element in the fulfilment and enforceability of rights, and of rights at work in particular. Without </w:t>
      </w:r>
      <w:r>
        <w:t>rule of law</w:t>
      </w:r>
      <w:r w:rsidRPr="00C35B51">
        <w:t>, there can be no protection of citizens’ rights, including the fundamental rights to freedom of association and collective bargaining as outlined in the ILO Conventions n°87 &amp; 98.</w:t>
      </w:r>
    </w:p>
    <w:p w:rsidR="008E7283" w:rsidRPr="00C35B51" w:rsidRDefault="00C35B51"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26</w:instrText>
      </w:r>
      <w:r>
        <w:fldChar w:fldCharType="end"/>
      </w:r>
      <w:r>
        <w:instrText>.</w:instrText>
      </w:r>
      <w:r>
        <w:tab/>
      </w:r>
      <w:r>
        <w:fldChar w:fldCharType="end"/>
      </w:r>
      <w:r>
        <w:t>S</w:t>
      </w:r>
      <w:r w:rsidR="008E7283" w:rsidRPr="00C35B51">
        <w:t>ocial dialogue is critical for ensuring that the private sector is respecting these normative frameworks. Social dialogue helps to ensure broad based democratic ownership of economic and social development objectives, including respect for core labour standards and the promotion of social equity. Through social dialogue, employers and workers representatives contribute to shaping effective social and economic development strategies while providing effective means for conflict management and contributing to social peace. The social partners together should be recognised as development actors in their own right.</w:t>
      </w:r>
    </w:p>
    <w:p w:rsidR="008E7283" w:rsidRPr="008E7283" w:rsidRDefault="008E7283" w:rsidP="008E7283">
      <w:pPr>
        <w:pStyle w:val="Num-DocParagraph"/>
      </w:pPr>
    </w:p>
    <w:p w:rsidR="008E7283" w:rsidRDefault="008E7283" w:rsidP="008E7283">
      <w:pPr>
        <w:pStyle w:val="Heading2"/>
      </w:pPr>
      <w:bookmarkStart w:id="46" w:name="_Toc378166825"/>
      <w:bookmarkStart w:id="47" w:name="_Toc378149377"/>
      <w:bookmarkStart w:id="48" w:name="_Toc381823858"/>
      <w:bookmarkStart w:id="49" w:name="_Toc382332828"/>
      <w:bookmarkStart w:id="50" w:name="_Toc382512098"/>
      <w:r>
        <w:lastRenderedPageBreak/>
        <w:t xml:space="preserve">Holding </w:t>
      </w:r>
      <w:r w:rsidR="00773760">
        <w:t xml:space="preserve">multinational </w:t>
      </w:r>
      <w:r>
        <w:t>businesses to account</w:t>
      </w:r>
      <w:bookmarkEnd w:id="46"/>
      <w:bookmarkEnd w:id="47"/>
      <w:bookmarkEnd w:id="48"/>
      <w:bookmarkEnd w:id="49"/>
      <w:bookmarkEnd w:id="50"/>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27</w:instrText>
      </w:r>
      <w:r>
        <w:fldChar w:fldCharType="end"/>
      </w:r>
      <w:r>
        <w:instrText>.</w:instrText>
      </w:r>
      <w:r>
        <w:tab/>
      </w:r>
      <w:r>
        <w:fldChar w:fldCharType="end"/>
      </w:r>
      <w:r w:rsidR="009233EC">
        <w:t>The private sector is an essential engine of growth and job creation. What matters however is that wealth created by growth is shared within society and that job creation is based on decent work principles. There</w:t>
      </w:r>
      <w:r>
        <w:t xml:space="preserve"> is no automatic cause-effect relationship </w:t>
      </w:r>
      <w:r w:rsidR="009233EC">
        <w:t xml:space="preserve">however </w:t>
      </w:r>
      <w:r>
        <w:t xml:space="preserve">between private sector development </w:t>
      </w:r>
      <w:r w:rsidR="009233EC">
        <w:t xml:space="preserve">on the one hand </w:t>
      </w:r>
      <w:r>
        <w:t xml:space="preserve">and </w:t>
      </w:r>
      <w:r w:rsidR="009233EC">
        <w:t xml:space="preserve">shared development and </w:t>
      </w:r>
      <w:r>
        <w:t>decent work creation</w:t>
      </w:r>
      <w:r w:rsidR="00773760">
        <w:t>. That is particular true in countries where rule of law is weak and where there is a deficit of social dialogue. Multinational enterprises (MNEs)</w:t>
      </w:r>
      <w:r w:rsidR="00A0560C">
        <w:t>, from both developed and developing countries also have a role and responsibility however in delivering decent work and shared wealth creation. They</w:t>
      </w:r>
      <w:r w:rsidR="008F1A8D">
        <w:t xml:space="preserve"> </w:t>
      </w:r>
      <w:r>
        <w:t xml:space="preserve">must be held to account for the activities and must promote and adhere to international transparency and accountability standards in development cooperation.  MNEs and their </w:t>
      </w:r>
      <w:r w:rsidR="00A0560C">
        <w:t xml:space="preserve">local </w:t>
      </w:r>
      <w:r>
        <w:t xml:space="preserve">private sector partners should respect and apply the ILO principles and labour standards </w:t>
      </w:r>
      <w:r w:rsidR="00A0560C">
        <w:t>and, within their operations and in their business relationships, strictly observe the requirements laid down in the U</w:t>
      </w:r>
      <w:r>
        <w:t>nited Natio</w:t>
      </w:r>
      <w:r w:rsidR="00A0560C">
        <w:t>ns Guiding Principles on Business and Human Rights</w:t>
      </w:r>
      <w:r w:rsidR="000C510F">
        <w:t xml:space="preserve"> –</w:t>
      </w:r>
      <w:r w:rsidR="00A0560C">
        <w:t xml:space="preserve"> including the “Protect, Respect and Remedy”</w:t>
      </w:r>
      <w:r>
        <w:t xml:space="preserve"> </w:t>
      </w:r>
      <w:r w:rsidR="00A0560C">
        <w:t>principle</w:t>
      </w:r>
      <w:r w:rsidR="000C510F">
        <w:t xml:space="preserve"> – the </w:t>
      </w:r>
      <w:r>
        <w:t>ILO Tripartite Declar</w:t>
      </w:r>
      <w:r w:rsidR="000C510F">
        <w:t>ation on MNEs and Social Policy</w:t>
      </w:r>
      <w:r>
        <w:t xml:space="preserve"> and </w:t>
      </w:r>
      <w:r w:rsidR="000C510F">
        <w:t xml:space="preserve">of </w:t>
      </w:r>
      <w:r>
        <w:t>the OECD Guidelines for MNEs.</w:t>
      </w:r>
    </w:p>
    <w:p w:rsidR="009A68E7" w:rsidRPr="00986235" w:rsidRDefault="003D1749" w:rsidP="008D619D">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28</w:instrText>
      </w:r>
      <w:r>
        <w:fldChar w:fldCharType="end"/>
      </w:r>
      <w:r>
        <w:instrText>.</w:instrText>
      </w:r>
      <w:r>
        <w:tab/>
      </w:r>
      <w:r>
        <w:fldChar w:fldCharType="end"/>
      </w:r>
      <w:r w:rsidR="000C510F">
        <w:t>Other than job creation based on decent work conditions, p</w:t>
      </w:r>
      <w:r w:rsidR="009A68E7" w:rsidRPr="009A68E7">
        <w:t xml:space="preserve">erhaps the prime role that private sector can have in development cooperation is to ensure that it pays its fair share of taxes. Yet, business groups continue to parrot the notion of a favourable business climate, like tax incentives.  It is </w:t>
      </w:r>
      <w:r w:rsidR="00115465">
        <w:t xml:space="preserve">incoherent, if not </w:t>
      </w:r>
      <w:r w:rsidR="009A68E7" w:rsidRPr="009A68E7">
        <w:t>unacceptable</w:t>
      </w:r>
      <w:r w:rsidR="00115465">
        <w:t>,</w:t>
      </w:r>
      <w:r w:rsidR="009A68E7" w:rsidRPr="009A68E7">
        <w:t xml:space="preserve"> to forego discussion </w:t>
      </w:r>
      <w:r w:rsidR="00115465">
        <w:t>on curbing</w:t>
      </w:r>
      <w:r w:rsidR="009A68E7" w:rsidRPr="009A68E7">
        <w:t xml:space="preserve"> tax</w:t>
      </w:r>
      <w:r w:rsidR="00115465">
        <w:t xml:space="preserve"> evasion and “aggressive tax planning” by MNEs in the policy debate on private sector for development</w:t>
      </w:r>
      <w:r w:rsidR="009A68E7" w:rsidRPr="009A68E7">
        <w:t>. Tax evasion by multinational companies in developing countries (</w:t>
      </w:r>
      <w:r w:rsidR="000C510F">
        <w:t xml:space="preserve">estimated well above </w:t>
      </w:r>
      <w:r w:rsidR="009A68E7" w:rsidRPr="009A68E7">
        <w:t>EUR1</w:t>
      </w:r>
      <w:r w:rsidR="000C510F">
        <w:t>00</w:t>
      </w:r>
      <w:r w:rsidR="009A68E7" w:rsidRPr="009A68E7">
        <w:t>bn/ year) represent more than ODA.</w:t>
      </w:r>
      <w:r w:rsidR="00115465">
        <w:t xml:space="preserve"> The G20-endorsed OECD Action Plan on Base Erosion and Profit Shifting (BEPS) provide</w:t>
      </w:r>
      <w:r w:rsidR="008B35BE">
        <w:t>s</w:t>
      </w:r>
      <w:r w:rsidR="00115465">
        <w:t xml:space="preserve"> for a good basis for international cooperation on tax avoidance by MNEs. But it needs to b</w:t>
      </w:r>
      <w:r w:rsidR="008B35BE">
        <w:t>e implemented effectively</w:t>
      </w:r>
      <w:r w:rsidR="00115465">
        <w:t xml:space="preserve">. Key measures </w:t>
      </w:r>
      <w:r w:rsidR="008B35BE">
        <w:t xml:space="preserve">that would help meet expectations include (i) </w:t>
      </w:r>
      <w:r w:rsidR="00115465">
        <w:t>a fundamental</w:t>
      </w:r>
      <w:r w:rsidR="00115465" w:rsidRPr="00115465">
        <w:t xml:space="preserve"> </w:t>
      </w:r>
      <w:r w:rsidR="00115465">
        <w:t xml:space="preserve">revision of how MNEs are allowed to </w:t>
      </w:r>
      <w:r w:rsidR="00A856AF">
        <w:t xml:space="preserve">calculate </w:t>
      </w:r>
      <w:r w:rsidR="00115465">
        <w:t xml:space="preserve">intra-group transfer pricing </w:t>
      </w:r>
      <w:r w:rsidR="00A856AF">
        <w:t>(</w:t>
      </w:r>
      <w:r w:rsidR="008B35BE">
        <w:t>as set in the OECD Transfer Pricing Guidelines)</w:t>
      </w:r>
      <w:r w:rsidR="00A856AF">
        <w:t xml:space="preserve"> and </w:t>
      </w:r>
      <w:r w:rsidR="008B35BE">
        <w:t xml:space="preserve">(ii) </w:t>
      </w:r>
      <w:r w:rsidR="00A856AF">
        <w:t>mandatory disclos</w:t>
      </w:r>
      <w:r w:rsidR="008D619D">
        <w:t>ur</w:t>
      </w:r>
      <w:r w:rsidR="00A856AF">
        <w:t xml:space="preserve">e </w:t>
      </w:r>
      <w:r w:rsidR="00115465">
        <w:t>country-by-country tax reporting</w:t>
      </w:r>
      <w:r w:rsidR="00A856AF">
        <w:t xml:space="preserve">. Regarding tax evasion, enforcing </w:t>
      </w:r>
      <w:r w:rsidR="00115465">
        <w:t>automatic exchange of information between tax authorities (</w:t>
      </w:r>
      <w:r w:rsidR="00A856AF">
        <w:t xml:space="preserve">by opposition to </w:t>
      </w:r>
      <w:r w:rsidR="00115465">
        <w:t xml:space="preserve">exchange </w:t>
      </w:r>
      <w:r w:rsidR="00A856AF">
        <w:t>“</w:t>
      </w:r>
      <w:r w:rsidR="00115465">
        <w:t>upon request</w:t>
      </w:r>
      <w:r w:rsidR="00A856AF">
        <w:t xml:space="preserve">”) would go a long way in </w:t>
      </w:r>
      <w:r w:rsidR="008D619D">
        <w:t>curbing bank and tax opacity.</w:t>
      </w:r>
    </w:p>
    <w:p w:rsidR="008E7283" w:rsidRPr="008E7283" w:rsidRDefault="008E7283" w:rsidP="008E7283">
      <w:pPr>
        <w:pStyle w:val="Num-DocParagraph"/>
      </w:pPr>
    </w:p>
    <w:p w:rsidR="008E7283" w:rsidRDefault="003D1749" w:rsidP="008E7283">
      <w:pPr>
        <w:pStyle w:val="Heading2"/>
      </w:pPr>
      <w:bookmarkStart w:id="51" w:name="_Toc378166826"/>
      <w:bookmarkStart w:id="52" w:name="_Toc381823859"/>
      <w:bookmarkStart w:id="53" w:name="_Toc382332829"/>
      <w:bookmarkStart w:id="54" w:name="_Toc382512099"/>
      <w:r>
        <w:t>Setting standards</w:t>
      </w:r>
      <w:r w:rsidR="00DA4981">
        <w:t xml:space="preserve"> for aid effectiveness</w:t>
      </w:r>
      <w:r>
        <w:t>, m</w:t>
      </w:r>
      <w:r w:rsidR="008E7283">
        <w:t>easuring impacts and results</w:t>
      </w:r>
      <w:bookmarkEnd w:id="51"/>
      <w:bookmarkEnd w:id="52"/>
      <w:bookmarkEnd w:id="53"/>
      <w:bookmarkEnd w:id="54"/>
    </w:p>
    <w:p w:rsidR="008E7283" w:rsidRDefault="00DA4981"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29</w:instrText>
      </w:r>
      <w:r>
        <w:fldChar w:fldCharType="end"/>
      </w:r>
      <w:r>
        <w:instrText>.</w:instrText>
      </w:r>
      <w:r>
        <w:tab/>
      </w:r>
      <w:r>
        <w:fldChar w:fldCharType="end"/>
      </w:r>
      <w:r w:rsidR="00571B94">
        <w:t>If the private sector wishes to be a “partner” in development, it should live up to the effectiveness agenda especially transparency, accountability and development impact evaluation. In practical terms, private sector should fully adhere to principles of development effectiveness. T</w:t>
      </w:r>
      <w:r w:rsidR="008E7283">
        <w:t>he need of results measurement on the impact of private sector development programmes is essential if indeed business is to be held to account. Private sector in development should demonstratively prove the economic, social and environmental impact and contribution to economic growth and wealth creation for those segments of society that are most affected by povert</w:t>
      </w:r>
      <w:r w:rsidR="00571B94">
        <w:t xml:space="preserve">y. This remains underdeveloped </w:t>
      </w:r>
      <w:r w:rsidR="008E7283">
        <w:t xml:space="preserve">and is not given its due emphasis in current agenda on </w:t>
      </w:r>
      <w:r w:rsidR="00571B94">
        <w:t>private sector for development.</w:t>
      </w:r>
    </w:p>
    <w:p w:rsidR="008E7283" w:rsidRDefault="008E7283" w:rsidP="008E7283">
      <w:pPr>
        <w:pStyle w:val="Heading2"/>
      </w:pPr>
      <w:bookmarkStart w:id="55" w:name="_Toc378149378"/>
      <w:bookmarkStart w:id="56" w:name="_Toc378166827"/>
      <w:bookmarkStart w:id="57" w:name="_Toc381823860"/>
      <w:bookmarkStart w:id="58" w:name="_Toc382332830"/>
      <w:bookmarkStart w:id="59" w:name="_Toc382512100"/>
      <w:r>
        <w:lastRenderedPageBreak/>
        <w:t>Support</w:t>
      </w:r>
      <w:r w:rsidR="003D1749">
        <w:t>ing</w:t>
      </w:r>
      <w:r>
        <w:t xml:space="preserve"> SMEs</w:t>
      </w:r>
      <w:r w:rsidR="003D1749">
        <w:t xml:space="preserve"> and entrepreneurship</w:t>
      </w:r>
      <w:r>
        <w:t>, tackling informal</w:t>
      </w:r>
      <w:bookmarkEnd w:id="55"/>
      <w:r>
        <w:t>ity</w:t>
      </w:r>
      <w:bookmarkEnd w:id="56"/>
      <w:bookmarkEnd w:id="57"/>
      <w:bookmarkEnd w:id="58"/>
      <w:bookmarkEnd w:id="59"/>
    </w:p>
    <w:p w:rsidR="008E7283" w:rsidRDefault="008E7283"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30</w:instrText>
      </w:r>
      <w:r>
        <w:fldChar w:fldCharType="end"/>
      </w:r>
      <w:r>
        <w:instrText>.</w:instrText>
      </w:r>
      <w:r>
        <w:tab/>
      </w:r>
      <w:r>
        <w:fldChar w:fldCharType="end"/>
      </w:r>
      <w:r>
        <w:t xml:space="preserve">Incubating small and medium enterprises (SMEs) through policy space and </w:t>
      </w:r>
      <w:r w:rsidR="00571B94">
        <w:t xml:space="preserve">public </w:t>
      </w:r>
      <w:r>
        <w:t>support is quite different than offering incentives to at</w:t>
      </w:r>
      <w:r w:rsidR="00571B94">
        <w:t xml:space="preserve">tract foreign direct investment </w:t>
      </w:r>
      <w:r>
        <w:t>though both could fall under the rubric of creating an enabling environment for the private sector. If efforts to achieve economic independence through sustainable industry it is crucial that local industries can survive and compete in global markets, and therefore need to be afforded the opportunity to “mature” to a productive efficiency and capacity to compete.</w:t>
      </w:r>
    </w:p>
    <w:p w:rsidR="008E7283" w:rsidRDefault="003D1749" w:rsidP="008E7283">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31</w:instrText>
      </w:r>
      <w:r>
        <w:fldChar w:fldCharType="end"/>
      </w:r>
      <w:r>
        <w:instrText>.</w:instrText>
      </w:r>
      <w:r>
        <w:tab/>
      </w:r>
      <w:r>
        <w:fldChar w:fldCharType="end"/>
      </w:r>
      <w:r w:rsidR="008E7283">
        <w:t xml:space="preserve">The importance of SMEs also stems from their role in the informal economy. While the </w:t>
      </w:r>
      <w:r w:rsidR="00571B94">
        <w:t xml:space="preserve">private sector for development </w:t>
      </w:r>
      <w:r w:rsidR="008E7283">
        <w:t>agenda would often favour business friendly regulatory “simplification” and cutting red tape, any such regulatory reform should first aim at tackling informality and the shadow economy. Reducing regulatory burden on business is desirable on the strict conditions that it does not impeded on stakeholders’ rights and help reduce the size of the informal sector.</w:t>
      </w:r>
    </w:p>
    <w:p w:rsidR="00A34489" w:rsidRDefault="003A5984" w:rsidP="00A34489">
      <w:pPr>
        <w:pStyle w:val="Heading1"/>
      </w:pPr>
      <w:bookmarkStart w:id="60" w:name="_Toc382512101"/>
      <w:r>
        <w:t>Wrap-up</w:t>
      </w:r>
      <w:bookmarkEnd w:id="60"/>
    </w:p>
    <w:p w:rsidR="00A34489" w:rsidRDefault="009A68E7" w:rsidP="00A34489">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32</w:instrText>
      </w:r>
      <w:r>
        <w:fldChar w:fldCharType="end"/>
      </w:r>
      <w:r>
        <w:instrText>.</w:instrText>
      </w:r>
      <w:r>
        <w:tab/>
      </w:r>
      <w:r>
        <w:fldChar w:fldCharType="end"/>
      </w:r>
      <w:r w:rsidR="00A34489">
        <w:t>Private sector is an important engine of economic growth and wealth creation. But to be effective and benefit the people, it needs to be framed within a normative approach to development – one that guarantees rights – and a vision of governments that maintain its developmental leadership role. This is where the current agenda on private sector for development is failing to deliver.</w:t>
      </w:r>
      <w:r w:rsidR="003A5984">
        <w:t xml:space="preserve"> Still, and as discussed in this paper, private sector for development initiatives can take many forms, depending on national and local context. It would be difficult, if not impossible to propose a definitive and comprehensive understanding of its underpinnings and from there to propose a definitive positioning for the international labour movement to adopt.</w:t>
      </w:r>
    </w:p>
    <w:p w:rsidR="00A34489" w:rsidRPr="00A34489" w:rsidRDefault="009A68E7" w:rsidP="003D1749">
      <w:pPr>
        <w:pStyle w:val="Num-DocParagraph"/>
      </w:pPr>
      <w:r>
        <w:fldChar w:fldCharType="begin"/>
      </w:r>
      <w:r>
        <w:instrText xml:space="preserve"> MACROBUTTON NUMBERING </w:instrText>
      </w:r>
      <w:r>
        <w:fldChar w:fldCharType="begin"/>
      </w:r>
      <w:r>
        <w:instrText xml:space="preserve"> SEQ  dpara</w:instrText>
      </w:r>
      <w:r>
        <w:fldChar w:fldCharType="separate"/>
      </w:r>
      <w:r w:rsidR="00EF7788">
        <w:rPr>
          <w:noProof/>
        </w:rPr>
        <w:instrText>33</w:instrText>
      </w:r>
      <w:r>
        <w:fldChar w:fldCharType="end"/>
      </w:r>
      <w:r>
        <w:instrText>.</w:instrText>
      </w:r>
      <w:r>
        <w:tab/>
      </w:r>
      <w:r>
        <w:fldChar w:fldCharType="end"/>
      </w:r>
      <w:r w:rsidRPr="009A68E7">
        <w:t xml:space="preserve"> </w:t>
      </w:r>
      <w:r w:rsidR="00EF7788">
        <w:t xml:space="preserve">What can trade unions do when they are solicited and engaged in national and international policy forums on private sector for development? This paper suggest a number </w:t>
      </w:r>
      <w:r w:rsidR="003A5984">
        <w:t>of policy priorities. First, the</w:t>
      </w:r>
      <w:r w:rsidR="00EF7788">
        <w:t xml:space="preserve"> d</w:t>
      </w:r>
      <w:r w:rsidR="003A5984">
        <w:t xml:space="preserve">evelopmental role of the state and of public authorities should asserted, and with no compromise. Second, </w:t>
      </w:r>
      <w:r w:rsidR="00EF7788">
        <w:t xml:space="preserve">a rights-based approach to development through </w:t>
      </w:r>
      <w:r w:rsidR="003A5984">
        <w:t xml:space="preserve">human rights-based and democracy-led rule of law &amp; social dialogue are to be upheld. From there, the trade union voice should highlight the responsibility of </w:t>
      </w:r>
      <w:r w:rsidR="00EF7788">
        <w:t xml:space="preserve">multinational businesses </w:t>
      </w:r>
      <w:r w:rsidR="003A5984">
        <w:t xml:space="preserve">in contributing to decent job creation and to domestic resource mobilisation (paying their fair share of taxes). Last but not least, any involvement of private sector party in a development oriented program should observe </w:t>
      </w:r>
      <w:r w:rsidR="00EF7788">
        <w:t>standards for aid effectiveness</w:t>
      </w:r>
      <w:r w:rsidR="003A5984">
        <w:t xml:space="preserve"> that apply to public parties and priority should be given to s</w:t>
      </w:r>
      <w:r w:rsidR="00EF7788">
        <w:t>upporting SMEs and entrepreneurship</w:t>
      </w:r>
      <w:r w:rsidR="003A5984">
        <w:t xml:space="preserve"> and</w:t>
      </w:r>
      <w:r w:rsidR="00EF7788">
        <w:t xml:space="preserve"> tackling informality</w:t>
      </w:r>
      <w:r w:rsidR="003A5984">
        <w:t>.</w:t>
      </w:r>
    </w:p>
    <w:sectPr w:rsidR="00A34489" w:rsidRPr="00A34489" w:rsidSect="00EF7788">
      <w:headerReference w:type="even" r:id="rId11"/>
      <w:headerReference w:type="default" r:id="rId12"/>
      <w:footerReference w:type="even" r:id="rId13"/>
      <w:footerReference w:type="default" r:id="rId14"/>
      <w:endnotePr>
        <w:numFmt w:val="decimal"/>
      </w:endnotePr>
      <w:pgSz w:w="11906" w:h="16838"/>
      <w:pgMar w:top="1984" w:right="1247" w:bottom="1814" w:left="1191" w:header="1247" w:footer="12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61" w:rsidRDefault="00682361">
      <w:r>
        <w:separator/>
      </w:r>
    </w:p>
  </w:endnote>
  <w:endnote w:type="continuationSeparator" w:id="0">
    <w:p w:rsidR="00682361" w:rsidRDefault="0068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5F" w:rsidRDefault="004D295F" w:rsidP="00520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F22">
      <w:rPr>
        <w:rStyle w:val="PageNumber"/>
        <w:noProof/>
      </w:rPr>
      <w:t>10</w:t>
    </w:r>
    <w:r>
      <w:rPr>
        <w:rStyle w:val="PageNumber"/>
      </w:rPr>
      <w:fldChar w:fldCharType="end"/>
    </w:r>
  </w:p>
  <w:p w:rsidR="004D295F" w:rsidRPr="008E7283" w:rsidRDefault="004D295F" w:rsidP="008E7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5F" w:rsidRDefault="004D295F" w:rsidP="008E7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F22">
      <w:rPr>
        <w:rStyle w:val="PageNumber"/>
        <w:noProof/>
      </w:rPr>
      <w:t>1</w:t>
    </w:r>
    <w:r>
      <w:rPr>
        <w:rStyle w:val="PageNumber"/>
      </w:rPr>
      <w:fldChar w:fldCharType="end"/>
    </w:r>
  </w:p>
  <w:p w:rsidR="004D295F" w:rsidRPr="008E7283" w:rsidRDefault="004D295F" w:rsidP="008E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61" w:rsidRDefault="00682361">
      <w:r>
        <w:separator/>
      </w:r>
    </w:p>
  </w:footnote>
  <w:footnote w:type="continuationSeparator" w:id="0">
    <w:p w:rsidR="00682361" w:rsidRDefault="0068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5F" w:rsidRPr="00D841BD" w:rsidRDefault="00D841BD" w:rsidP="008E7283">
    <w:pPr>
      <w:pStyle w:val="Header"/>
      <w:rPr>
        <w:lang w:val="fr-FR"/>
      </w:rPr>
    </w:pPr>
    <w:r>
      <w:rPr>
        <w:lang w:val="fr-FR"/>
      </w:rPr>
      <w:t>ITUC – TUDCN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5F" w:rsidRPr="008E7283" w:rsidRDefault="004D295F" w:rsidP="008E7283">
    <w:pPr>
      <w:pStyle w:val="Header"/>
      <w:tabs>
        <w:tab w:val="clear" w:pos="4536"/>
        <w:tab w:val="clear" w:pos="9072"/>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6">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7">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nsid w:val="34CA651B"/>
    <w:multiLevelType w:val="hybridMultilevel"/>
    <w:tmpl w:val="6F3AA7D4"/>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2">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3">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4">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5">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6">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7">
    <w:nsid w:val="669D7225"/>
    <w:multiLevelType w:val="hybridMultilevel"/>
    <w:tmpl w:val="B1B64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D654E00"/>
    <w:multiLevelType w:val="hybridMultilevel"/>
    <w:tmpl w:val="3FE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0"/>
  </w:num>
  <w:num w:numId="6">
    <w:abstractNumId w:val="7"/>
  </w:num>
  <w:num w:numId="7">
    <w:abstractNumId w:val="12"/>
  </w:num>
  <w:num w:numId="8">
    <w:abstractNumId w:val="14"/>
  </w:num>
  <w:num w:numId="9">
    <w:abstractNumId w:val="15"/>
  </w:num>
  <w:num w:numId="10">
    <w:abstractNumId w:val="10"/>
  </w:num>
  <w:num w:numId="11">
    <w:abstractNumId w:val="16"/>
  </w:num>
  <w:num w:numId="12">
    <w:abstractNumId w:val="13"/>
  </w:num>
  <w:num w:numId="13">
    <w:abstractNumId w:val="1"/>
  </w:num>
  <w:num w:numId="14">
    <w:abstractNumId w:val="9"/>
  </w:num>
  <w:num w:numId="15">
    <w:abstractNumId w:val="5"/>
  </w:num>
  <w:num w:numId="16">
    <w:abstractNumId w:val="6"/>
  </w:num>
  <w:num w:numId="17">
    <w:abstractNumId w:val="17"/>
  </w:num>
  <w:num w:numId="18">
    <w:abstractNumId w:val="8"/>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For Official Use"/>
    <w:docVar w:name="Cote" w:val="TUAC"/>
    <w:docVar w:name="DocumentStyle" w:val="Standard OECD document"/>
    <w:docVar w:name="IsPublication" w:val="0"/>
    <w:docVar w:name="Language" w:val="English"/>
    <w:docVar w:name="PGLANDSCAPE" w:val="0"/>
  </w:docVars>
  <w:rsids>
    <w:rsidRoot w:val="008E7283"/>
    <w:rsid w:val="00004400"/>
    <w:rsid w:val="0000483B"/>
    <w:rsid w:val="00016F8E"/>
    <w:rsid w:val="000808D1"/>
    <w:rsid w:val="000C510F"/>
    <w:rsid w:val="000D45B5"/>
    <w:rsid w:val="00111870"/>
    <w:rsid w:val="00115465"/>
    <w:rsid w:val="00176DC5"/>
    <w:rsid w:val="00177100"/>
    <w:rsid w:val="001E59C5"/>
    <w:rsid w:val="002E6F7E"/>
    <w:rsid w:val="00305803"/>
    <w:rsid w:val="00327D7B"/>
    <w:rsid w:val="00362F22"/>
    <w:rsid w:val="00376B9C"/>
    <w:rsid w:val="003A5984"/>
    <w:rsid w:val="003B570D"/>
    <w:rsid w:val="003D16E5"/>
    <w:rsid w:val="003D1749"/>
    <w:rsid w:val="003D334F"/>
    <w:rsid w:val="004356CB"/>
    <w:rsid w:val="004D295F"/>
    <w:rsid w:val="005206D2"/>
    <w:rsid w:val="00571B94"/>
    <w:rsid w:val="0058623B"/>
    <w:rsid w:val="00590C6D"/>
    <w:rsid w:val="005F1EC1"/>
    <w:rsid w:val="00642D9E"/>
    <w:rsid w:val="00682361"/>
    <w:rsid w:val="006C1426"/>
    <w:rsid w:val="0076049F"/>
    <w:rsid w:val="00773760"/>
    <w:rsid w:val="008B35BE"/>
    <w:rsid w:val="008D619D"/>
    <w:rsid w:val="008E7283"/>
    <w:rsid w:val="008F1A8D"/>
    <w:rsid w:val="009233EC"/>
    <w:rsid w:val="00947044"/>
    <w:rsid w:val="00986235"/>
    <w:rsid w:val="009A68E7"/>
    <w:rsid w:val="00A0560C"/>
    <w:rsid w:val="00A34489"/>
    <w:rsid w:val="00A856AF"/>
    <w:rsid w:val="00B24AFA"/>
    <w:rsid w:val="00C35B51"/>
    <w:rsid w:val="00CD07E8"/>
    <w:rsid w:val="00D81FB1"/>
    <w:rsid w:val="00D841BD"/>
    <w:rsid w:val="00DA4981"/>
    <w:rsid w:val="00DF1D7A"/>
    <w:rsid w:val="00E2677A"/>
    <w:rsid w:val="00E54629"/>
    <w:rsid w:val="00E56099"/>
    <w:rsid w:val="00EF4463"/>
    <w:rsid w:val="00EF7788"/>
    <w:rsid w:val="00F041A5"/>
    <w:rsid w:val="00F12943"/>
    <w:rsid w:val="00FA1483"/>
    <w:rsid w:val="00FC5E14"/>
    <w:rsid w:val="00FE5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7283"/>
    <w:rPr>
      <w:rFonts w:eastAsiaTheme="minorHAnsi" w:cstheme="minorBidi"/>
      <w:sz w:val="24"/>
      <w:szCs w:val="22"/>
      <w:lang w:val="en-GB"/>
    </w:rPr>
  </w:style>
  <w:style w:type="paragraph" w:styleId="Heading1">
    <w:name w:val="heading 1"/>
    <w:basedOn w:val="Normal"/>
    <w:next w:val="Num-DocParagraph"/>
    <w:link w:val="Heading1Char"/>
    <w:uiPriority w:val="9"/>
    <w:qFormat/>
    <w:pPr>
      <w:keepNext/>
      <w:spacing w:before="1200" w:after="720"/>
      <w:jc w:val="center"/>
      <w:outlineLvl w:val="0"/>
    </w:pPr>
    <w:rPr>
      <w:b/>
      <w:bCs/>
      <w:caps/>
      <w:kern w:val="28"/>
    </w:rPr>
  </w:style>
  <w:style w:type="paragraph" w:styleId="Heading2">
    <w:name w:val="heading 2"/>
    <w:basedOn w:val="Normal"/>
    <w:next w:val="Num-DocParagraph"/>
    <w:link w:val="Heading2Char"/>
    <w:uiPriority w:val="9"/>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rPr>
      <w:rFonts w:ascii="Arial" w:hAnsi="Arial" w:cs="Arial"/>
      <w:sz w:val="18"/>
      <w:szCs w:val="18"/>
    </w:rPr>
  </w:style>
  <w:style w:type="paragraph" w:customStyle="1" w:styleId="ColumnsHeading">
    <w:name w:val="Columns Heading"/>
    <w:basedOn w:val="Normal"/>
    <w:pPr>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spacing w:after="240"/>
    </w:pPr>
  </w:style>
  <w:style w:type="paragraph" w:styleId="ListBullet2">
    <w:name w:val="List Bullet 2"/>
    <w:basedOn w:val="Normal"/>
    <w:pPr>
      <w:numPr>
        <w:numId w:val="6"/>
      </w:numPr>
      <w:spacing w:after="240"/>
    </w:pPr>
  </w:style>
  <w:style w:type="paragraph" w:styleId="ListBullet3">
    <w:name w:val="List Bullet 3"/>
    <w:basedOn w:val="Normal"/>
    <w:pPr>
      <w:numPr>
        <w:numId w:val="7"/>
      </w:numPr>
      <w:spacing w:after="240"/>
    </w:pPr>
  </w:style>
  <w:style w:type="paragraph" w:styleId="ListBullet4">
    <w:name w:val="List Bullet 4"/>
    <w:basedOn w:val="Normal"/>
    <w:pPr>
      <w:numPr>
        <w:numId w:val="8"/>
      </w:numPr>
      <w:spacing w:after="240"/>
    </w:pPr>
  </w:style>
  <w:style w:type="paragraph" w:styleId="ListBullet5">
    <w:name w:val="List Bullet 5"/>
    <w:basedOn w:val="Normal"/>
    <w:pPr>
      <w:numPr>
        <w:numId w:val="9"/>
      </w:numPr>
      <w:spacing w:after="240"/>
    </w:pPr>
  </w:style>
  <w:style w:type="paragraph" w:styleId="ListContinue">
    <w:name w:val="List Continue"/>
    <w:basedOn w:val="Normal"/>
    <w:pPr>
      <w:spacing w:after="240"/>
      <w:ind w:left="850"/>
    </w:pPr>
  </w:style>
  <w:style w:type="paragraph" w:styleId="ListContinue2">
    <w:name w:val="List Continue 2"/>
    <w:basedOn w:val="Normal"/>
    <w:pPr>
      <w:spacing w:after="240"/>
      <w:ind w:left="1191"/>
    </w:pPr>
  </w:style>
  <w:style w:type="paragraph" w:styleId="ListContinue3">
    <w:name w:val="List Continue 3"/>
    <w:basedOn w:val="Normal"/>
    <w:pPr>
      <w:spacing w:after="240"/>
      <w:ind w:left="1474"/>
    </w:pPr>
  </w:style>
  <w:style w:type="paragraph" w:styleId="ListContinue4">
    <w:name w:val="List Continue 4"/>
    <w:basedOn w:val="Normal"/>
    <w:pPr>
      <w:spacing w:after="240"/>
      <w:ind w:left="1757"/>
    </w:pPr>
  </w:style>
  <w:style w:type="paragraph" w:styleId="ListContinue5">
    <w:name w:val="List Continue 5"/>
    <w:basedOn w:val="Normal"/>
    <w:pPr>
      <w:spacing w:after="240"/>
      <w:ind w:left="2041"/>
    </w:pPr>
  </w:style>
  <w:style w:type="paragraph" w:styleId="ListNumber">
    <w:name w:val="List Number"/>
    <w:basedOn w:val="Normal"/>
    <w:pPr>
      <w:numPr>
        <w:numId w:val="10"/>
      </w:numPr>
      <w:tabs>
        <w:tab w:val="left" w:pos="1134"/>
      </w:tabs>
      <w:spacing w:after="240"/>
    </w:pPr>
  </w:style>
  <w:style w:type="paragraph" w:styleId="ListNumber2">
    <w:name w:val="List Number 2"/>
    <w:basedOn w:val="Normal"/>
    <w:pPr>
      <w:numPr>
        <w:ilvl w:val="1"/>
        <w:numId w:val="10"/>
      </w:numPr>
      <w:tabs>
        <w:tab w:val="left" w:pos="1417"/>
      </w:tabs>
      <w:spacing w:after="240"/>
    </w:pPr>
  </w:style>
  <w:style w:type="paragraph" w:styleId="ListNumber3">
    <w:name w:val="List Number 3"/>
    <w:basedOn w:val="Normal"/>
    <w:pPr>
      <w:numPr>
        <w:ilvl w:val="2"/>
        <w:numId w:val="10"/>
      </w:numPr>
      <w:tabs>
        <w:tab w:val="left" w:pos="1701"/>
      </w:tabs>
      <w:spacing w:after="240"/>
    </w:pPr>
  </w:style>
  <w:style w:type="paragraph" w:styleId="ListNumber4">
    <w:name w:val="List Number 4"/>
    <w:basedOn w:val="Normal"/>
    <w:pPr>
      <w:numPr>
        <w:ilvl w:val="3"/>
        <w:numId w:val="10"/>
      </w:numPr>
      <w:tabs>
        <w:tab w:val="left" w:pos="1984"/>
      </w:tabs>
      <w:spacing w:after="240"/>
    </w:pPr>
  </w:style>
  <w:style w:type="paragraph" w:styleId="ListNumber5">
    <w:name w:val="List Number 5"/>
    <w:basedOn w:val="Normal"/>
    <w:pPr>
      <w:numPr>
        <w:ilvl w:val="4"/>
        <w:numId w:val="10"/>
      </w:numPr>
      <w:tabs>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right" w:leader="dot" w:pos="9468"/>
      </w:tabs>
      <w:spacing w:before="120" w:after="120"/>
    </w:pPr>
    <w:rPr>
      <w:caps/>
    </w:rPr>
  </w:style>
  <w:style w:type="paragraph" w:styleId="TOC2">
    <w:name w:val="toc 2"/>
    <w:basedOn w:val="Normal"/>
    <w:next w:val="Normal"/>
    <w:uiPriority w:val="39"/>
    <w:qFormat/>
    <w:pPr>
      <w:tabs>
        <w:tab w:val="right" w:leader="dot" w:pos="9468"/>
      </w:tabs>
      <w:ind w:left="198"/>
    </w:pPr>
  </w:style>
  <w:style w:type="paragraph" w:styleId="TOC3">
    <w:name w:val="toc 3"/>
    <w:basedOn w:val="Normal"/>
    <w:next w:val="Normal"/>
    <w:qFormat/>
    <w:pPr>
      <w:tabs>
        <w:tab w:val="right" w:leader="dot" w:pos="9468"/>
      </w:tabs>
      <w:ind w:left="397"/>
    </w:pPr>
  </w:style>
  <w:style w:type="paragraph" w:styleId="TOC4">
    <w:name w:val="toc 4"/>
    <w:basedOn w:val="Normal"/>
    <w:next w:val="Normal"/>
    <w:qFormat/>
    <w:pPr>
      <w:tabs>
        <w:tab w:val="right" w:leader="dot" w:pos="9468"/>
      </w:tabs>
      <w:ind w:left="595"/>
    </w:pPr>
    <w:rPr>
      <w:noProof/>
    </w:rPr>
  </w:style>
  <w:style w:type="paragraph" w:styleId="TOC5">
    <w:name w:val="toc 5"/>
    <w:basedOn w:val="Normal"/>
    <w:next w:val="Normal"/>
    <w:qFormat/>
    <w:pPr>
      <w:tabs>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pPr>
    <w:rPr>
      <w:rFonts w:ascii="Arial" w:hAnsi="Arial" w:cs="Arial"/>
      <w:sz w:val="16"/>
      <w:lang w:val="en-US"/>
    </w:rPr>
  </w:style>
  <w:style w:type="paragraph" w:customStyle="1" w:styleId="BoxHeading2">
    <w:name w:val="Box Heading 2"/>
    <w:basedOn w:val="Normal"/>
    <w:next w:val="BoxBodyText"/>
    <w:pPr>
      <w:spacing w:before="240" w:after="240"/>
    </w:pPr>
    <w:rPr>
      <w:rFonts w:ascii="Arial" w:hAnsi="Arial" w:cs="Arial"/>
      <w:b/>
      <w:sz w:val="18"/>
      <w:lang w:val="en-US"/>
    </w:rPr>
  </w:style>
  <w:style w:type="paragraph" w:customStyle="1" w:styleId="BoxHeading3">
    <w:name w:val="Box Heading 3"/>
    <w:basedOn w:val="Normal"/>
    <w:next w:val="BoxBodyText"/>
    <w:pPr>
      <w:spacing w:before="240" w:after="240"/>
    </w:pPr>
    <w:rPr>
      <w:rFonts w:ascii="Arial" w:hAnsi="Arial" w:cs="Arial"/>
      <w:b/>
      <w:i/>
      <w:sz w:val="18"/>
      <w:lang w:val="en-US"/>
    </w:rPr>
  </w:style>
  <w:style w:type="paragraph" w:customStyle="1" w:styleId="BoxNote">
    <w:name w:val="Box Note"/>
    <w:basedOn w:val="Normal"/>
    <w:pPr>
      <w:tabs>
        <w:tab w:val="left" w:pos="340"/>
      </w:tabs>
      <w:spacing w:after="120"/>
    </w:pPr>
    <w:rPr>
      <w:rFonts w:ascii="Arial" w:hAnsi="Arial" w:cs="Arial"/>
      <w:sz w:val="18"/>
      <w:lang w:val="en-US"/>
    </w:rPr>
  </w:style>
  <w:style w:type="paragraph" w:customStyle="1" w:styleId="ListBulletBox">
    <w:name w:val="List Bullet Box"/>
    <w:basedOn w:val="Normal"/>
    <w:pPr>
      <w:numPr>
        <w:numId w:val="11"/>
      </w:numPr>
      <w:spacing w:after="240"/>
    </w:pPr>
    <w:rPr>
      <w:rFonts w:ascii="Arial" w:hAnsi="Arial" w:cs="Arial"/>
      <w:sz w:val="18"/>
      <w:lang w:val="en-US"/>
    </w:rPr>
  </w:style>
  <w:style w:type="paragraph" w:customStyle="1" w:styleId="ListBulletBox2">
    <w:name w:val="List Bullet Box 2"/>
    <w:basedOn w:val="Normal"/>
    <w:pPr>
      <w:numPr>
        <w:numId w:val="12"/>
      </w:numPr>
      <w:spacing w:after="240"/>
    </w:pPr>
    <w:rPr>
      <w:rFonts w:ascii="Arial" w:hAnsi="Arial" w:cs="Arial"/>
      <w:sz w:val="18"/>
      <w:lang w:val="en-US"/>
    </w:rPr>
  </w:style>
  <w:style w:type="paragraph" w:customStyle="1" w:styleId="ListBulletBox3">
    <w:name w:val="List Bullet Box 3"/>
    <w:basedOn w:val="Normal"/>
    <w:pPr>
      <w:numPr>
        <w:numId w:val="13"/>
      </w:numPr>
      <w:spacing w:after="240"/>
    </w:pPr>
    <w:rPr>
      <w:rFonts w:ascii="Arial" w:hAnsi="Arial" w:cs="Arial"/>
      <w:sz w:val="18"/>
      <w:lang w:val="en-US"/>
    </w:rPr>
  </w:style>
  <w:style w:type="paragraph" w:customStyle="1" w:styleId="ListNumberBox">
    <w:name w:val="List Number Box"/>
    <w:basedOn w:val="Normal"/>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spacing w:after="240"/>
      <w:ind w:left="850"/>
    </w:pPr>
    <w:rPr>
      <w:rFonts w:ascii="Arial" w:hAnsi="Arial" w:cs="Arial"/>
      <w:sz w:val="18"/>
      <w:lang w:val="en-US"/>
    </w:rPr>
  </w:style>
  <w:style w:type="paragraph" w:customStyle="1" w:styleId="ListContinueBox2">
    <w:name w:val="List Continue Box 2"/>
    <w:basedOn w:val="Normal"/>
    <w:pPr>
      <w:spacing w:after="240"/>
      <w:ind w:left="1191"/>
    </w:pPr>
    <w:rPr>
      <w:rFonts w:ascii="Arial" w:hAnsi="Arial" w:cs="Arial"/>
      <w:sz w:val="18"/>
      <w:lang w:val="en-US"/>
    </w:rPr>
  </w:style>
  <w:style w:type="paragraph" w:customStyle="1" w:styleId="ListContinueBox3">
    <w:name w:val="List Continue Box 3"/>
    <w:basedOn w:val="Normal"/>
    <w:pPr>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Cs w:val="24"/>
    </w:rPr>
  </w:style>
  <w:style w:type="paragraph" w:styleId="CommentSubject">
    <w:name w:val="annotation subject"/>
    <w:basedOn w:val="CommentText"/>
    <w:next w:val="CommentText"/>
    <w:semiHidden/>
    <w:rPr>
      <w:b/>
      <w:bCs/>
    </w:rPr>
  </w:style>
  <w:style w:type="paragraph" w:styleId="Footer">
    <w:name w:val="footer"/>
    <w:basedOn w:val="Normal"/>
    <w:pPr>
      <w:tabs>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40" w:hanging="440"/>
    </w:pPr>
  </w:style>
  <w:style w:type="paragraph" w:styleId="TableofAuthorities">
    <w:name w:val="table of authorities"/>
    <w:basedOn w:val="Normal"/>
    <w:next w:val="Normal"/>
    <w:semiHidden/>
    <w:pPr>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Cs w:val="24"/>
    </w:rPr>
  </w:style>
  <w:style w:type="paragraph" w:styleId="TOC6">
    <w:name w:val="toc 6"/>
    <w:basedOn w:val="Normal"/>
    <w:next w:val="Normal"/>
    <w:qFormat/>
    <w:pPr>
      <w:ind w:left="1100"/>
    </w:pPr>
  </w:style>
  <w:style w:type="paragraph" w:styleId="TOC7">
    <w:name w:val="toc 7"/>
    <w:basedOn w:val="Normal"/>
    <w:next w:val="Normal"/>
    <w:qFormat/>
    <w:pPr>
      <w:ind w:left="1320"/>
    </w:pPr>
  </w:style>
  <w:style w:type="paragraph" w:styleId="TOC8">
    <w:name w:val="toc 8"/>
    <w:basedOn w:val="Normal"/>
    <w:next w:val="Normal"/>
    <w:qFormat/>
    <w:pPr>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pPr>
  </w:style>
  <w:style w:type="character" w:customStyle="1" w:styleId="CitationChar">
    <w:name w:val="Citation Char"/>
    <w:basedOn w:val="DefaultParagraphFont"/>
    <w:link w:val="Citation"/>
    <w:rPr>
      <w:sz w:val="22"/>
      <w:szCs w:val="22"/>
      <w:lang w:val="en-GB" w:eastAsia="zh-CN"/>
    </w:rPr>
  </w:style>
  <w:style w:type="character" w:customStyle="1" w:styleId="Heading1Char">
    <w:name w:val="Heading 1 Char"/>
    <w:basedOn w:val="DefaultParagraphFont"/>
    <w:link w:val="Heading1"/>
    <w:uiPriority w:val="9"/>
    <w:rsid w:val="008E7283"/>
    <w:rPr>
      <w:rFonts w:eastAsiaTheme="minorHAnsi" w:cstheme="minorBidi"/>
      <w:b/>
      <w:bCs/>
      <w:caps/>
      <w:kern w:val="28"/>
      <w:sz w:val="24"/>
      <w:szCs w:val="22"/>
      <w:lang w:val="en-GB"/>
    </w:rPr>
  </w:style>
  <w:style w:type="character" w:customStyle="1" w:styleId="Heading2Char">
    <w:name w:val="Heading 2 Char"/>
    <w:basedOn w:val="DefaultParagraphFont"/>
    <w:link w:val="Heading2"/>
    <w:uiPriority w:val="9"/>
    <w:rsid w:val="008E7283"/>
    <w:rPr>
      <w:b/>
      <w:bCs/>
      <w:sz w:val="22"/>
      <w:szCs w:val="22"/>
      <w:lang w:val="en-GB" w:eastAsia="zh-CN"/>
    </w:rPr>
  </w:style>
  <w:style w:type="character" w:styleId="Hyperlink">
    <w:name w:val="Hyperlink"/>
    <w:basedOn w:val="DefaultParagraphFont"/>
    <w:uiPriority w:val="99"/>
    <w:unhideWhenUsed/>
    <w:rsid w:val="008E72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7283"/>
    <w:rPr>
      <w:rFonts w:eastAsiaTheme="minorHAnsi" w:cstheme="minorBidi"/>
      <w:sz w:val="24"/>
      <w:szCs w:val="22"/>
      <w:lang w:val="en-GB"/>
    </w:rPr>
  </w:style>
  <w:style w:type="paragraph" w:styleId="Heading1">
    <w:name w:val="heading 1"/>
    <w:basedOn w:val="Normal"/>
    <w:next w:val="Num-DocParagraph"/>
    <w:link w:val="Heading1Char"/>
    <w:uiPriority w:val="9"/>
    <w:qFormat/>
    <w:pPr>
      <w:keepNext/>
      <w:spacing w:before="1200" w:after="720"/>
      <w:jc w:val="center"/>
      <w:outlineLvl w:val="0"/>
    </w:pPr>
    <w:rPr>
      <w:b/>
      <w:bCs/>
      <w:caps/>
      <w:kern w:val="28"/>
    </w:rPr>
  </w:style>
  <w:style w:type="paragraph" w:styleId="Heading2">
    <w:name w:val="heading 2"/>
    <w:basedOn w:val="Normal"/>
    <w:next w:val="Num-DocParagraph"/>
    <w:link w:val="Heading2Char"/>
    <w:uiPriority w:val="9"/>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rPr>
      <w:rFonts w:ascii="Arial" w:hAnsi="Arial" w:cs="Arial"/>
      <w:sz w:val="18"/>
      <w:szCs w:val="18"/>
    </w:rPr>
  </w:style>
  <w:style w:type="paragraph" w:customStyle="1" w:styleId="ColumnsHeading">
    <w:name w:val="Columns Heading"/>
    <w:basedOn w:val="Normal"/>
    <w:pPr>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spacing w:after="240"/>
    </w:pPr>
  </w:style>
  <w:style w:type="paragraph" w:styleId="ListBullet2">
    <w:name w:val="List Bullet 2"/>
    <w:basedOn w:val="Normal"/>
    <w:pPr>
      <w:numPr>
        <w:numId w:val="6"/>
      </w:numPr>
      <w:spacing w:after="240"/>
    </w:pPr>
  </w:style>
  <w:style w:type="paragraph" w:styleId="ListBullet3">
    <w:name w:val="List Bullet 3"/>
    <w:basedOn w:val="Normal"/>
    <w:pPr>
      <w:numPr>
        <w:numId w:val="7"/>
      </w:numPr>
      <w:spacing w:after="240"/>
    </w:pPr>
  </w:style>
  <w:style w:type="paragraph" w:styleId="ListBullet4">
    <w:name w:val="List Bullet 4"/>
    <w:basedOn w:val="Normal"/>
    <w:pPr>
      <w:numPr>
        <w:numId w:val="8"/>
      </w:numPr>
      <w:spacing w:after="240"/>
    </w:pPr>
  </w:style>
  <w:style w:type="paragraph" w:styleId="ListBullet5">
    <w:name w:val="List Bullet 5"/>
    <w:basedOn w:val="Normal"/>
    <w:pPr>
      <w:numPr>
        <w:numId w:val="9"/>
      </w:numPr>
      <w:spacing w:after="240"/>
    </w:pPr>
  </w:style>
  <w:style w:type="paragraph" w:styleId="ListContinue">
    <w:name w:val="List Continue"/>
    <w:basedOn w:val="Normal"/>
    <w:pPr>
      <w:spacing w:after="240"/>
      <w:ind w:left="850"/>
    </w:pPr>
  </w:style>
  <w:style w:type="paragraph" w:styleId="ListContinue2">
    <w:name w:val="List Continue 2"/>
    <w:basedOn w:val="Normal"/>
    <w:pPr>
      <w:spacing w:after="240"/>
      <w:ind w:left="1191"/>
    </w:pPr>
  </w:style>
  <w:style w:type="paragraph" w:styleId="ListContinue3">
    <w:name w:val="List Continue 3"/>
    <w:basedOn w:val="Normal"/>
    <w:pPr>
      <w:spacing w:after="240"/>
      <w:ind w:left="1474"/>
    </w:pPr>
  </w:style>
  <w:style w:type="paragraph" w:styleId="ListContinue4">
    <w:name w:val="List Continue 4"/>
    <w:basedOn w:val="Normal"/>
    <w:pPr>
      <w:spacing w:after="240"/>
      <w:ind w:left="1757"/>
    </w:pPr>
  </w:style>
  <w:style w:type="paragraph" w:styleId="ListContinue5">
    <w:name w:val="List Continue 5"/>
    <w:basedOn w:val="Normal"/>
    <w:pPr>
      <w:spacing w:after="240"/>
      <w:ind w:left="2041"/>
    </w:pPr>
  </w:style>
  <w:style w:type="paragraph" w:styleId="ListNumber">
    <w:name w:val="List Number"/>
    <w:basedOn w:val="Normal"/>
    <w:pPr>
      <w:numPr>
        <w:numId w:val="10"/>
      </w:numPr>
      <w:tabs>
        <w:tab w:val="left" w:pos="1134"/>
      </w:tabs>
      <w:spacing w:after="240"/>
    </w:pPr>
  </w:style>
  <w:style w:type="paragraph" w:styleId="ListNumber2">
    <w:name w:val="List Number 2"/>
    <w:basedOn w:val="Normal"/>
    <w:pPr>
      <w:numPr>
        <w:ilvl w:val="1"/>
        <w:numId w:val="10"/>
      </w:numPr>
      <w:tabs>
        <w:tab w:val="left" w:pos="1417"/>
      </w:tabs>
      <w:spacing w:after="240"/>
    </w:pPr>
  </w:style>
  <w:style w:type="paragraph" w:styleId="ListNumber3">
    <w:name w:val="List Number 3"/>
    <w:basedOn w:val="Normal"/>
    <w:pPr>
      <w:numPr>
        <w:ilvl w:val="2"/>
        <w:numId w:val="10"/>
      </w:numPr>
      <w:tabs>
        <w:tab w:val="left" w:pos="1701"/>
      </w:tabs>
      <w:spacing w:after="240"/>
    </w:pPr>
  </w:style>
  <w:style w:type="paragraph" w:styleId="ListNumber4">
    <w:name w:val="List Number 4"/>
    <w:basedOn w:val="Normal"/>
    <w:pPr>
      <w:numPr>
        <w:ilvl w:val="3"/>
        <w:numId w:val="10"/>
      </w:numPr>
      <w:tabs>
        <w:tab w:val="left" w:pos="1984"/>
      </w:tabs>
      <w:spacing w:after="240"/>
    </w:pPr>
  </w:style>
  <w:style w:type="paragraph" w:styleId="ListNumber5">
    <w:name w:val="List Number 5"/>
    <w:basedOn w:val="Normal"/>
    <w:pPr>
      <w:numPr>
        <w:ilvl w:val="4"/>
        <w:numId w:val="10"/>
      </w:numPr>
      <w:tabs>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right" w:leader="dot" w:pos="9468"/>
      </w:tabs>
      <w:spacing w:before="120" w:after="120"/>
    </w:pPr>
    <w:rPr>
      <w:caps/>
    </w:rPr>
  </w:style>
  <w:style w:type="paragraph" w:styleId="TOC2">
    <w:name w:val="toc 2"/>
    <w:basedOn w:val="Normal"/>
    <w:next w:val="Normal"/>
    <w:uiPriority w:val="39"/>
    <w:qFormat/>
    <w:pPr>
      <w:tabs>
        <w:tab w:val="right" w:leader="dot" w:pos="9468"/>
      </w:tabs>
      <w:ind w:left="198"/>
    </w:pPr>
  </w:style>
  <w:style w:type="paragraph" w:styleId="TOC3">
    <w:name w:val="toc 3"/>
    <w:basedOn w:val="Normal"/>
    <w:next w:val="Normal"/>
    <w:qFormat/>
    <w:pPr>
      <w:tabs>
        <w:tab w:val="right" w:leader="dot" w:pos="9468"/>
      </w:tabs>
      <w:ind w:left="397"/>
    </w:pPr>
  </w:style>
  <w:style w:type="paragraph" w:styleId="TOC4">
    <w:name w:val="toc 4"/>
    <w:basedOn w:val="Normal"/>
    <w:next w:val="Normal"/>
    <w:qFormat/>
    <w:pPr>
      <w:tabs>
        <w:tab w:val="right" w:leader="dot" w:pos="9468"/>
      </w:tabs>
      <w:ind w:left="595"/>
    </w:pPr>
    <w:rPr>
      <w:noProof/>
    </w:rPr>
  </w:style>
  <w:style w:type="paragraph" w:styleId="TOC5">
    <w:name w:val="toc 5"/>
    <w:basedOn w:val="Normal"/>
    <w:next w:val="Normal"/>
    <w:qFormat/>
    <w:pPr>
      <w:tabs>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pPr>
    <w:rPr>
      <w:rFonts w:ascii="Arial" w:hAnsi="Arial" w:cs="Arial"/>
      <w:sz w:val="16"/>
      <w:lang w:val="en-US"/>
    </w:rPr>
  </w:style>
  <w:style w:type="paragraph" w:customStyle="1" w:styleId="BoxHeading2">
    <w:name w:val="Box Heading 2"/>
    <w:basedOn w:val="Normal"/>
    <w:next w:val="BoxBodyText"/>
    <w:pPr>
      <w:spacing w:before="240" w:after="240"/>
    </w:pPr>
    <w:rPr>
      <w:rFonts w:ascii="Arial" w:hAnsi="Arial" w:cs="Arial"/>
      <w:b/>
      <w:sz w:val="18"/>
      <w:lang w:val="en-US"/>
    </w:rPr>
  </w:style>
  <w:style w:type="paragraph" w:customStyle="1" w:styleId="BoxHeading3">
    <w:name w:val="Box Heading 3"/>
    <w:basedOn w:val="Normal"/>
    <w:next w:val="BoxBodyText"/>
    <w:pPr>
      <w:spacing w:before="240" w:after="240"/>
    </w:pPr>
    <w:rPr>
      <w:rFonts w:ascii="Arial" w:hAnsi="Arial" w:cs="Arial"/>
      <w:b/>
      <w:i/>
      <w:sz w:val="18"/>
      <w:lang w:val="en-US"/>
    </w:rPr>
  </w:style>
  <w:style w:type="paragraph" w:customStyle="1" w:styleId="BoxNote">
    <w:name w:val="Box Note"/>
    <w:basedOn w:val="Normal"/>
    <w:pPr>
      <w:tabs>
        <w:tab w:val="left" w:pos="340"/>
      </w:tabs>
      <w:spacing w:after="120"/>
    </w:pPr>
    <w:rPr>
      <w:rFonts w:ascii="Arial" w:hAnsi="Arial" w:cs="Arial"/>
      <w:sz w:val="18"/>
      <w:lang w:val="en-US"/>
    </w:rPr>
  </w:style>
  <w:style w:type="paragraph" w:customStyle="1" w:styleId="ListBulletBox">
    <w:name w:val="List Bullet Box"/>
    <w:basedOn w:val="Normal"/>
    <w:pPr>
      <w:numPr>
        <w:numId w:val="11"/>
      </w:numPr>
      <w:spacing w:after="240"/>
    </w:pPr>
    <w:rPr>
      <w:rFonts w:ascii="Arial" w:hAnsi="Arial" w:cs="Arial"/>
      <w:sz w:val="18"/>
      <w:lang w:val="en-US"/>
    </w:rPr>
  </w:style>
  <w:style w:type="paragraph" w:customStyle="1" w:styleId="ListBulletBox2">
    <w:name w:val="List Bullet Box 2"/>
    <w:basedOn w:val="Normal"/>
    <w:pPr>
      <w:numPr>
        <w:numId w:val="12"/>
      </w:numPr>
      <w:spacing w:after="240"/>
    </w:pPr>
    <w:rPr>
      <w:rFonts w:ascii="Arial" w:hAnsi="Arial" w:cs="Arial"/>
      <w:sz w:val="18"/>
      <w:lang w:val="en-US"/>
    </w:rPr>
  </w:style>
  <w:style w:type="paragraph" w:customStyle="1" w:styleId="ListBulletBox3">
    <w:name w:val="List Bullet Box 3"/>
    <w:basedOn w:val="Normal"/>
    <w:pPr>
      <w:numPr>
        <w:numId w:val="13"/>
      </w:numPr>
      <w:spacing w:after="240"/>
    </w:pPr>
    <w:rPr>
      <w:rFonts w:ascii="Arial" w:hAnsi="Arial" w:cs="Arial"/>
      <w:sz w:val="18"/>
      <w:lang w:val="en-US"/>
    </w:rPr>
  </w:style>
  <w:style w:type="paragraph" w:customStyle="1" w:styleId="ListNumberBox">
    <w:name w:val="List Number Box"/>
    <w:basedOn w:val="Normal"/>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spacing w:after="240"/>
      <w:ind w:left="850"/>
    </w:pPr>
    <w:rPr>
      <w:rFonts w:ascii="Arial" w:hAnsi="Arial" w:cs="Arial"/>
      <w:sz w:val="18"/>
      <w:lang w:val="en-US"/>
    </w:rPr>
  </w:style>
  <w:style w:type="paragraph" w:customStyle="1" w:styleId="ListContinueBox2">
    <w:name w:val="List Continue Box 2"/>
    <w:basedOn w:val="Normal"/>
    <w:pPr>
      <w:spacing w:after="240"/>
      <w:ind w:left="1191"/>
    </w:pPr>
    <w:rPr>
      <w:rFonts w:ascii="Arial" w:hAnsi="Arial" w:cs="Arial"/>
      <w:sz w:val="18"/>
      <w:lang w:val="en-US"/>
    </w:rPr>
  </w:style>
  <w:style w:type="paragraph" w:customStyle="1" w:styleId="ListContinueBox3">
    <w:name w:val="List Continue Box 3"/>
    <w:basedOn w:val="Normal"/>
    <w:pPr>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Cs w:val="24"/>
    </w:rPr>
  </w:style>
  <w:style w:type="paragraph" w:styleId="CommentSubject">
    <w:name w:val="annotation subject"/>
    <w:basedOn w:val="CommentText"/>
    <w:next w:val="CommentText"/>
    <w:semiHidden/>
    <w:rPr>
      <w:b/>
      <w:bCs/>
    </w:rPr>
  </w:style>
  <w:style w:type="paragraph" w:styleId="Footer">
    <w:name w:val="footer"/>
    <w:basedOn w:val="Normal"/>
    <w:pPr>
      <w:tabs>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40" w:hanging="440"/>
    </w:pPr>
  </w:style>
  <w:style w:type="paragraph" w:styleId="TableofAuthorities">
    <w:name w:val="table of authorities"/>
    <w:basedOn w:val="Normal"/>
    <w:next w:val="Normal"/>
    <w:semiHidden/>
    <w:pPr>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Cs w:val="24"/>
    </w:rPr>
  </w:style>
  <w:style w:type="paragraph" w:styleId="TOC6">
    <w:name w:val="toc 6"/>
    <w:basedOn w:val="Normal"/>
    <w:next w:val="Normal"/>
    <w:qFormat/>
    <w:pPr>
      <w:ind w:left="1100"/>
    </w:pPr>
  </w:style>
  <w:style w:type="paragraph" w:styleId="TOC7">
    <w:name w:val="toc 7"/>
    <w:basedOn w:val="Normal"/>
    <w:next w:val="Normal"/>
    <w:qFormat/>
    <w:pPr>
      <w:ind w:left="1320"/>
    </w:pPr>
  </w:style>
  <w:style w:type="paragraph" w:styleId="TOC8">
    <w:name w:val="toc 8"/>
    <w:basedOn w:val="Normal"/>
    <w:next w:val="Normal"/>
    <w:qFormat/>
    <w:pPr>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pPr>
  </w:style>
  <w:style w:type="character" w:customStyle="1" w:styleId="CitationChar">
    <w:name w:val="Citation Char"/>
    <w:basedOn w:val="DefaultParagraphFont"/>
    <w:link w:val="Citation"/>
    <w:rPr>
      <w:sz w:val="22"/>
      <w:szCs w:val="22"/>
      <w:lang w:val="en-GB" w:eastAsia="zh-CN"/>
    </w:rPr>
  </w:style>
  <w:style w:type="character" w:customStyle="1" w:styleId="Heading1Char">
    <w:name w:val="Heading 1 Char"/>
    <w:basedOn w:val="DefaultParagraphFont"/>
    <w:link w:val="Heading1"/>
    <w:uiPriority w:val="9"/>
    <w:rsid w:val="008E7283"/>
    <w:rPr>
      <w:rFonts w:eastAsiaTheme="minorHAnsi" w:cstheme="minorBidi"/>
      <w:b/>
      <w:bCs/>
      <w:caps/>
      <w:kern w:val="28"/>
      <w:sz w:val="24"/>
      <w:szCs w:val="22"/>
      <w:lang w:val="en-GB"/>
    </w:rPr>
  </w:style>
  <w:style w:type="character" w:customStyle="1" w:styleId="Heading2Char">
    <w:name w:val="Heading 2 Char"/>
    <w:basedOn w:val="DefaultParagraphFont"/>
    <w:link w:val="Heading2"/>
    <w:uiPriority w:val="9"/>
    <w:rsid w:val="008E7283"/>
    <w:rPr>
      <w:b/>
      <w:bCs/>
      <w:sz w:val="22"/>
      <w:szCs w:val="22"/>
      <w:lang w:val="en-GB" w:eastAsia="zh-CN"/>
    </w:rPr>
  </w:style>
  <w:style w:type="character" w:styleId="Hyperlink">
    <w:name w:val="Hyperlink"/>
    <w:basedOn w:val="DefaultParagraphFont"/>
    <w:uiPriority w:val="99"/>
    <w:unhideWhenUsed/>
    <w:rsid w:val="008E7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0443">
      <w:bodyDiv w:val="1"/>
      <w:marLeft w:val="0"/>
      <w:marRight w:val="0"/>
      <w:marTop w:val="0"/>
      <w:marBottom w:val="0"/>
      <w:divBdr>
        <w:top w:val="none" w:sz="0" w:space="0" w:color="auto"/>
        <w:left w:val="none" w:sz="0" w:space="0" w:color="auto"/>
        <w:bottom w:val="none" w:sz="0" w:space="0" w:color="auto"/>
        <w:right w:val="none" w:sz="0" w:space="0" w:color="auto"/>
      </w:divBdr>
    </w:div>
    <w:div w:id="18208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S-CH-1.main.oecd.org\Users2\Habbard_P\dac-psd\stat.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CH-1.main.oecd.org\Users2\Habbard_P\dac-psd\stat.xm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'OECD.Stat export'!$A$26</c:f>
              <c:strCache>
                <c:ptCount val="1"/>
                <c:pt idx="0">
                  <c:v>I. Social Infrastructure &amp; Services</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export'!$B$26:$H$26</c:f>
              <c:numCache>
                <c:formatCode>0.0</c:formatCode>
                <c:ptCount val="7"/>
                <c:pt idx="0">
                  <c:v>46.632930000000002</c:v>
                </c:pt>
                <c:pt idx="1">
                  <c:v>54.383099999999999</c:v>
                </c:pt>
                <c:pt idx="2">
                  <c:v>61.982769999999995</c:v>
                </c:pt>
                <c:pt idx="3">
                  <c:v>65.454129999999992</c:v>
                </c:pt>
                <c:pt idx="4">
                  <c:v>64.442669999999993</c:v>
                </c:pt>
                <c:pt idx="5">
                  <c:v>69.017570000000006</c:v>
                </c:pt>
                <c:pt idx="6">
                  <c:v>66.789349999999999</c:v>
                </c:pt>
              </c:numCache>
            </c:numRef>
          </c:val>
        </c:ser>
        <c:ser>
          <c:idx val="1"/>
          <c:order val="1"/>
          <c:tx>
            <c:strRef>
              <c:f>'OECD.Stat export'!$A$27</c:f>
              <c:strCache>
                <c:ptCount val="1"/>
                <c:pt idx="0">
                  <c:v>II. Economic Infrastructure &amp; Services</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export'!$B$27:$H$27</c:f>
              <c:numCache>
                <c:formatCode>0.0</c:formatCode>
                <c:ptCount val="7"/>
                <c:pt idx="0">
                  <c:v>15.82452</c:v>
                </c:pt>
                <c:pt idx="1">
                  <c:v>19.509930000000001</c:v>
                </c:pt>
                <c:pt idx="2">
                  <c:v>27.468019999999999</c:v>
                </c:pt>
                <c:pt idx="3">
                  <c:v>25.710429999999999</c:v>
                </c:pt>
                <c:pt idx="4">
                  <c:v>30.46857</c:v>
                </c:pt>
                <c:pt idx="5">
                  <c:v>30.74916</c:v>
                </c:pt>
                <c:pt idx="6">
                  <c:v>37.48265</c:v>
                </c:pt>
              </c:numCache>
            </c:numRef>
          </c:val>
        </c:ser>
        <c:ser>
          <c:idx val="2"/>
          <c:order val="2"/>
          <c:tx>
            <c:strRef>
              <c:f>'OECD.Stat export'!$A$28</c:f>
              <c:strCache>
                <c:ptCount val="1"/>
                <c:pt idx="0">
                  <c:v>III. Production Sectors</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export'!$B$28:$H$28</c:f>
              <c:numCache>
                <c:formatCode>0.0</c:formatCode>
                <c:ptCount val="7"/>
                <c:pt idx="0">
                  <c:v>8.0961499999999997</c:v>
                </c:pt>
                <c:pt idx="1">
                  <c:v>8.9961399999999987</c:v>
                </c:pt>
                <c:pt idx="2">
                  <c:v>11.29461</c:v>
                </c:pt>
                <c:pt idx="3">
                  <c:v>12.755780000000001</c:v>
                </c:pt>
                <c:pt idx="4">
                  <c:v>12.88608</c:v>
                </c:pt>
                <c:pt idx="5">
                  <c:v>15.7974</c:v>
                </c:pt>
                <c:pt idx="6">
                  <c:v>17.645779999999998</c:v>
                </c:pt>
              </c:numCache>
            </c:numRef>
          </c:val>
        </c:ser>
        <c:ser>
          <c:idx val="3"/>
          <c:order val="3"/>
          <c:tx>
            <c:strRef>
              <c:f>'OECD.Stat export'!$A$29</c:f>
              <c:strCache>
                <c:ptCount val="1"/>
                <c:pt idx="0">
                  <c:v>IV. Multi-Sector / Cross-Cutting</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export'!$B$29:$H$29</c:f>
              <c:numCache>
                <c:formatCode>0.0</c:formatCode>
                <c:ptCount val="7"/>
                <c:pt idx="0">
                  <c:v>8.69801</c:v>
                </c:pt>
                <c:pt idx="1">
                  <c:v>10.530100000000001</c:v>
                </c:pt>
                <c:pt idx="2">
                  <c:v>11.90652</c:v>
                </c:pt>
                <c:pt idx="3">
                  <c:v>13.870479999999999</c:v>
                </c:pt>
                <c:pt idx="4">
                  <c:v>21.030369999999998</c:v>
                </c:pt>
                <c:pt idx="5">
                  <c:v>18.20899</c:v>
                </c:pt>
                <c:pt idx="6">
                  <c:v>18.883509999999998</c:v>
                </c:pt>
              </c:numCache>
            </c:numRef>
          </c:val>
        </c:ser>
        <c:ser>
          <c:idx val="4"/>
          <c:order val="4"/>
          <c:tx>
            <c:strRef>
              <c:f>'OECD.Stat export'!$A$30</c:f>
              <c:strCache>
                <c:ptCount val="1"/>
                <c:pt idx="0">
                  <c:v>VII. Action Relating to Debt</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export'!$B$30:$H$30</c:f>
              <c:numCache>
                <c:formatCode>0.0</c:formatCode>
                <c:ptCount val="7"/>
                <c:pt idx="0">
                  <c:v>23.202990000000003</c:v>
                </c:pt>
                <c:pt idx="1">
                  <c:v>13.75273</c:v>
                </c:pt>
                <c:pt idx="2">
                  <c:v>11.29073</c:v>
                </c:pt>
                <c:pt idx="3">
                  <c:v>2.7473700000000001</c:v>
                </c:pt>
                <c:pt idx="4">
                  <c:v>4.8685499999999999</c:v>
                </c:pt>
                <c:pt idx="5">
                  <c:v>4.5211600000000001</c:v>
                </c:pt>
                <c:pt idx="6">
                  <c:v>2.93113</c:v>
                </c:pt>
              </c:numCache>
            </c:numRef>
          </c:val>
        </c:ser>
        <c:ser>
          <c:idx val="5"/>
          <c:order val="5"/>
          <c:tx>
            <c:strRef>
              <c:f>'OECD.Stat export'!$A$31</c:f>
              <c:strCache>
                <c:ptCount val="1"/>
                <c:pt idx="0">
                  <c:v>VIII. Humanitarian Aid</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export'!$B$31:$H$31</c:f>
              <c:numCache>
                <c:formatCode>0.0</c:formatCode>
                <c:ptCount val="7"/>
                <c:pt idx="0">
                  <c:v>8.5286799999999996</c:v>
                </c:pt>
                <c:pt idx="1">
                  <c:v>8.9563400000000009</c:v>
                </c:pt>
                <c:pt idx="2">
                  <c:v>11.00264</c:v>
                </c:pt>
                <c:pt idx="3">
                  <c:v>11.314360000000001</c:v>
                </c:pt>
                <c:pt idx="4">
                  <c:v>13.384499999999999</c:v>
                </c:pt>
                <c:pt idx="5">
                  <c:v>12.77233</c:v>
                </c:pt>
                <c:pt idx="6">
                  <c:v>13.101700000000001</c:v>
                </c:pt>
              </c:numCache>
            </c:numRef>
          </c:val>
        </c:ser>
        <c:ser>
          <c:idx val="6"/>
          <c:order val="6"/>
          <c:tx>
            <c:strRef>
              <c:f>'OECD.Stat export'!$A$32</c:f>
              <c:strCache>
                <c:ptCount val="1"/>
                <c:pt idx="0">
                  <c:v>IX. Unallocated / Unspecified</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export'!$B$32:$H$32</c:f>
              <c:numCache>
                <c:formatCode>0.0</c:formatCode>
                <c:ptCount val="7"/>
                <c:pt idx="0">
                  <c:v>13.58991</c:v>
                </c:pt>
                <c:pt idx="1">
                  <c:v>11.43075</c:v>
                </c:pt>
                <c:pt idx="2">
                  <c:v>13.18418</c:v>
                </c:pt>
                <c:pt idx="3">
                  <c:v>12.9573</c:v>
                </c:pt>
                <c:pt idx="4">
                  <c:v>12.866010000000001</c:v>
                </c:pt>
                <c:pt idx="5">
                  <c:v>15.148219999999998</c:v>
                </c:pt>
                <c:pt idx="6">
                  <c:v>14.733639999999999</c:v>
                </c:pt>
              </c:numCache>
            </c:numRef>
          </c:val>
        </c:ser>
        <c:dLbls>
          <c:showLegendKey val="0"/>
          <c:showVal val="0"/>
          <c:showCatName val="0"/>
          <c:showSerName val="0"/>
          <c:showPercent val="0"/>
          <c:showBubbleSize val="0"/>
        </c:dLbls>
        <c:gapWidth val="150"/>
        <c:overlap val="100"/>
        <c:axId val="250312192"/>
        <c:axId val="250630144"/>
      </c:barChart>
      <c:catAx>
        <c:axId val="250312192"/>
        <c:scaling>
          <c:orientation val="minMax"/>
        </c:scaling>
        <c:delete val="0"/>
        <c:axPos val="b"/>
        <c:majorTickMark val="out"/>
        <c:minorTickMark val="none"/>
        <c:tickLblPos val="nextTo"/>
        <c:crossAx val="250630144"/>
        <c:crosses val="autoZero"/>
        <c:auto val="1"/>
        <c:lblAlgn val="ctr"/>
        <c:lblOffset val="100"/>
        <c:noMultiLvlLbl val="0"/>
      </c:catAx>
      <c:valAx>
        <c:axId val="250630144"/>
        <c:scaling>
          <c:orientation val="minMax"/>
        </c:scaling>
        <c:delete val="0"/>
        <c:axPos val="l"/>
        <c:majorGridlines/>
        <c:numFmt formatCode="0.0" sourceLinked="1"/>
        <c:majorTickMark val="out"/>
        <c:minorTickMark val="none"/>
        <c:tickLblPos val="nextTo"/>
        <c:crossAx val="250312192"/>
        <c:crosses val="autoZero"/>
        <c:crossBetween val="between"/>
      </c:valAx>
    </c:plotArea>
    <c:legend>
      <c:legendPos val="r"/>
      <c:layout>
        <c:manualLayout>
          <c:xMode val="edge"/>
          <c:yMode val="edge"/>
          <c:x val="0.65638888888888891"/>
          <c:y val="3.9363517060367455E-2"/>
          <c:w val="0.32694444444444443"/>
          <c:h val="0.9397914843977835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'OECD.Stat export'!$A$17</c:f>
              <c:strCache>
                <c:ptCount val="1"/>
                <c:pt idx="0">
                  <c:v>I. Social Infrastructure &amp; Services</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export'!$B$17:$H$17</c:f>
              <c:numCache>
                <c:formatCode>General</c:formatCode>
                <c:ptCount val="7"/>
                <c:pt idx="0">
                  <c:v>100</c:v>
                </c:pt>
                <c:pt idx="1">
                  <c:v>116.6195218700605</c:v>
                </c:pt>
                <c:pt idx="2">
                  <c:v>132.91631042698796</c:v>
                </c:pt>
                <c:pt idx="3">
                  <c:v>140.36032048597417</c:v>
                </c:pt>
                <c:pt idx="4">
                  <c:v>138.19133818098069</c:v>
                </c:pt>
                <c:pt idx="5">
                  <c:v>148.00178757800552</c:v>
                </c:pt>
                <c:pt idx="6">
                  <c:v>143.22357612957197</c:v>
                </c:pt>
              </c:numCache>
            </c:numRef>
          </c:val>
          <c:smooth val="0"/>
        </c:ser>
        <c:ser>
          <c:idx val="1"/>
          <c:order val="1"/>
          <c:tx>
            <c:strRef>
              <c:f>'OECD.Stat export'!$A$18</c:f>
              <c:strCache>
                <c:ptCount val="1"/>
                <c:pt idx="0">
                  <c:v>II. Economic Infrastructure &amp; Services</c:v>
                </c:pt>
              </c:strCache>
            </c:strRef>
          </c:tx>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export'!$B$18:$H$18</c:f>
              <c:numCache>
                <c:formatCode>General</c:formatCode>
                <c:ptCount val="7"/>
                <c:pt idx="0">
                  <c:v>100</c:v>
                </c:pt>
                <c:pt idx="1">
                  <c:v>123.2892372090907</c:v>
                </c:pt>
                <c:pt idx="2">
                  <c:v>173.57885104887856</c:v>
                </c:pt>
                <c:pt idx="3">
                  <c:v>162.47210025959711</c:v>
                </c:pt>
                <c:pt idx="4">
                  <c:v>192.54024766627992</c:v>
                </c:pt>
                <c:pt idx="5">
                  <c:v>194.31338201727445</c:v>
                </c:pt>
                <c:pt idx="6">
                  <c:v>236.86437250545356</c:v>
                </c:pt>
              </c:numCache>
            </c:numRef>
          </c:val>
          <c:smooth val="0"/>
        </c:ser>
        <c:ser>
          <c:idx val="2"/>
          <c:order val="2"/>
          <c:tx>
            <c:strRef>
              <c:f>'OECD.Stat export'!$A$19</c:f>
              <c:strCache>
                <c:ptCount val="1"/>
                <c:pt idx="0">
                  <c:v>III. Production Sectors</c:v>
                </c:pt>
              </c:strCache>
            </c:strRef>
          </c:tx>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export'!$B$19:$H$19</c:f>
              <c:numCache>
                <c:formatCode>General</c:formatCode>
                <c:ptCount val="7"/>
                <c:pt idx="0">
                  <c:v>100</c:v>
                </c:pt>
                <c:pt idx="1">
                  <c:v>111.11627131414315</c:v>
                </c:pt>
                <c:pt idx="2">
                  <c:v>139.5059380075715</c:v>
                </c:pt>
                <c:pt idx="3">
                  <c:v>157.55365204449029</c:v>
                </c:pt>
                <c:pt idx="4">
                  <c:v>159.16305898482614</c:v>
                </c:pt>
                <c:pt idx="5">
                  <c:v>195.12237297974966</c:v>
                </c:pt>
                <c:pt idx="6">
                  <c:v>217.95273061887443</c:v>
                </c:pt>
              </c:numCache>
            </c:numRef>
          </c:val>
          <c:smooth val="0"/>
        </c:ser>
        <c:ser>
          <c:idx val="3"/>
          <c:order val="3"/>
          <c:tx>
            <c:strRef>
              <c:f>'OECD.Stat export'!$A$20</c:f>
              <c:strCache>
                <c:ptCount val="1"/>
                <c:pt idx="0">
                  <c:v>IV. Multi-Sector / Cross-Cutting</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export'!$B$20:$H$20</c:f>
              <c:numCache>
                <c:formatCode>General</c:formatCode>
                <c:ptCount val="7"/>
                <c:pt idx="0">
                  <c:v>100</c:v>
                </c:pt>
                <c:pt idx="1">
                  <c:v>121.06332367978422</c:v>
                </c:pt>
                <c:pt idx="2">
                  <c:v>136.88786285598658</c:v>
                </c:pt>
                <c:pt idx="3">
                  <c:v>159.46728044690681</c:v>
                </c:pt>
                <c:pt idx="4">
                  <c:v>241.78369535100558</c:v>
                </c:pt>
                <c:pt idx="5">
                  <c:v>209.34662066380702</c:v>
                </c:pt>
                <c:pt idx="6">
                  <c:v>217.10149792883655</c:v>
                </c:pt>
              </c:numCache>
            </c:numRef>
          </c:val>
          <c:smooth val="0"/>
        </c:ser>
        <c:ser>
          <c:idx val="4"/>
          <c:order val="4"/>
          <c:tx>
            <c:strRef>
              <c:f>'OECD.Stat export'!$A$21</c:f>
              <c:strCache>
                <c:ptCount val="1"/>
                <c:pt idx="0">
                  <c:v>VII. Action Relating to Debt</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export'!$B$21:$H$21</c:f>
              <c:numCache>
                <c:formatCode>General</c:formatCode>
                <c:ptCount val="7"/>
                <c:pt idx="0">
                  <c:v>100</c:v>
                </c:pt>
                <c:pt idx="1">
                  <c:v>59.271369767430834</c:v>
                </c:pt>
                <c:pt idx="2">
                  <c:v>48.660668301800754</c:v>
                </c:pt>
                <c:pt idx="3">
                  <c:v>11.840586062399716</c:v>
                </c:pt>
                <c:pt idx="4">
                  <c:v>20.982425109867304</c:v>
                </c:pt>
                <c:pt idx="5">
                  <c:v>19.485247375446008</c:v>
                </c:pt>
                <c:pt idx="6">
                  <c:v>12.632552959769408</c:v>
                </c:pt>
              </c:numCache>
            </c:numRef>
          </c:val>
          <c:smooth val="0"/>
        </c:ser>
        <c:ser>
          <c:idx val="5"/>
          <c:order val="5"/>
          <c:tx>
            <c:strRef>
              <c:f>'OECD.Stat export'!$A$22</c:f>
              <c:strCache>
                <c:ptCount val="1"/>
                <c:pt idx="0">
                  <c:v>VIII. Humanitarian Aid</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export'!$B$22:$H$22</c:f>
              <c:numCache>
                <c:formatCode>General</c:formatCode>
                <c:ptCount val="7"/>
                <c:pt idx="0">
                  <c:v>100</c:v>
                </c:pt>
                <c:pt idx="1">
                  <c:v>105.01437502638157</c:v>
                </c:pt>
                <c:pt idx="2">
                  <c:v>129.00753692247804</c:v>
                </c:pt>
                <c:pt idx="3">
                  <c:v>132.66249876885988</c:v>
                </c:pt>
                <c:pt idx="4">
                  <c:v>156.9351880947579</c:v>
                </c:pt>
                <c:pt idx="5">
                  <c:v>149.75740677338109</c:v>
                </c:pt>
                <c:pt idx="6">
                  <c:v>153.6193174090246</c:v>
                </c:pt>
              </c:numCache>
            </c:numRef>
          </c:val>
          <c:smooth val="0"/>
        </c:ser>
        <c:ser>
          <c:idx val="6"/>
          <c:order val="6"/>
          <c:tx>
            <c:strRef>
              <c:f>'OECD.Stat export'!$A$23</c:f>
              <c:strCache>
                <c:ptCount val="1"/>
                <c:pt idx="0">
                  <c:v>IX. Unallocated / Unspecified</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export'!$B$23:$H$23</c:f>
              <c:numCache>
                <c:formatCode>General</c:formatCode>
                <c:ptCount val="7"/>
                <c:pt idx="0">
                  <c:v>100</c:v>
                </c:pt>
                <c:pt idx="1">
                  <c:v>84.112036062048972</c:v>
                </c:pt>
                <c:pt idx="2">
                  <c:v>97.014476181225632</c:v>
                </c:pt>
                <c:pt idx="3">
                  <c:v>95.345002284783348</c:v>
                </c:pt>
                <c:pt idx="4">
                  <c:v>94.67325390675876</c:v>
                </c:pt>
                <c:pt idx="5">
                  <c:v>111.46666902135482</c:v>
                </c:pt>
                <c:pt idx="6">
                  <c:v>108.41602335850642</c:v>
                </c:pt>
              </c:numCache>
            </c:numRef>
          </c:val>
          <c:smooth val="0"/>
        </c:ser>
        <c:dLbls>
          <c:showLegendKey val="0"/>
          <c:showVal val="0"/>
          <c:showCatName val="0"/>
          <c:showSerName val="0"/>
          <c:showPercent val="0"/>
          <c:showBubbleSize val="0"/>
        </c:dLbls>
        <c:marker val="1"/>
        <c:smooth val="0"/>
        <c:axId val="294252544"/>
        <c:axId val="294254848"/>
      </c:lineChart>
      <c:catAx>
        <c:axId val="294252544"/>
        <c:scaling>
          <c:orientation val="minMax"/>
        </c:scaling>
        <c:delete val="0"/>
        <c:axPos val="b"/>
        <c:majorTickMark val="out"/>
        <c:minorTickMark val="none"/>
        <c:tickLblPos val="nextTo"/>
        <c:crossAx val="294254848"/>
        <c:crosses val="autoZero"/>
        <c:auto val="1"/>
        <c:lblAlgn val="ctr"/>
        <c:lblOffset val="100"/>
        <c:noMultiLvlLbl val="0"/>
      </c:catAx>
      <c:valAx>
        <c:axId val="294254848"/>
        <c:scaling>
          <c:orientation val="minMax"/>
        </c:scaling>
        <c:delete val="0"/>
        <c:axPos val="l"/>
        <c:majorGridlines/>
        <c:numFmt formatCode="General" sourceLinked="1"/>
        <c:majorTickMark val="out"/>
        <c:minorTickMark val="none"/>
        <c:tickLblPos val="nextTo"/>
        <c:crossAx val="294252544"/>
        <c:crosses val="autoZero"/>
        <c:crossBetween val="between"/>
      </c:valAx>
    </c:plotArea>
    <c:legend>
      <c:legendPos val="r"/>
      <c:layout>
        <c:manualLayout>
          <c:xMode val="edge"/>
          <c:yMode val="edge"/>
          <c:x val="0.65155424321959754"/>
          <c:y val="2.0844998541848937E-2"/>
          <c:w val="0.3317790901137358"/>
          <c:h val="0.9675692621755613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E0A8C4A0-D1C4-4A6F-8504-C3B67F49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4161</Words>
  <Characters>22890</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HABBARD Pierre</dc:creator>
  <cp:lastModifiedBy>Marion Levillain</cp:lastModifiedBy>
  <cp:revision>2</cp:revision>
  <cp:lastPrinted>2014-03-11T19:24:00Z</cp:lastPrinted>
  <dcterms:created xsi:type="dcterms:W3CDTF">2014-03-14T17:35:00Z</dcterms:created>
  <dcterms:modified xsi:type="dcterms:W3CDTF">2014-03-14T17:35:00Z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