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FA" w:rsidRDefault="00A752FA" w:rsidP="00426B9D">
      <w:pPr>
        <w:jc w:val="center"/>
        <w:rPr>
          <w:b/>
          <w:sz w:val="32"/>
          <w:szCs w:val="32"/>
          <w:lang w:val="fr-FR"/>
        </w:rPr>
      </w:pPr>
      <w:r w:rsidRPr="00A752FA">
        <w:rPr>
          <w:rFonts w:ascii="Calibri" w:eastAsia="Calibri" w:hAnsi="Calibri" w:cs="Times New Roman"/>
          <w:b/>
          <w:noProof/>
          <w:sz w:val="32"/>
          <w:lang w:val="fr-BE" w:eastAsia="fr-BE"/>
        </w:rPr>
        <w:drawing>
          <wp:inline distT="0" distB="0" distL="0" distR="0" wp14:anchorId="7DD45911" wp14:editId="5669E50C">
            <wp:extent cx="2767054" cy="1017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jpg"/>
                    <pic:cNvPicPr/>
                  </pic:nvPicPr>
                  <pic:blipFill>
                    <a:blip r:embed="rId8">
                      <a:extLst>
                        <a:ext uri="{28A0092B-C50C-407E-A947-70E740481C1C}">
                          <a14:useLocalDpi xmlns:a14="http://schemas.microsoft.com/office/drawing/2010/main" val="0"/>
                        </a:ext>
                      </a:extLst>
                    </a:blip>
                    <a:stretch>
                      <a:fillRect/>
                    </a:stretch>
                  </pic:blipFill>
                  <pic:spPr>
                    <a:xfrm>
                      <a:off x="0" y="0"/>
                      <a:ext cx="2770677" cy="1019100"/>
                    </a:xfrm>
                    <a:prstGeom prst="rect">
                      <a:avLst/>
                    </a:prstGeom>
                  </pic:spPr>
                </pic:pic>
              </a:graphicData>
            </a:graphic>
          </wp:inline>
        </w:drawing>
      </w:r>
    </w:p>
    <w:p w:rsidR="00A752FA" w:rsidRDefault="00A752FA" w:rsidP="00A752FA">
      <w:pPr>
        <w:rPr>
          <w:b/>
          <w:sz w:val="32"/>
          <w:szCs w:val="32"/>
          <w:lang w:val="fr-FR"/>
        </w:rPr>
      </w:pPr>
    </w:p>
    <w:p w:rsidR="0020219A" w:rsidRPr="00C87179" w:rsidRDefault="00426B9D" w:rsidP="00426B9D">
      <w:pPr>
        <w:jc w:val="center"/>
        <w:rPr>
          <w:b/>
          <w:sz w:val="32"/>
          <w:szCs w:val="32"/>
          <w:lang w:val="fr-FR"/>
        </w:rPr>
      </w:pPr>
      <w:r w:rsidRPr="00C87179">
        <w:rPr>
          <w:b/>
          <w:sz w:val="32"/>
          <w:szCs w:val="32"/>
          <w:lang w:val="fr-FR"/>
        </w:rPr>
        <w:t>STRAT</w:t>
      </w:r>
      <w:r w:rsidR="00BA1CD2" w:rsidRPr="00C87179">
        <w:rPr>
          <w:b/>
          <w:sz w:val="32"/>
          <w:szCs w:val="32"/>
          <w:lang w:val="fr-FR"/>
        </w:rPr>
        <w:t xml:space="preserve">ÉGIES SUR LES </w:t>
      </w:r>
      <w:r w:rsidRPr="00C87179">
        <w:rPr>
          <w:b/>
          <w:sz w:val="32"/>
          <w:szCs w:val="32"/>
          <w:lang w:val="fr-FR"/>
        </w:rPr>
        <w:t>PARTENARIATS SYNDICAUX POUR LE D</w:t>
      </w:r>
      <w:r w:rsidR="00714715">
        <w:rPr>
          <w:b/>
          <w:sz w:val="32"/>
          <w:szCs w:val="32"/>
          <w:lang w:val="fr-FR"/>
        </w:rPr>
        <w:t>É</w:t>
      </w:r>
      <w:r w:rsidRPr="00C87179">
        <w:rPr>
          <w:b/>
          <w:sz w:val="32"/>
          <w:szCs w:val="32"/>
          <w:lang w:val="fr-FR"/>
        </w:rPr>
        <w:t>VELOPPEMENT</w:t>
      </w:r>
    </w:p>
    <w:p w:rsidR="00426B9D" w:rsidRPr="00C87179" w:rsidRDefault="00426B9D" w:rsidP="00426B9D">
      <w:pPr>
        <w:jc w:val="center"/>
        <w:rPr>
          <w:b/>
          <w:lang w:val="fr-FR"/>
        </w:rPr>
      </w:pPr>
      <w:r w:rsidRPr="00C87179">
        <w:rPr>
          <w:b/>
          <w:lang w:val="fr-FR"/>
        </w:rPr>
        <w:t>(</w:t>
      </w:r>
      <w:r w:rsidR="0030508F" w:rsidRPr="00C87179">
        <w:rPr>
          <w:b/>
          <w:lang w:val="fr-FR"/>
        </w:rPr>
        <w:t>2013-2017</w:t>
      </w:r>
      <w:r w:rsidRPr="00C87179">
        <w:rPr>
          <w:b/>
          <w:lang w:val="fr-FR"/>
        </w:rPr>
        <w:t>)</w:t>
      </w:r>
    </w:p>
    <w:p w:rsidR="00426B9D" w:rsidRPr="00C87179" w:rsidRDefault="0030508F" w:rsidP="00307AB7">
      <w:pPr>
        <w:jc w:val="both"/>
        <w:rPr>
          <w:lang w:val="fr-FR"/>
        </w:rPr>
      </w:pPr>
      <w:r w:rsidRPr="00C87179">
        <w:rPr>
          <w:lang w:val="fr-FR"/>
        </w:rPr>
        <w:t xml:space="preserve">« Les partenariats syndicaux pour le développement » constitueront l’un des trois piliers (au même titre que le plaidoyer mondial et le développement des capacités) du nouveau programme du RSCD </w:t>
      </w:r>
      <w:r w:rsidR="00D14875" w:rsidRPr="00C87179">
        <w:rPr>
          <w:lang w:val="fr-FR"/>
        </w:rPr>
        <w:t>2013-2017. Ce thème</w:t>
      </w:r>
      <w:r w:rsidR="009F3958" w:rsidRPr="00C87179">
        <w:rPr>
          <w:lang w:val="fr-FR"/>
        </w:rPr>
        <w:t xml:space="preserve"> est basé sur les résultats obtenus à ce jour</w:t>
      </w:r>
      <w:r w:rsidR="00A71C17" w:rsidRPr="00C87179">
        <w:rPr>
          <w:lang w:val="fr-FR"/>
        </w:rPr>
        <w:t xml:space="preserve"> dans le cadre du </w:t>
      </w:r>
      <w:r w:rsidR="00BF141F" w:rsidRPr="00C87179">
        <w:rPr>
          <w:lang w:val="fr-FR"/>
        </w:rPr>
        <w:t xml:space="preserve">travail </w:t>
      </w:r>
      <w:r w:rsidR="00A71C17" w:rsidRPr="00C87179">
        <w:rPr>
          <w:lang w:val="fr-FR"/>
        </w:rPr>
        <w:t>réalisé</w:t>
      </w:r>
      <w:r w:rsidR="00BF141F" w:rsidRPr="00C87179">
        <w:rPr>
          <w:lang w:val="fr-FR"/>
        </w:rPr>
        <w:t xml:space="preserve"> par le RSCD en matière d’efficacité </w:t>
      </w:r>
      <w:r w:rsidR="00A71C17" w:rsidRPr="00C87179">
        <w:rPr>
          <w:lang w:val="fr-FR"/>
        </w:rPr>
        <w:t xml:space="preserve">du développement des syndicats, à savoir les </w:t>
      </w:r>
      <w:r w:rsidR="00A71C17" w:rsidRPr="00C87179">
        <w:rPr>
          <w:i/>
          <w:lang w:val="fr-FR"/>
        </w:rPr>
        <w:t>Principes et directives syndicaux</w:t>
      </w:r>
      <w:r w:rsidR="00A71C17" w:rsidRPr="00C87179">
        <w:rPr>
          <w:rStyle w:val="FootnoteReference"/>
          <w:lang w:val="fr-FR"/>
        </w:rPr>
        <w:footnoteReference w:id="1"/>
      </w:r>
      <w:r w:rsidR="00A71C17" w:rsidRPr="00C87179">
        <w:rPr>
          <w:lang w:val="fr-FR"/>
        </w:rPr>
        <w:t xml:space="preserve">, le </w:t>
      </w:r>
      <w:r w:rsidR="00A71C17" w:rsidRPr="00307AB7">
        <w:rPr>
          <w:i/>
          <w:lang w:val="fr-FR"/>
        </w:rPr>
        <w:t>TUDEP</w:t>
      </w:r>
      <w:r w:rsidR="00A71C17" w:rsidRPr="00C87179">
        <w:rPr>
          <w:rStyle w:val="FootnoteReference"/>
          <w:lang w:val="fr-FR"/>
        </w:rPr>
        <w:footnoteReference w:id="2"/>
      </w:r>
      <w:r w:rsidR="00C87179" w:rsidRPr="00C87179">
        <w:rPr>
          <w:lang w:val="fr-FR"/>
        </w:rPr>
        <w:t xml:space="preserve"> et plus récemment le projet </w:t>
      </w:r>
      <w:r w:rsidR="00C87179">
        <w:rPr>
          <w:lang w:val="fr-FR"/>
        </w:rPr>
        <w:t xml:space="preserve">de </w:t>
      </w:r>
      <w:r w:rsidR="00C87179" w:rsidRPr="00307AB7">
        <w:rPr>
          <w:i/>
          <w:lang w:val="fr-FR"/>
        </w:rPr>
        <w:t xml:space="preserve">Note </w:t>
      </w:r>
      <w:r w:rsidR="00307AB7" w:rsidRPr="00307AB7">
        <w:rPr>
          <w:i/>
          <w:lang w:val="fr-FR"/>
        </w:rPr>
        <w:t>d’orientation pour les syndicats sur le suivi et l’évaluation des programmes de développement</w:t>
      </w:r>
      <w:r w:rsidR="00307AB7">
        <w:rPr>
          <w:lang w:val="fr-FR"/>
        </w:rPr>
        <w:t xml:space="preserve"> (en cours). </w:t>
      </w:r>
    </w:p>
    <w:p w:rsidR="00426B9D" w:rsidRPr="00C87179" w:rsidRDefault="0026045C" w:rsidP="00426B9D">
      <w:pPr>
        <w:pStyle w:val="ListParagraph"/>
        <w:numPr>
          <w:ilvl w:val="0"/>
          <w:numId w:val="1"/>
        </w:numPr>
        <w:rPr>
          <w:b/>
          <w:lang w:val="fr-FR"/>
        </w:rPr>
      </w:pPr>
      <w:r w:rsidRPr="00C87179">
        <w:rPr>
          <w:b/>
          <w:lang w:val="fr-FR"/>
        </w:rPr>
        <w:t>RENFORCER LA VISIBILITE D</w:t>
      </w:r>
      <w:r w:rsidR="00BA1CD2" w:rsidRPr="00C87179">
        <w:rPr>
          <w:b/>
          <w:lang w:val="fr-FR"/>
        </w:rPr>
        <w:t>U</w:t>
      </w:r>
      <w:r w:rsidRPr="00C87179">
        <w:rPr>
          <w:b/>
          <w:lang w:val="fr-FR"/>
        </w:rPr>
        <w:t xml:space="preserve"> TUDEP</w:t>
      </w:r>
    </w:p>
    <w:p w:rsidR="0026045C" w:rsidRPr="00C87179" w:rsidRDefault="0026045C" w:rsidP="0026045C">
      <w:pPr>
        <w:pStyle w:val="ListParagraph"/>
        <w:rPr>
          <w:lang w:val="fr-FR"/>
        </w:rPr>
      </w:pPr>
    </w:p>
    <w:p w:rsidR="008B51F5" w:rsidRPr="00C87179" w:rsidRDefault="00BA1CD2" w:rsidP="00A752FA">
      <w:pPr>
        <w:pStyle w:val="ListParagraph"/>
        <w:ind w:left="0"/>
        <w:jc w:val="both"/>
        <w:rPr>
          <w:lang w:val="fr-FR"/>
        </w:rPr>
      </w:pPr>
      <w:r w:rsidRPr="00C87179">
        <w:rPr>
          <w:lang w:val="fr-FR"/>
        </w:rPr>
        <w:t xml:space="preserve">Le </w:t>
      </w:r>
      <w:r w:rsidR="00D55C18">
        <w:rPr>
          <w:lang w:val="fr-FR"/>
        </w:rPr>
        <w:t>Profil syndical de l’efficacité du développement (</w:t>
      </w:r>
      <w:r w:rsidR="009F22C1" w:rsidRPr="00C87179">
        <w:rPr>
          <w:lang w:val="fr-FR"/>
        </w:rPr>
        <w:t>TUDEP</w:t>
      </w:r>
      <w:r w:rsidR="00D55C18">
        <w:rPr>
          <w:lang w:val="fr-FR"/>
        </w:rPr>
        <w:t>)</w:t>
      </w:r>
      <w:r w:rsidR="009F22C1" w:rsidRPr="00C87179">
        <w:rPr>
          <w:lang w:val="fr-FR"/>
        </w:rPr>
        <w:t xml:space="preserve"> est un outil d'apprentissage visant à soutenir les acteurs syndicaux du développement à mettre les Principes en pratique et à faciliter le suivi et l'évaluation de leur mise en œuvre. </w:t>
      </w:r>
      <w:r w:rsidRPr="00C87179">
        <w:rPr>
          <w:lang w:val="fr-FR"/>
        </w:rPr>
        <w:t xml:space="preserve">Le </w:t>
      </w:r>
      <w:r w:rsidR="009F22C1" w:rsidRPr="00C87179">
        <w:rPr>
          <w:lang w:val="fr-FR"/>
        </w:rPr>
        <w:t xml:space="preserve">TUDEP a été conçu et approuvé par le </w:t>
      </w:r>
      <w:r w:rsidR="00F664B4" w:rsidRPr="00C87179">
        <w:rPr>
          <w:lang w:val="fr-FR"/>
        </w:rPr>
        <w:t>RSCD</w:t>
      </w:r>
      <w:r w:rsidR="009F22C1" w:rsidRPr="00C87179">
        <w:rPr>
          <w:lang w:val="fr-FR"/>
        </w:rPr>
        <w:t xml:space="preserve"> fin 2011. Les membres du RSCD ont, de manière générale, souligné la pertinence de cet instrument, notamment eu égard à :  1) son orientation axée sur l'apprentissage (vis-à-vis des rôles et des fonctions des partenaires </w:t>
      </w:r>
      <w:r w:rsidR="00F664B4" w:rsidRPr="00C87179">
        <w:rPr>
          <w:lang w:val="fr-FR"/>
        </w:rPr>
        <w:t>qui apportent leur appui</w:t>
      </w:r>
      <w:r w:rsidR="009F22C1" w:rsidRPr="00C87179">
        <w:rPr>
          <w:lang w:val="fr-FR"/>
        </w:rPr>
        <w:t xml:space="preserve"> et </w:t>
      </w:r>
      <w:r w:rsidR="00F664B4" w:rsidRPr="00C87179">
        <w:rPr>
          <w:lang w:val="fr-FR"/>
        </w:rPr>
        <w:t>ceux qui en bénéficient</w:t>
      </w:r>
      <w:r w:rsidR="00754488" w:rsidRPr="00C87179">
        <w:rPr>
          <w:lang w:val="fr-FR"/>
        </w:rPr>
        <w:t>, qu’il place</w:t>
      </w:r>
      <w:r w:rsidR="009F22C1" w:rsidRPr="00C87179">
        <w:rPr>
          <w:lang w:val="fr-FR"/>
        </w:rPr>
        <w:t xml:space="preserve"> sur un pied d'égalité et </w:t>
      </w:r>
      <w:r w:rsidR="00754488" w:rsidRPr="00C87179">
        <w:rPr>
          <w:lang w:val="fr-FR"/>
        </w:rPr>
        <w:t>par le biais</w:t>
      </w:r>
      <w:r w:rsidR="009F22C1" w:rsidRPr="00C87179">
        <w:rPr>
          <w:lang w:val="fr-FR"/>
        </w:rPr>
        <w:t xml:space="preserve"> des informations immédiates et directes</w:t>
      </w:r>
      <w:r w:rsidR="00754488" w:rsidRPr="00C87179">
        <w:rPr>
          <w:lang w:val="fr-FR"/>
        </w:rPr>
        <w:t xml:space="preserve"> qu’il fournit</w:t>
      </w:r>
      <w:r w:rsidR="009F22C1" w:rsidRPr="00C87179">
        <w:rPr>
          <w:lang w:val="fr-FR"/>
        </w:rPr>
        <w:t xml:space="preserve">); 2) la promotion des processus en faveur du renforcement des capacités (il présente en effet des données de référence qui peuvent être utilisées afin de répondre aux besoins possibles liés à la capacité organisationnelle/politique des partenaires). Il s'agit d'éléments très importants </w:t>
      </w:r>
      <w:r w:rsidR="00754488" w:rsidRPr="00C87179">
        <w:rPr>
          <w:lang w:val="fr-FR"/>
        </w:rPr>
        <w:t>qui suscitent très souvent un véritable « </w:t>
      </w:r>
      <w:r w:rsidR="009F22C1" w:rsidRPr="00C87179">
        <w:rPr>
          <w:lang w:val="fr-FR"/>
        </w:rPr>
        <w:t>c</w:t>
      </w:r>
      <w:r w:rsidR="00754488" w:rsidRPr="00C87179">
        <w:rPr>
          <w:lang w:val="fr-FR"/>
        </w:rPr>
        <w:t>hangement d'approche culturelle »</w:t>
      </w:r>
      <w:r w:rsidR="009F22C1" w:rsidRPr="00C87179">
        <w:rPr>
          <w:lang w:val="fr-FR"/>
        </w:rPr>
        <w:t xml:space="preserve"> au sein des organisations. La promotion de TUDEP devra être davantage soutenue (initialement), en particulier à l'échelle régionale dans le Sud.</w:t>
      </w:r>
    </w:p>
    <w:p w:rsidR="00CE3499" w:rsidRPr="00C87179" w:rsidRDefault="00CE3499" w:rsidP="00A752FA">
      <w:pPr>
        <w:pStyle w:val="ListParagraph"/>
        <w:ind w:left="0"/>
        <w:jc w:val="both"/>
        <w:rPr>
          <w:lang w:val="fr-FR"/>
        </w:rPr>
      </w:pPr>
    </w:p>
    <w:p w:rsidR="00CE3499" w:rsidRPr="00C87179" w:rsidRDefault="00CE3499" w:rsidP="00A752FA">
      <w:pPr>
        <w:pStyle w:val="ListParagraph"/>
        <w:ind w:left="0"/>
        <w:jc w:val="both"/>
        <w:rPr>
          <w:u w:val="single"/>
          <w:lang w:val="fr-FR"/>
        </w:rPr>
      </w:pPr>
      <w:r w:rsidRPr="00C87179">
        <w:rPr>
          <w:u w:val="single"/>
          <w:lang w:val="fr-FR"/>
        </w:rPr>
        <w:t>Résultats</w:t>
      </w:r>
    </w:p>
    <w:p w:rsidR="009A3425" w:rsidRDefault="00B03D2F" w:rsidP="00A752FA">
      <w:pPr>
        <w:pStyle w:val="ListParagraph"/>
        <w:ind w:left="0"/>
        <w:jc w:val="both"/>
        <w:rPr>
          <w:lang w:val="fr-FR"/>
        </w:rPr>
      </w:pPr>
      <w:r>
        <w:rPr>
          <w:lang w:val="fr-FR"/>
        </w:rPr>
        <w:t>Des r</w:t>
      </w:r>
      <w:r w:rsidR="00CE3499" w:rsidRPr="00C87179">
        <w:rPr>
          <w:lang w:val="fr-FR"/>
        </w:rPr>
        <w:t xml:space="preserve">elations de partenariat plus égales et équilibrées entre les </w:t>
      </w:r>
      <w:r>
        <w:rPr>
          <w:lang w:val="fr-FR"/>
        </w:rPr>
        <w:t>syndicats qui reçoivent et fournissent un soutien financier (partenaires</w:t>
      </w:r>
      <w:r w:rsidR="00C71C69">
        <w:rPr>
          <w:lang w:val="fr-FR"/>
        </w:rPr>
        <w:t xml:space="preserve"> donateurs et bénéficiaires)</w:t>
      </w:r>
    </w:p>
    <w:p w:rsidR="009A3425" w:rsidRDefault="009A3425" w:rsidP="00A752FA">
      <w:pPr>
        <w:pStyle w:val="ListParagraph"/>
        <w:numPr>
          <w:ilvl w:val="0"/>
          <w:numId w:val="3"/>
        </w:numPr>
        <w:ind w:left="360"/>
        <w:jc w:val="both"/>
        <w:rPr>
          <w:lang w:val="fr-FR"/>
        </w:rPr>
      </w:pPr>
      <w:r>
        <w:rPr>
          <w:lang w:val="fr-FR"/>
        </w:rPr>
        <w:t xml:space="preserve">basées sur les besoins et demandes </w:t>
      </w:r>
      <w:r w:rsidR="00714715">
        <w:rPr>
          <w:lang w:val="fr-FR"/>
        </w:rPr>
        <w:t>réels</w:t>
      </w:r>
      <w:r>
        <w:rPr>
          <w:lang w:val="fr-FR"/>
        </w:rPr>
        <w:t xml:space="preserve"> des organisations partenaires dans le Sud</w:t>
      </w:r>
    </w:p>
    <w:p w:rsidR="00CE3499" w:rsidRDefault="009A3425" w:rsidP="00A752FA">
      <w:pPr>
        <w:pStyle w:val="ListParagraph"/>
        <w:numPr>
          <w:ilvl w:val="0"/>
          <w:numId w:val="3"/>
        </w:numPr>
        <w:ind w:left="360"/>
        <w:jc w:val="both"/>
        <w:rPr>
          <w:lang w:val="fr-FR"/>
        </w:rPr>
      </w:pPr>
      <w:r>
        <w:rPr>
          <w:lang w:val="fr-FR"/>
        </w:rPr>
        <w:t>basées sur</w:t>
      </w:r>
      <w:r w:rsidR="00CE3499" w:rsidRPr="00C87179">
        <w:rPr>
          <w:lang w:val="fr-FR"/>
        </w:rPr>
        <w:t xml:space="preserve"> des méthodologies d'évaluation communes</w:t>
      </w:r>
    </w:p>
    <w:p w:rsidR="009A3425" w:rsidRDefault="009A3425" w:rsidP="00A752FA">
      <w:pPr>
        <w:pStyle w:val="ListParagraph"/>
        <w:numPr>
          <w:ilvl w:val="0"/>
          <w:numId w:val="3"/>
        </w:numPr>
        <w:ind w:left="720"/>
        <w:rPr>
          <w:lang w:val="fr-FR"/>
        </w:rPr>
      </w:pPr>
      <w:r w:rsidRPr="009A3425">
        <w:rPr>
          <w:lang w:val="fr-FR"/>
        </w:rPr>
        <w:lastRenderedPageBreak/>
        <w:t>axées davantage sur les processus d’apprentissage et le développement des capacités</w:t>
      </w:r>
    </w:p>
    <w:p w:rsidR="009A3425" w:rsidRPr="009A3425" w:rsidRDefault="009A3425" w:rsidP="009A3425">
      <w:pPr>
        <w:ind w:left="720"/>
        <w:rPr>
          <w:u w:val="single"/>
          <w:lang w:val="fr-FR"/>
        </w:rPr>
      </w:pPr>
      <w:r>
        <w:rPr>
          <w:u w:val="single"/>
          <w:lang w:val="fr-FR"/>
        </w:rPr>
        <w:t>MÉTHODOLOGIES</w:t>
      </w:r>
    </w:p>
    <w:p w:rsidR="00D35F75" w:rsidRPr="00C87179" w:rsidRDefault="009A3425" w:rsidP="009A3425">
      <w:pPr>
        <w:pStyle w:val="ListParagraph"/>
        <w:numPr>
          <w:ilvl w:val="0"/>
          <w:numId w:val="4"/>
        </w:numPr>
        <w:rPr>
          <w:lang w:val="fr-FR"/>
        </w:rPr>
      </w:pPr>
      <w:r>
        <w:rPr>
          <w:lang w:val="fr-FR"/>
        </w:rPr>
        <w:t>Accroître la visibilité de l’outil TUDEP (outils sur le web)</w:t>
      </w:r>
    </w:p>
    <w:p w:rsidR="00CE3499" w:rsidRDefault="002C1EBD" w:rsidP="002C1EBD">
      <w:pPr>
        <w:pStyle w:val="ListParagraph"/>
        <w:numPr>
          <w:ilvl w:val="0"/>
          <w:numId w:val="4"/>
        </w:numPr>
        <w:rPr>
          <w:lang w:val="fr-FR"/>
        </w:rPr>
      </w:pPr>
      <w:r w:rsidRPr="00C87179">
        <w:rPr>
          <w:lang w:val="fr-FR"/>
        </w:rPr>
        <w:t>Organis</w:t>
      </w:r>
      <w:r w:rsidR="00865A1E">
        <w:rPr>
          <w:lang w:val="fr-FR"/>
        </w:rPr>
        <w:t>er des</w:t>
      </w:r>
      <w:r w:rsidRPr="00C87179">
        <w:rPr>
          <w:lang w:val="fr-FR"/>
        </w:rPr>
        <w:t xml:space="preserve"> séances de « mise en œuvre » </w:t>
      </w:r>
      <w:r>
        <w:rPr>
          <w:lang w:val="fr-FR"/>
        </w:rPr>
        <w:t xml:space="preserve">du TUDEP </w:t>
      </w:r>
      <w:r w:rsidRPr="00C87179">
        <w:rPr>
          <w:lang w:val="fr-FR"/>
        </w:rPr>
        <w:t xml:space="preserve">au niveau régional à l'occasion de la réunion des organisations solidaires syndicales,  incluant les syndicats donateurs et bénéficiaires sur </w:t>
      </w:r>
      <w:r w:rsidR="00D723A1">
        <w:rPr>
          <w:lang w:val="fr-FR"/>
        </w:rPr>
        <w:t>d</w:t>
      </w:r>
      <w:r w:rsidRPr="00C87179">
        <w:rPr>
          <w:lang w:val="fr-FR"/>
        </w:rPr>
        <w:t>es projets concrets</w:t>
      </w:r>
      <w:r w:rsidR="007B4DE8">
        <w:rPr>
          <w:lang w:val="fr-FR"/>
        </w:rPr>
        <w:t xml:space="preserve"> (séminaires de facilitation)</w:t>
      </w:r>
    </w:p>
    <w:p w:rsidR="007B4DE8" w:rsidRPr="00C87179" w:rsidRDefault="007B4DE8" w:rsidP="002C1EBD">
      <w:pPr>
        <w:pStyle w:val="ListParagraph"/>
        <w:numPr>
          <w:ilvl w:val="0"/>
          <w:numId w:val="4"/>
        </w:numPr>
        <w:rPr>
          <w:lang w:val="fr-FR"/>
        </w:rPr>
      </w:pPr>
      <w:r>
        <w:rPr>
          <w:lang w:val="fr-FR"/>
        </w:rPr>
        <w:t>Évaluation globale des résultats du TUDEP (séminaire)</w:t>
      </w:r>
    </w:p>
    <w:p w:rsidR="00D35F75" w:rsidRPr="00C87179" w:rsidRDefault="00D35F75" w:rsidP="0026045C">
      <w:pPr>
        <w:pStyle w:val="ListParagraph"/>
        <w:rPr>
          <w:u w:val="single"/>
          <w:lang w:val="fr-FR"/>
        </w:rPr>
      </w:pPr>
    </w:p>
    <w:p w:rsidR="0026045C" w:rsidRPr="00C87179" w:rsidRDefault="0026045C" w:rsidP="0026045C">
      <w:pPr>
        <w:pStyle w:val="ListParagraph"/>
        <w:ind w:left="1080"/>
        <w:rPr>
          <w:lang w:val="fr-FR"/>
        </w:rPr>
      </w:pPr>
    </w:p>
    <w:p w:rsidR="00426B9D" w:rsidRPr="00C87179" w:rsidRDefault="0026045C" w:rsidP="00426B9D">
      <w:pPr>
        <w:pStyle w:val="ListParagraph"/>
        <w:numPr>
          <w:ilvl w:val="0"/>
          <w:numId w:val="1"/>
        </w:numPr>
        <w:rPr>
          <w:b/>
          <w:lang w:val="fr-FR"/>
        </w:rPr>
      </w:pPr>
      <w:r w:rsidRPr="00C87179">
        <w:rPr>
          <w:b/>
          <w:lang w:val="fr-FR"/>
        </w:rPr>
        <w:t>RENFORCER LES CAPACIT</w:t>
      </w:r>
      <w:r w:rsidR="00D723A1">
        <w:rPr>
          <w:b/>
          <w:lang w:val="fr-FR"/>
        </w:rPr>
        <w:t>É</w:t>
      </w:r>
      <w:r w:rsidRPr="00C87179">
        <w:rPr>
          <w:b/>
          <w:lang w:val="fr-FR"/>
        </w:rPr>
        <w:t>S RELATIVES AUX M</w:t>
      </w:r>
      <w:r w:rsidR="00D723A1">
        <w:rPr>
          <w:b/>
          <w:lang w:val="fr-FR"/>
        </w:rPr>
        <w:t>É</w:t>
      </w:r>
      <w:r w:rsidRPr="00C87179">
        <w:rPr>
          <w:b/>
          <w:lang w:val="fr-FR"/>
        </w:rPr>
        <w:t>THODOLOGIES DE SUIVI</w:t>
      </w:r>
      <w:r w:rsidR="00D723A1">
        <w:rPr>
          <w:b/>
          <w:lang w:val="fr-FR"/>
        </w:rPr>
        <w:t xml:space="preserve"> ET D’É</w:t>
      </w:r>
      <w:r w:rsidRPr="00C87179">
        <w:rPr>
          <w:b/>
          <w:lang w:val="fr-FR"/>
        </w:rPr>
        <w:t>VALUATION</w:t>
      </w:r>
    </w:p>
    <w:p w:rsidR="0026045C" w:rsidRPr="00C87179" w:rsidRDefault="0026045C" w:rsidP="0026045C">
      <w:pPr>
        <w:pStyle w:val="ListParagraph"/>
        <w:rPr>
          <w:lang w:val="fr-FR"/>
        </w:rPr>
      </w:pPr>
    </w:p>
    <w:p w:rsidR="0020219A" w:rsidRPr="00C87179" w:rsidRDefault="008B51F5" w:rsidP="00F90817">
      <w:pPr>
        <w:pStyle w:val="ListParagraph"/>
        <w:jc w:val="both"/>
        <w:rPr>
          <w:lang w:val="fr-FR"/>
        </w:rPr>
      </w:pPr>
      <w:r w:rsidRPr="00C87179">
        <w:rPr>
          <w:lang w:val="fr-FR"/>
        </w:rPr>
        <w:t xml:space="preserve">Le renforcement et la mise en commun des pratiques de suivi </w:t>
      </w:r>
      <w:r w:rsidR="007B4DE8">
        <w:rPr>
          <w:lang w:val="fr-FR"/>
        </w:rPr>
        <w:t>et d’</w:t>
      </w:r>
      <w:r w:rsidRPr="00C87179">
        <w:rPr>
          <w:lang w:val="fr-FR"/>
        </w:rPr>
        <w:t>évaluation est une priorité déjà identifiée dans les principes syndicaux et évoq</w:t>
      </w:r>
      <w:r w:rsidR="00754488" w:rsidRPr="00C87179">
        <w:rPr>
          <w:lang w:val="fr-FR"/>
        </w:rPr>
        <w:t xml:space="preserve">uée dans le TUDEP lui-même. </w:t>
      </w:r>
      <w:r w:rsidR="007B4DE8">
        <w:rPr>
          <w:lang w:val="fr-FR"/>
        </w:rPr>
        <w:t xml:space="preserve">Le besoin de renforcer la capacité des syndicats au niveau méthodologique doit désormais être abordé plus systématiquement. Le projet de </w:t>
      </w:r>
      <w:r w:rsidR="0081417A" w:rsidRPr="00307AB7">
        <w:rPr>
          <w:i/>
          <w:lang w:val="fr-FR"/>
        </w:rPr>
        <w:t>Note d’orientation pour les syndicats sur le suivi et l’évaluation des programmes de développement</w:t>
      </w:r>
      <w:r w:rsidR="00BF666D">
        <w:rPr>
          <w:lang w:val="fr-FR"/>
        </w:rPr>
        <w:t> </w:t>
      </w:r>
      <w:r w:rsidRPr="00C87179">
        <w:rPr>
          <w:lang w:val="fr-FR"/>
        </w:rPr>
        <w:t xml:space="preserve">s'appuie sur cet acquis et constitue une première réponse dans ce sens. </w:t>
      </w:r>
      <w:r w:rsidR="00BF666D">
        <w:rPr>
          <w:lang w:val="fr-FR"/>
        </w:rPr>
        <w:t xml:space="preserve">Le guide met en exergue les spécificités syndicales par rapport aux méthodologies de suivi et d’évaluation et </w:t>
      </w:r>
      <w:r w:rsidRPr="00C87179">
        <w:rPr>
          <w:lang w:val="fr-FR"/>
        </w:rPr>
        <w:t xml:space="preserve">vise à améliorer la capacité d'analyse des syndicats en matière de suivi </w:t>
      </w:r>
      <w:r w:rsidR="00BF666D">
        <w:rPr>
          <w:lang w:val="fr-FR"/>
        </w:rPr>
        <w:t>et d’</w:t>
      </w:r>
      <w:r w:rsidRPr="00C87179">
        <w:rPr>
          <w:lang w:val="fr-FR"/>
        </w:rPr>
        <w:t xml:space="preserve">évaluation et </w:t>
      </w:r>
      <w:r w:rsidR="00BF666D">
        <w:rPr>
          <w:lang w:val="fr-FR"/>
        </w:rPr>
        <w:t xml:space="preserve">à </w:t>
      </w:r>
      <w:r w:rsidRPr="00C87179">
        <w:rPr>
          <w:lang w:val="fr-FR"/>
        </w:rPr>
        <w:t xml:space="preserve">offrir une orientation en ce qui concerne les  pratiques </w:t>
      </w:r>
      <w:r w:rsidR="00754488" w:rsidRPr="00C87179">
        <w:rPr>
          <w:lang w:val="fr-FR"/>
        </w:rPr>
        <w:t>partagées</w:t>
      </w:r>
      <w:r w:rsidR="00BF666D">
        <w:rPr>
          <w:lang w:val="fr-FR"/>
        </w:rPr>
        <w:t>. Le guide s’</w:t>
      </w:r>
      <w:r w:rsidR="00A30649">
        <w:rPr>
          <w:lang w:val="fr-FR"/>
        </w:rPr>
        <w:t>axe sur les approches méthodologiques alternatives sur le suivi et l’évaluation, en particulier la dénommée « théorie du changement », en vue de mieux soutenir l’év</w:t>
      </w:r>
      <w:r w:rsidR="005A1B2B">
        <w:rPr>
          <w:lang w:val="fr-FR"/>
        </w:rPr>
        <w:t>a</w:t>
      </w:r>
      <w:r w:rsidR="00A30649">
        <w:rPr>
          <w:lang w:val="fr-FR"/>
        </w:rPr>
        <w:t>luation</w:t>
      </w:r>
      <w:r w:rsidR="00A30649" w:rsidRPr="00C87179">
        <w:rPr>
          <w:lang w:val="fr-FR"/>
        </w:rPr>
        <w:t xml:space="preserve"> des résultats et de l'impact dans la pratique</w:t>
      </w:r>
      <w:r w:rsidR="00A30649">
        <w:rPr>
          <w:lang w:val="fr-FR"/>
        </w:rPr>
        <w:t>. Enfin, le guide peut</w:t>
      </w:r>
      <w:r w:rsidRPr="00C87179">
        <w:rPr>
          <w:lang w:val="fr-FR"/>
        </w:rPr>
        <w:t xml:space="preserve"> également servir d'instrument </w:t>
      </w:r>
      <w:r w:rsidR="005A1B2B">
        <w:rPr>
          <w:lang w:val="fr-FR"/>
        </w:rPr>
        <w:t>pratique vis-à-vis des</w:t>
      </w:r>
      <w:r w:rsidRPr="00C87179">
        <w:rPr>
          <w:lang w:val="fr-FR"/>
        </w:rPr>
        <w:t xml:space="preserve"> gouvernements donateurs </w:t>
      </w:r>
      <w:r w:rsidR="005A1B2B">
        <w:rPr>
          <w:lang w:val="fr-FR"/>
        </w:rPr>
        <w:t>afin de les sensibiliser aux besoins et à la dynamique des syndicats en matière de</w:t>
      </w:r>
      <w:r w:rsidRPr="00C87179">
        <w:rPr>
          <w:lang w:val="fr-FR"/>
        </w:rPr>
        <w:t xml:space="preserve"> suivi </w:t>
      </w:r>
      <w:r w:rsidR="00754488" w:rsidRPr="00C87179">
        <w:rPr>
          <w:lang w:val="fr-FR"/>
        </w:rPr>
        <w:t>et d’</w:t>
      </w:r>
      <w:r w:rsidRPr="00C87179">
        <w:rPr>
          <w:lang w:val="fr-FR"/>
        </w:rPr>
        <w:t xml:space="preserve">évaluation. </w:t>
      </w:r>
    </w:p>
    <w:p w:rsidR="00511022" w:rsidRPr="00C87179" w:rsidRDefault="00511022" w:rsidP="0026045C">
      <w:pPr>
        <w:pStyle w:val="ListParagraph"/>
        <w:rPr>
          <w:lang w:val="fr-FR"/>
        </w:rPr>
      </w:pPr>
    </w:p>
    <w:p w:rsidR="00D35F75" w:rsidRPr="00C87179" w:rsidRDefault="00D35F75" w:rsidP="00D35F75">
      <w:pPr>
        <w:pStyle w:val="ListParagraph"/>
        <w:rPr>
          <w:u w:val="single"/>
          <w:lang w:val="fr-FR"/>
        </w:rPr>
      </w:pPr>
      <w:r w:rsidRPr="00C87179">
        <w:rPr>
          <w:u w:val="single"/>
          <w:lang w:val="fr-FR"/>
        </w:rPr>
        <w:t>Résultats</w:t>
      </w:r>
    </w:p>
    <w:p w:rsidR="005A1B2B" w:rsidRDefault="005A1B2B" w:rsidP="00D35F75">
      <w:pPr>
        <w:pStyle w:val="ListParagraph"/>
        <w:rPr>
          <w:lang w:val="fr-FR"/>
        </w:rPr>
      </w:pPr>
      <w:r>
        <w:rPr>
          <w:lang w:val="fr-FR"/>
        </w:rPr>
        <w:t>Amélioration de la capacité et de la qualité du suivi, de l’apprentissage et de l’évaluation par les syndicats sur les résultats de leurs programmes de développement</w:t>
      </w:r>
    </w:p>
    <w:p w:rsidR="005A1B2B" w:rsidRDefault="005A1B2B" w:rsidP="00D35F75">
      <w:pPr>
        <w:pStyle w:val="ListParagraph"/>
        <w:rPr>
          <w:lang w:val="fr-FR"/>
        </w:rPr>
      </w:pPr>
    </w:p>
    <w:p w:rsidR="005A1B2B" w:rsidRDefault="005A1B2B" w:rsidP="005A1B2B">
      <w:pPr>
        <w:pStyle w:val="ListParagraph"/>
        <w:numPr>
          <w:ilvl w:val="0"/>
          <w:numId w:val="3"/>
        </w:numPr>
        <w:rPr>
          <w:lang w:val="fr-FR"/>
        </w:rPr>
      </w:pPr>
      <w:r>
        <w:rPr>
          <w:lang w:val="fr-FR"/>
        </w:rPr>
        <w:t>basés sur des critères communs en matière de suivi et d’évaluation</w:t>
      </w:r>
    </w:p>
    <w:p w:rsidR="00D35F75" w:rsidRPr="00C87179" w:rsidRDefault="00C14142" w:rsidP="005A1B2B">
      <w:pPr>
        <w:pStyle w:val="ListParagraph"/>
        <w:numPr>
          <w:ilvl w:val="0"/>
          <w:numId w:val="3"/>
        </w:numPr>
        <w:rPr>
          <w:lang w:val="fr-FR"/>
        </w:rPr>
      </w:pPr>
      <w:r>
        <w:rPr>
          <w:lang w:val="fr-FR"/>
        </w:rPr>
        <w:t>l</w:t>
      </w:r>
      <w:r w:rsidR="00D35F75" w:rsidRPr="00C87179">
        <w:rPr>
          <w:lang w:val="fr-FR"/>
        </w:rPr>
        <w:t>es donateurs internationaux</w:t>
      </w:r>
      <w:r>
        <w:rPr>
          <w:lang w:val="fr-FR"/>
        </w:rPr>
        <w:t xml:space="preserve"> et </w:t>
      </w:r>
      <w:r w:rsidR="00D35F75" w:rsidRPr="00C87179">
        <w:rPr>
          <w:lang w:val="fr-FR"/>
        </w:rPr>
        <w:t>nationaux sont mieux informés des spécificités des syndicats</w:t>
      </w:r>
      <w:r>
        <w:rPr>
          <w:lang w:val="fr-FR"/>
        </w:rPr>
        <w:t xml:space="preserve"> en ce qui concerne </w:t>
      </w:r>
      <w:r w:rsidR="00D35F75" w:rsidRPr="00C87179">
        <w:rPr>
          <w:lang w:val="fr-FR"/>
        </w:rPr>
        <w:t>l'action en faveur du développement et sont davantage conscients des exigences en matière de responsabilité interne</w:t>
      </w:r>
    </w:p>
    <w:p w:rsidR="00D35F75" w:rsidRPr="00C87179" w:rsidRDefault="00D35F75" w:rsidP="00D35F75">
      <w:pPr>
        <w:pStyle w:val="ListParagraph"/>
        <w:rPr>
          <w:lang w:val="fr-FR"/>
        </w:rPr>
      </w:pPr>
    </w:p>
    <w:p w:rsidR="00511022" w:rsidRDefault="00C14142" w:rsidP="00D35F75">
      <w:pPr>
        <w:pStyle w:val="ListParagraph"/>
        <w:rPr>
          <w:u w:val="single"/>
          <w:lang w:val="fr-FR"/>
        </w:rPr>
      </w:pPr>
      <w:r>
        <w:rPr>
          <w:u w:val="single"/>
          <w:lang w:val="fr-FR"/>
        </w:rPr>
        <w:t>MÉTHODOLOGIES</w:t>
      </w:r>
    </w:p>
    <w:p w:rsidR="00C14142" w:rsidRDefault="00C14142" w:rsidP="00D35F75">
      <w:pPr>
        <w:pStyle w:val="ListParagraph"/>
        <w:rPr>
          <w:u w:val="single"/>
          <w:lang w:val="fr-FR"/>
        </w:rPr>
      </w:pPr>
    </w:p>
    <w:p w:rsidR="00C14142" w:rsidRPr="002B6A73" w:rsidRDefault="00C14142" w:rsidP="00C14142">
      <w:pPr>
        <w:pStyle w:val="ListParagraph"/>
        <w:numPr>
          <w:ilvl w:val="0"/>
          <w:numId w:val="5"/>
        </w:numPr>
        <w:rPr>
          <w:u w:val="single"/>
          <w:lang w:val="fr-FR"/>
        </w:rPr>
      </w:pPr>
      <w:r>
        <w:rPr>
          <w:lang w:val="fr-FR"/>
        </w:rPr>
        <w:t xml:space="preserve">Finaliser la note d’orientation </w:t>
      </w:r>
      <w:r w:rsidR="002B6A73">
        <w:rPr>
          <w:lang w:val="fr-FR"/>
        </w:rPr>
        <w:t xml:space="preserve">pour les syndicats </w:t>
      </w:r>
      <w:r>
        <w:rPr>
          <w:lang w:val="fr-FR"/>
        </w:rPr>
        <w:t xml:space="preserve">sur le suivi et l’évaluation </w:t>
      </w:r>
      <w:r w:rsidR="002B6A73">
        <w:rPr>
          <w:lang w:val="fr-FR"/>
        </w:rPr>
        <w:t>des programmes de développement</w:t>
      </w:r>
    </w:p>
    <w:p w:rsidR="002B6A73" w:rsidRPr="00C87179" w:rsidRDefault="002B6A73" w:rsidP="00C14142">
      <w:pPr>
        <w:pStyle w:val="ListParagraph"/>
        <w:numPr>
          <w:ilvl w:val="0"/>
          <w:numId w:val="5"/>
        </w:numPr>
        <w:rPr>
          <w:u w:val="single"/>
          <w:lang w:val="fr-FR"/>
        </w:rPr>
      </w:pPr>
      <w:r>
        <w:rPr>
          <w:lang w:val="fr-FR"/>
        </w:rPr>
        <w:t xml:space="preserve">Organiser une série de séminaires de formation à l’intention </w:t>
      </w:r>
      <w:r w:rsidR="0003771E">
        <w:rPr>
          <w:lang w:val="fr-FR"/>
        </w:rPr>
        <w:t>des membres du RSCD sur le suivi et l’évaluation concernant des questions spécifiques et des outils méthodologiques (à savoir la théorie du changement, l’évaluation de la capacité organisationnelle,</w:t>
      </w:r>
      <w:r w:rsidR="00D723A1">
        <w:rPr>
          <w:lang w:val="fr-FR"/>
        </w:rPr>
        <w:t xml:space="preserve"> le</w:t>
      </w:r>
      <w:r w:rsidR="0003771E">
        <w:rPr>
          <w:lang w:val="fr-FR"/>
        </w:rPr>
        <w:t xml:space="preserve"> recueil de données de </w:t>
      </w:r>
      <w:r w:rsidR="00EA5B1B">
        <w:rPr>
          <w:lang w:val="fr-FR"/>
        </w:rPr>
        <w:t>référence</w:t>
      </w:r>
      <w:r w:rsidR="0003771E">
        <w:rPr>
          <w:lang w:val="fr-FR"/>
        </w:rPr>
        <w:t>)</w:t>
      </w:r>
    </w:p>
    <w:p w:rsidR="0026045C" w:rsidRPr="00C87179" w:rsidRDefault="008B51F5" w:rsidP="0026045C">
      <w:pPr>
        <w:pStyle w:val="ListParagraph"/>
        <w:rPr>
          <w:lang w:val="fr-FR"/>
        </w:rPr>
      </w:pPr>
      <w:r w:rsidRPr="00C87179">
        <w:rPr>
          <w:lang w:val="fr-FR"/>
        </w:rPr>
        <w:t xml:space="preserve">  </w:t>
      </w:r>
    </w:p>
    <w:p w:rsidR="0026045C" w:rsidRPr="00C87179" w:rsidRDefault="0026045C" w:rsidP="0026045C">
      <w:pPr>
        <w:pStyle w:val="ListParagraph"/>
        <w:rPr>
          <w:lang w:val="fr-FR"/>
        </w:rPr>
      </w:pPr>
    </w:p>
    <w:p w:rsidR="00F90817" w:rsidRPr="00C87179" w:rsidRDefault="008E02CB" w:rsidP="00F90817">
      <w:pPr>
        <w:pStyle w:val="ListParagraph"/>
        <w:numPr>
          <w:ilvl w:val="0"/>
          <w:numId w:val="1"/>
        </w:numPr>
        <w:rPr>
          <w:b/>
          <w:lang w:val="fr-FR"/>
        </w:rPr>
      </w:pPr>
      <w:r w:rsidRPr="00C87179">
        <w:rPr>
          <w:b/>
          <w:lang w:val="fr-FR"/>
        </w:rPr>
        <w:t xml:space="preserve">VERS UN CADRE COMMUN EN MATIERE DE CAPACITE ORGANISATIONNELLE </w:t>
      </w:r>
    </w:p>
    <w:p w:rsidR="00F90817" w:rsidRPr="00C87179" w:rsidRDefault="00F90817" w:rsidP="00F90817">
      <w:pPr>
        <w:pStyle w:val="ListParagraph"/>
        <w:rPr>
          <w:lang w:val="fr-FR"/>
        </w:rPr>
      </w:pPr>
    </w:p>
    <w:p w:rsidR="00511022" w:rsidRPr="00C87179" w:rsidRDefault="005031B6" w:rsidP="002113C8">
      <w:pPr>
        <w:pStyle w:val="ListParagraph"/>
        <w:jc w:val="both"/>
        <w:rPr>
          <w:lang w:val="fr-FR"/>
        </w:rPr>
      </w:pPr>
      <w:r w:rsidRPr="00C87179">
        <w:rPr>
          <w:lang w:val="fr-FR"/>
        </w:rPr>
        <w:t xml:space="preserve">L'élaboration du guide sur le suivi et l'évaluation a mis en lumière certains aspects spécifiques concernant les modalités existantes des syndicats. Il a ainsi été constaté, en particulier dans le domaine de l'évaluation de la capacité organisationnelle, que les syndicats utilisaient des méthodologies et instruments différents. Les critères d'évaluation en matière de capacité organisationnelle, ainsi que les méthodologies de collecte des données de référence sont </w:t>
      </w:r>
      <w:bookmarkStart w:id="0" w:name="_GoBack"/>
      <w:bookmarkEnd w:id="0"/>
      <w:r w:rsidR="00A752FA" w:rsidRPr="00C87179">
        <w:rPr>
          <w:lang w:val="fr-FR"/>
        </w:rPr>
        <w:t>essentielles</w:t>
      </w:r>
      <w:r w:rsidRPr="00C87179">
        <w:rPr>
          <w:lang w:val="fr-FR"/>
        </w:rPr>
        <w:t xml:space="preserve"> pour établir une approche cohérente dans le domaine du soutien des organisations du Sud et constituent un instrument pertinent afin de renforcer l'appropriation des processus de développement. Il convient par conséquent de mener une analyse plus approfondie, associant les partenaires synd</w:t>
      </w:r>
      <w:r w:rsidR="00754488" w:rsidRPr="00C87179">
        <w:rPr>
          <w:lang w:val="fr-FR"/>
        </w:rPr>
        <w:t>icaux</w:t>
      </w:r>
      <w:r w:rsidRPr="00C87179">
        <w:rPr>
          <w:lang w:val="fr-FR"/>
        </w:rPr>
        <w:t xml:space="preserve"> du Nord et du Sud. Plusieurs initiatives conjointes seront mises en œuvre, notamment au niveau national, de façon à inclure différents projets menés par différentes organisations. Cet exercice renforcera la coordination entre partenaires syndicaux vis-à-vis des initiatives en faveur du développement, notamment au regard du renforcement de la planification concertée.  </w:t>
      </w:r>
    </w:p>
    <w:p w:rsidR="00511022" w:rsidRPr="00C87179" w:rsidRDefault="00511022" w:rsidP="00511022">
      <w:pPr>
        <w:pStyle w:val="ListParagraph"/>
        <w:rPr>
          <w:lang w:val="fr-FR"/>
        </w:rPr>
      </w:pPr>
    </w:p>
    <w:p w:rsidR="00D35F75" w:rsidRPr="00C87179" w:rsidRDefault="00D35F75" w:rsidP="00D35F75">
      <w:pPr>
        <w:pStyle w:val="ListParagraph"/>
        <w:rPr>
          <w:u w:val="single"/>
          <w:lang w:val="fr-FR"/>
        </w:rPr>
      </w:pPr>
      <w:r w:rsidRPr="00C87179">
        <w:rPr>
          <w:u w:val="single"/>
          <w:lang w:val="fr-FR"/>
        </w:rPr>
        <w:t>Résultats</w:t>
      </w:r>
    </w:p>
    <w:p w:rsidR="00E57063" w:rsidRDefault="00E57063" w:rsidP="00D35F75">
      <w:pPr>
        <w:pStyle w:val="ListParagraph"/>
        <w:rPr>
          <w:lang w:val="fr-FR"/>
        </w:rPr>
      </w:pPr>
      <w:r>
        <w:rPr>
          <w:lang w:val="fr-FR"/>
        </w:rPr>
        <w:t>Une cohérence et coordination accrues des programmes de développement parmi les partenaires syndicaux</w:t>
      </w:r>
    </w:p>
    <w:p w:rsidR="00E57063" w:rsidRDefault="00E57063" w:rsidP="00D35F75">
      <w:pPr>
        <w:pStyle w:val="ListParagraph"/>
        <w:rPr>
          <w:lang w:val="fr-FR"/>
        </w:rPr>
      </w:pPr>
    </w:p>
    <w:p w:rsidR="00D35F75" w:rsidRPr="00C87179" w:rsidRDefault="00E57063" w:rsidP="00E57063">
      <w:pPr>
        <w:pStyle w:val="ListParagraph"/>
        <w:numPr>
          <w:ilvl w:val="0"/>
          <w:numId w:val="3"/>
        </w:numPr>
        <w:rPr>
          <w:lang w:val="fr-FR"/>
        </w:rPr>
      </w:pPr>
      <w:r>
        <w:rPr>
          <w:lang w:val="fr-FR"/>
        </w:rPr>
        <w:t>Une v</w:t>
      </w:r>
      <w:r w:rsidR="00D35F75" w:rsidRPr="00C87179">
        <w:rPr>
          <w:lang w:val="fr-FR"/>
        </w:rPr>
        <w:t xml:space="preserve">ision et approche communes en matière de capacité organisationnelle </w:t>
      </w:r>
    </w:p>
    <w:p w:rsidR="00D35F75" w:rsidRPr="00C87179" w:rsidRDefault="00D35F75" w:rsidP="00D35F75">
      <w:pPr>
        <w:pStyle w:val="ListParagraph"/>
        <w:rPr>
          <w:lang w:val="fr-FR"/>
        </w:rPr>
      </w:pPr>
    </w:p>
    <w:p w:rsidR="00D35F75" w:rsidRPr="00C87179" w:rsidRDefault="00E57063" w:rsidP="00E57063">
      <w:pPr>
        <w:pStyle w:val="ListParagraph"/>
        <w:numPr>
          <w:ilvl w:val="0"/>
          <w:numId w:val="3"/>
        </w:numPr>
        <w:rPr>
          <w:lang w:val="fr-FR"/>
        </w:rPr>
      </w:pPr>
      <w:r>
        <w:rPr>
          <w:lang w:val="fr-FR"/>
        </w:rPr>
        <w:t>Des p</w:t>
      </w:r>
      <w:r w:rsidR="00D35F75" w:rsidRPr="00C87179">
        <w:rPr>
          <w:lang w:val="fr-FR"/>
        </w:rPr>
        <w:t>rogrammes de développement fondés sur les besoins et exigences réels des organisations partenaires du Sud et, par conséquent, davantage axés sur les processus d'apprentissage relatifs au renforcement des capacités</w:t>
      </w:r>
    </w:p>
    <w:p w:rsidR="00D35F75" w:rsidRPr="00C87179" w:rsidRDefault="00D35F75" w:rsidP="00D35F75">
      <w:pPr>
        <w:pStyle w:val="ListParagraph"/>
        <w:rPr>
          <w:lang w:val="fr-FR"/>
        </w:rPr>
      </w:pPr>
    </w:p>
    <w:p w:rsidR="00D35F75" w:rsidRDefault="000A1043" w:rsidP="00E57063">
      <w:pPr>
        <w:pStyle w:val="ListParagraph"/>
        <w:numPr>
          <w:ilvl w:val="0"/>
          <w:numId w:val="3"/>
        </w:numPr>
        <w:rPr>
          <w:lang w:val="fr-FR"/>
        </w:rPr>
      </w:pPr>
      <w:r>
        <w:rPr>
          <w:lang w:val="fr-FR"/>
        </w:rPr>
        <w:t>Des p</w:t>
      </w:r>
      <w:r w:rsidR="00D35F75" w:rsidRPr="00C87179">
        <w:rPr>
          <w:lang w:val="fr-FR"/>
        </w:rPr>
        <w:t xml:space="preserve">ratiques de coordination et </w:t>
      </w:r>
      <w:r>
        <w:rPr>
          <w:lang w:val="fr-FR"/>
        </w:rPr>
        <w:t xml:space="preserve">une </w:t>
      </w:r>
      <w:r w:rsidR="00D35F75" w:rsidRPr="00C87179">
        <w:rPr>
          <w:lang w:val="fr-FR"/>
        </w:rPr>
        <w:t xml:space="preserve">cohérence accrues entre partenaires syndicaux (aux niveaux bilatéral et multilatéral), contribuant à terme à la planification concertée des initiatives futures  </w:t>
      </w:r>
    </w:p>
    <w:p w:rsidR="000A1043" w:rsidRPr="000A1043" w:rsidRDefault="000A1043" w:rsidP="000A1043">
      <w:pPr>
        <w:pStyle w:val="ListParagraph"/>
        <w:rPr>
          <w:lang w:val="fr-FR"/>
        </w:rPr>
      </w:pPr>
    </w:p>
    <w:p w:rsidR="000A1043" w:rsidRDefault="000A1043" w:rsidP="000A1043">
      <w:pPr>
        <w:ind w:left="720"/>
        <w:rPr>
          <w:u w:val="single"/>
          <w:lang w:val="fr-FR"/>
        </w:rPr>
      </w:pPr>
      <w:r w:rsidRPr="000A1043">
        <w:rPr>
          <w:u w:val="single"/>
          <w:lang w:val="fr-FR"/>
        </w:rPr>
        <w:t>MÉTHODOLOGIES</w:t>
      </w:r>
    </w:p>
    <w:p w:rsidR="000A1043" w:rsidRDefault="000A1043" w:rsidP="000A1043">
      <w:pPr>
        <w:ind w:left="720"/>
        <w:rPr>
          <w:lang w:val="fr-FR"/>
        </w:rPr>
      </w:pPr>
      <w:r w:rsidRPr="000A1043">
        <w:rPr>
          <w:lang w:val="fr-FR"/>
        </w:rPr>
        <w:t xml:space="preserve">Identifier les cadres </w:t>
      </w:r>
      <w:r>
        <w:rPr>
          <w:lang w:val="fr-FR"/>
        </w:rPr>
        <w:t>d’évaluation de la capacité organisationnelle au sein des syndicats: recherches</w:t>
      </w:r>
    </w:p>
    <w:p w:rsidR="000A1043" w:rsidRDefault="000A1043" w:rsidP="000A1043">
      <w:pPr>
        <w:pStyle w:val="ListParagraph"/>
        <w:numPr>
          <w:ilvl w:val="0"/>
          <w:numId w:val="6"/>
        </w:numPr>
        <w:rPr>
          <w:lang w:val="fr-FR"/>
        </w:rPr>
      </w:pPr>
      <w:r>
        <w:rPr>
          <w:lang w:val="fr-FR"/>
        </w:rPr>
        <w:t xml:space="preserve">Organiser une analyse commune à l’échelle nationale dans le Sud (expériences </w:t>
      </w:r>
      <w:r w:rsidR="002A7812">
        <w:rPr>
          <w:lang w:val="fr-FR"/>
        </w:rPr>
        <w:t>pilotes) sur la capacité organisationnelle entre les partenaires bénéficiaires et donateurs: séminaires</w:t>
      </w:r>
    </w:p>
    <w:p w:rsidR="002A7812" w:rsidRPr="000A1043" w:rsidRDefault="002A7812" w:rsidP="000A1043">
      <w:pPr>
        <w:pStyle w:val="ListParagraph"/>
        <w:numPr>
          <w:ilvl w:val="0"/>
          <w:numId w:val="6"/>
        </w:numPr>
        <w:rPr>
          <w:lang w:val="fr-FR"/>
        </w:rPr>
      </w:pPr>
      <w:r>
        <w:rPr>
          <w:lang w:val="fr-FR"/>
        </w:rPr>
        <w:t>Lancer un cadre syndical commun sur l’évaluation de la capacité organisationnelle: lignes directrices politiques</w:t>
      </w:r>
    </w:p>
    <w:p w:rsidR="00D723A1" w:rsidRDefault="00D723A1" w:rsidP="002A7812">
      <w:pPr>
        <w:pStyle w:val="ListParagraph"/>
        <w:ind w:left="1080"/>
        <w:rPr>
          <w:lang w:val="fr-FR"/>
        </w:rPr>
      </w:pPr>
    </w:p>
    <w:p w:rsidR="002A7812" w:rsidRPr="00C87179" w:rsidRDefault="002A7812" w:rsidP="002A7812">
      <w:pPr>
        <w:pStyle w:val="ListParagraph"/>
        <w:ind w:left="1080"/>
        <w:rPr>
          <w:lang w:val="fr-FR"/>
        </w:rPr>
      </w:pPr>
      <w:r>
        <w:rPr>
          <w:lang w:val="fr-FR"/>
        </w:rPr>
        <w:t>Veuillez consulter le document sur le plan de trav</w:t>
      </w:r>
      <w:r w:rsidR="00E73BAC">
        <w:rPr>
          <w:lang w:val="fr-FR"/>
        </w:rPr>
        <w:t>ail</w:t>
      </w:r>
      <w:r>
        <w:rPr>
          <w:lang w:val="fr-FR"/>
        </w:rPr>
        <w:t xml:space="preserve"> pour</w:t>
      </w:r>
      <w:r w:rsidR="00E73BAC">
        <w:rPr>
          <w:lang w:val="fr-FR"/>
        </w:rPr>
        <w:t xml:space="preserve"> connaître</w:t>
      </w:r>
      <w:r>
        <w:rPr>
          <w:lang w:val="fr-FR"/>
        </w:rPr>
        <w:t xml:space="preserve"> </w:t>
      </w:r>
      <w:r w:rsidR="00E73BAC">
        <w:rPr>
          <w:lang w:val="fr-FR"/>
        </w:rPr>
        <w:t xml:space="preserve">le programme annuel des activités </w:t>
      </w:r>
      <w:r w:rsidR="00D723A1">
        <w:rPr>
          <w:lang w:val="fr-FR"/>
        </w:rPr>
        <w:t>spécifiques.</w:t>
      </w:r>
    </w:p>
    <w:p w:rsidR="00511022" w:rsidRPr="00C87179" w:rsidRDefault="00511022" w:rsidP="00511022">
      <w:pPr>
        <w:pStyle w:val="ListParagraph"/>
        <w:rPr>
          <w:lang w:val="fr-FR"/>
        </w:rPr>
      </w:pPr>
    </w:p>
    <w:sectPr w:rsidR="00511022" w:rsidRPr="00C87179" w:rsidSect="00CC7F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1A" w:rsidRDefault="0021061A" w:rsidP="00A71C17">
      <w:pPr>
        <w:spacing w:after="0" w:line="240" w:lineRule="auto"/>
      </w:pPr>
      <w:r>
        <w:separator/>
      </w:r>
    </w:p>
  </w:endnote>
  <w:endnote w:type="continuationSeparator" w:id="0">
    <w:p w:rsidR="0021061A" w:rsidRDefault="0021061A" w:rsidP="00A7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1A" w:rsidRDefault="0021061A" w:rsidP="00A71C17">
      <w:pPr>
        <w:spacing w:after="0" w:line="240" w:lineRule="auto"/>
      </w:pPr>
      <w:r>
        <w:separator/>
      </w:r>
    </w:p>
  </w:footnote>
  <w:footnote w:type="continuationSeparator" w:id="0">
    <w:p w:rsidR="0021061A" w:rsidRDefault="0021061A" w:rsidP="00A71C17">
      <w:pPr>
        <w:spacing w:after="0" w:line="240" w:lineRule="auto"/>
      </w:pPr>
      <w:r>
        <w:continuationSeparator/>
      </w:r>
    </w:p>
  </w:footnote>
  <w:footnote w:id="1">
    <w:p w:rsidR="00A71C17" w:rsidRPr="00C87179" w:rsidRDefault="00A71C17" w:rsidP="00A71C17">
      <w:pPr>
        <w:pStyle w:val="FootnoteText"/>
        <w:rPr>
          <w:lang w:val="fr-FR"/>
        </w:rPr>
      </w:pPr>
      <w:r w:rsidRPr="00C87179">
        <w:rPr>
          <w:rStyle w:val="FootnoteReference"/>
          <w:lang w:val="fr-FR"/>
        </w:rPr>
        <w:footnoteRef/>
      </w:r>
      <w:r w:rsidRPr="00C87179">
        <w:rPr>
          <w:lang w:val="fr-FR"/>
        </w:rPr>
        <w:t xml:space="preserve"> </w:t>
      </w:r>
      <w:r w:rsidRPr="00C87179">
        <w:rPr>
          <w:i/>
          <w:lang w:val="fr-FR"/>
        </w:rPr>
        <w:t>Principes et directives syndicaux en matière d’efficacité du développemen</w:t>
      </w:r>
      <w:r w:rsidRPr="00C87179">
        <w:rPr>
          <w:lang w:val="fr-FR"/>
        </w:rPr>
        <w:t xml:space="preserve">t </w:t>
      </w:r>
      <w:hyperlink r:id="rId1" w:history="1">
        <w:r w:rsidR="00A752FA" w:rsidRPr="003B73EA">
          <w:rPr>
            <w:rStyle w:val="Hyperlink"/>
            <w:lang w:val="fr-FR"/>
          </w:rPr>
          <w:t>http://www.ituc-csi.org/principes-et-directives-syndicaux?lang=fr</w:t>
        </w:r>
      </w:hyperlink>
      <w:r w:rsidR="00A752FA">
        <w:rPr>
          <w:lang w:val="fr-FR"/>
        </w:rPr>
        <w:t xml:space="preserve"> </w:t>
      </w:r>
    </w:p>
  </w:footnote>
  <w:footnote w:id="2">
    <w:p w:rsidR="00A71C17" w:rsidRPr="00C87179" w:rsidRDefault="00A71C17" w:rsidP="00A71C17">
      <w:pPr>
        <w:pStyle w:val="FootnoteText"/>
        <w:rPr>
          <w:lang w:val="fr-FR"/>
        </w:rPr>
      </w:pPr>
      <w:r w:rsidRPr="00C87179">
        <w:rPr>
          <w:rStyle w:val="FootnoteReference"/>
          <w:lang w:val="fr-FR"/>
        </w:rPr>
        <w:footnoteRef/>
      </w:r>
      <w:r w:rsidRPr="00C87179">
        <w:rPr>
          <w:lang w:val="fr-FR"/>
        </w:rPr>
        <w:t xml:space="preserve"> </w:t>
      </w:r>
      <w:r w:rsidR="00A34027">
        <w:rPr>
          <w:i/>
          <w:lang w:val="fr-FR"/>
        </w:rPr>
        <w:t xml:space="preserve">Profil </w:t>
      </w:r>
      <w:r w:rsidRPr="00C87179">
        <w:rPr>
          <w:i/>
          <w:lang w:val="fr-FR"/>
        </w:rPr>
        <w:t xml:space="preserve"> syndical </w:t>
      </w:r>
      <w:r w:rsidR="00A34027">
        <w:rPr>
          <w:i/>
          <w:lang w:val="fr-FR"/>
        </w:rPr>
        <w:t>de</w:t>
      </w:r>
      <w:r w:rsidRPr="00C87179">
        <w:rPr>
          <w:i/>
          <w:lang w:val="fr-FR"/>
        </w:rPr>
        <w:t xml:space="preserve"> l’efficacité du développement</w:t>
      </w:r>
      <w:r w:rsidRPr="00C87179">
        <w:rPr>
          <w:lang w:val="fr-FR"/>
        </w:rPr>
        <w:t xml:space="preserve"> </w:t>
      </w:r>
      <w:hyperlink r:id="rId2" w:history="1">
        <w:r w:rsidR="00A752FA" w:rsidRPr="003B73EA">
          <w:rPr>
            <w:rStyle w:val="Hyperlink"/>
            <w:lang w:val="fr-FR"/>
          </w:rPr>
          <w:t>http://www.ituc-csi.org/profil-syndical-de-l-efficacite-du,10523?lang=fr</w:t>
        </w:r>
      </w:hyperlink>
      <w:r w:rsidR="00A752FA">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2306"/>
    <w:multiLevelType w:val="hybridMultilevel"/>
    <w:tmpl w:val="89108D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DF395C"/>
    <w:multiLevelType w:val="hybridMultilevel"/>
    <w:tmpl w:val="A348773C"/>
    <w:lvl w:ilvl="0" w:tplc="EC68F8AC">
      <w:start w:val="20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1C6E86"/>
    <w:multiLevelType w:val="hybridMultilevel"/>
    <w:tmpl w:val="74B02978"/>
    <w:lvl w:ilvl="0" w:tplc="47282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F0472F"/>
    <w:multiLevelType w:val="hybridMultilevel"/>
    <w:tmpl w:val="F0C44730"/>
    <w:lvl w:ilvl="0" w:tplc="0304E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BC6D55"/>
    <w:multiLevelType w:val="hybridMultilevel"/>
    <w:tmpl w:val="97CA9F16"/>
    <w:lvl w:ilvl="0" w:tplc="80024F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F4601EE"/>
    <w:multiLevelType w:val="hybridMultilevel"/>
    <w:tmpl w:val="764E2892"/>
    <w:lvl w:ilvl="0" w:tplc="EC287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D"/>
    <w:rsid w:val="0003771E"/>
    <w:rsid w:val="000A1043"/>
    <w:rsid w:val="00117D7D"/>
    <w:rsid w:val="001E6252"/>
    <w:rsid w:val="0020219A"/>
    <w:rsid w:val="0021061A"/>
    <w:rsid w:val="002113C8"/>
    <w:rsid w:val="0026045C"/>
    <w:rsid w:val="002A7812"/>
    <w:rsid w:val="002B6A73"/>
    <w:rsid w:val="002C1EBD"/>
    <w:rsid w:val="0030508F"/>
    <w:rsid w:val="00307AB7"/>
    <w:rsid w:val="003541FD"/>
    <w:rsid w:val="00426B9D"/>
    <w:rsid w:val="00471823"/>
    <w:rsid w:val="005031B6"/>
    <w:rsid w:val="00511022"/>
    <w:rsid w:val="005A1B2B"/>
    <w:rsid w:val="005B4E7E"/>
    <w:rsid w:val="006400DD"/>
    <w:rsid w:val="00652EC0"/>
    <w:rsid w:val="006769EE"/>
    <w:rsid w:val="006C7A96"/>
    <w:rsid w:val="006F3DB2"/>
    <w:rsid w:val="00711789"/>
    <w:rsid w:val="00714715"/>
    <w:rsid w:val="00754488"/>
    <w:rsid w:val="007B4DE8"/>
    <w:rsid w:val="007E0FAB"/>
    <w:rsid w:val="007F7827"/>
    <w:rsid w:val="0081417A"/>
    <w:rsid w:val="00865A1E"/>
    <w:rsid w:val="008B51F5"/>
    <w:rsid w:val="008C2574"/>
    <w:rsid w:val="008E02CB"/>
    <w:rsid w:val="0091174D"/>
    <w:rsid w:val="009832CB"/>
    <w:rsid w:val="009A3425"/>
    <w:rsid w:val="009F22C1"/>
    <w:rsid w:val="009F3958"/>
    <w:rsid w:val="00A30649"/>
    <w:rsid w:val="00A34027"/>
    <w:rsid w:val="00A71C17"/>
    <w:rsid w:val="00A752FA"/>
    <w:rsid w:val="00B03D2F"/>
    <w:rsid w:val="00BA1CD2"/>
    <w:rsid w:val="00BF141F"/>
    <w:rsid w:val="00BF666D"/>
    <w:rsid w:val="00C14142"/>
    <w:rsid w:val="00C71C69"/>
    <w:rsid w:val="00C87179"/>
    <w:rsid w:val="00CC2C7D"/>
    <w:rsid w:val="00CC7F2F"/>
    <w:rsid w:val="00CE3499"/>
    <w:rsid w:val="00CF52CE"/>
    <w:rsid w:val="00D14875"/>
    <w:rsid w:val="00D35F75"/>
    <w:rsid w:val="00D55C18"/>
    <w:rsid w:val="00D723A1"/>
    <w:rsid w:val="00D957BC"/>
    <w:rsid w:val="00E25FCE"/>
    <w:rsid w:val="00E57063"/>
    <w:rsid w:val="00E73BAC"/>
    <w:rsid w:val="00EA5B1B"/>
    <w:rsid w:val="00ED1C56"/>
    <w:rsid w:val="00F20851"/>
    <w:rsid w:val="00F664B4"/>
    <w:rsid w:val="00F90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A71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C17"/>
    <w:rPr>
      <w:sz w:val="20"/>
      <w:szCs w:val="20"/>
    </w:rPr>
  </w:style>
  <w:style w:type="character" w:styleId="FootnoteReference">
    <w:name w:val="footnote reference"/>
    <w:basedOn w:val="DefaultParagraphFont"/>
    <w:uiPriority w:val="99"/>
    <w:semiHidden/>
    <w:unhideWhenUsed/>
    <w:rsid w:val="00A71C17"/>
    <w:rPr>
      <w:vertAlign w:val="superscript"/>
    </w:rPr>
  </w:style>
  <w:style w:type="character" w:styleId="Hyperlink">
    <w:name w:val="Hyperlink"/>
    <w:basedOn w:val="DefaultParagraphFont"/>
    <w:uiPriority w:val="99"/>
    <w:unhideWhenUsed/>
    <w:rsid w:val="00A75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A71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C17"/>
    <w:rPr>
      <w:sz w:val="20"/>
      <w:szCs w:val="20"/>
    </w:rPr>
  </w:style>
  <w:style w:type="character" w:styleId="FootnoteReference">
    <w:name w:val="footnote reference"/>
    <w:basedOn w:val="DefaultParagraphFont"/>
    <w:uiPriority w:val="99"/>
    <w:semiHidden/>
    <w:unhideWhenUsed/>
    <w:rsid w:val="00A71C17"/>
    <w:rPr>
      <w:vertAlign w:val="superscript"/>
    </w:rPr>
  </w:style>
  <w:style w:type="character" w:styleId="Hyperlink">
    <w:name w:val="Hyperlink"/>
    <w:basedOn w:val="DefaultParagraphFont"/>
    <w:uiPriority w:val="99"/>
    <w:unhideWhenUsed/>
    <w:rsid w:val="00A75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profil-syndical-de-l-efficacite-du,10523?lang=fr" TargetMode="External"/><Relationship Id="rId1" Type="http://schemas.openxmlformats.org/officeDocument/2006/relationships/hyperlink" Target="http://www.ituc-csi.org/principes-et-directives-syndicaux?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6039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Trade Union Confederation</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2</cp:revision>
  <cp:lastPrinted>2013-04-11T13:23:00Z</cp:lastPrinted>
  <dcterms:created xsi:type="dcterms:W3CDTF">2013-04-11T14:33:00Z</dcterms:created>
  <dcterms:modified xsi:type="dcterms:W3CDTF">2013-04-11T14:33:00Z</dcterms:modified>
</cp:coreProperties>
</file>