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D" w:rsidRDefault="00291D97" w:rsidP="00291D97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70E5A6F1" wp14:editId="35425C52">
            <wp:extent cx="1122045" cy="741045"/>
            <wp:effectExtent l="19050" t="0" r="1905" b="0"/>
            <wp:docPr id="1" name="Afbeelding 1" descr="http://www.ituc-csi.org/local/cache-gd2/9ead6766d00c99755d420207ef311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uc-csi.org/local/cache-gd2/9ead6766d00c99755d420207ef3115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97" w:rsidRPr="002D0E0A" w:rsidRDefault="00865B9A" w:rsidP="00EC0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lang w:val="es-ES"/>
        </w:rPr>
      </w:pPr>
      <w:r w:rsidRPr="002D0E0A">
        <w:rPr>
          <w:sz w:val="28"/>
          <w:lang w:val="es-ES"/>
        </w:rPr>
        <w:t>DIÁLOGO SOCIAL EN EL DESARROLLO</w:t>
      </w:r>
    </w:p>
    <w:p w:rsidR="005E01C2" w:rsidRPr="00865B9A" w:rsidRDefault="00865B9A" w:rsidP="0029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ES"/>
        </w:rPr>
      </w:pPr>
      <w:r w:rsidRPr="00865B9A">
        <w:rPr>
          <w:sz w:val="24"/>
          <w:szCs w:val="24"/>
          <w:lang w:val="es-ES"/>
        </w:rPr>
        <w:t xml:space="preserve">GUÍA para </w:t>
      </w:r>
      <w:r w:rsidR="005D79E9">
        <w:rPr>
          <w:sz w:val="24"/>
          <w:szCs w:val="24"/>
          <w:lang w:val="es-ES"/>
        </w:rPr>
        <w:t>un</w:t>
      </w:r>
      <w:r w:rsidR="005D79E9" w:rsidRPr="00865B9A">
        <w:rPr>
          <w:sz w:val="24"/>
          <w:szCs w:val="24"/>
          <w:lang w:val="es-ES"/>
        </w:rPr>
        <w:t xml:space="preserve"> </w:t>
      </w:r>
      <w:r w:rsidRPr="00865B9A">
        <w:rPr>
          <w:sz w:val="24"/>
          <w:szCs w:val="24"/>
          <w:lang w:val="es-ES"/>
        </w:rPr>
        <w:t>DES</w:t>
      </w:r>
      <w:bookmarkStart w:id="0" w:name="_GoBack"/>
      <w:bookmarkEnd w:id="0"/>
      <w:r w:rsidRPr="00865B9A">
        <w:rPr>
          <w:sz w:val="24"/>
          <w:szCs w:val="24"/>
          <w:lang w:val="es-ES"/>
        </w:rPr>
        <w:t xml:space="preserve">ARROLLO ECONÓMICO </w:t>
      </w:r>
      <w:r>
        <w:rPr>
          <w:sz w:val="24"/>
          <w:szCs w:val="24"/>
          <w:lang w:val="es-ES"/>
        </w:rPr>
        <w:t xml:space="preserve">y SOCIAL SOSTENIBLE </w:t>
      </w:r>
      <w:r w:rsidR="009B3DDC">
        <w:rPr>
          <w:sz w:val="24"/>
          <w:szCs w:val="24"/>
          <w:lang w:val="es-ES"/>
        </w:rPr>
        <w:t xml:space="preserve">BASADO EN </w:t>
      </w:r>
      <w:r w:rsidR="005D79E9">
        <w:rPr>
          <w:sz w:val="24"/>
          <w:szCs w:val="24"/>
          <w:lang w:val="es-ES"/>
        </w:rPr>
        <w:t>LOS PAÍSES</w:t>
      </w:r>
      <w:r w:rsidR="00291D97" w:rsidRPr="00865B9A">
        <w:rPr>
          <w:sz w:val="24"/>
          <w:szCs w:val="24"/>
          <w:lang w:val="es-ES"/>
        </w:rPr>
        <w:t xml:space="preserve"> </w:t>
      </w:r>
    </w:p>
    <w:p w:rsidR="005E01C2" w:rsidRPr="00865B9A" w:rsidRDefault="00865B9A">
      <w:pPr>
        <w:rPr>
          <w:b/>
          <w:u w:val="single"/>
          <w:lang w:val="es-ES"/>
        </w:rPr>
      </w:pPr>
      <w:r w:rsidRPr="00865B9A">
        <w:rPr>
          <w:b/>
          <w:u w:val="single"/>
          <w:lang w:val="es-ES"/>
        </w:rPr>
        <w:t>Nuestra ambici</w:t>
      </w:r>
      <w:r>
        <w:rPr>
          <w:b/>
          <w:u w:val="single"/>
          <w:lang w:val="es-ES"/>
        </w:rPr>
        <w:t>ón</w:t>
      </w:r>
    </w:p>
    <w:p w:rsidR="007F5FC0" w:rsidRPr="00865B9A" w:rsidRDefault="007F5FC0" w:rsidP="00EC0262">
      <w:pPr>
        <w:spacing w:after="0"/>
        <w:rPr>
          <w:lang w:val="es-ES"/>
        </w:rPr>
      </w:pPr>
      <w:r w:rsidRPr="00865B9A">
        <w:rPr>
          <w:lang w:val="es-ES"/>
        </w:rPr>
        <w:t>Crea</w:t>
      </w:r>
      <w:r w:rsidR="00865B9A" w:rsidRPr="00865B9A">
        <w:rPr>
          <w:lang w:val="es-ES"/>
        </w:rPr>
        <w:t>r u</w:t>
      </w:r>
      <w:r w:rsidR="00865B9A">
        <w:rPr>
          <w:lang w:val="es-ES"/>
        </w:rPr>
        <w:t xml:space="preserve">na iniciativa con múltiples socios para promover el diálogo social como instrumento para el </w:t>
      </w:r>
      <w:r w:rsidR="00CF5262">
        <w:rPr>
          <w:lang w:val="es-ES"/>
        </w:rPr>
        <w:t xml:space="preserve">desarrollo </w:t>
      </w:r>
      <w:r w:rsidR="00865B9A">
        <w:rPr>
          <w:lang w:val="es-ES"/>
        </w:rPr>
        <w:t xml:space="preserve">social en políticas oficiales </w:t>
      </w:r>
      <w:r w:rsidR="00CF5262">
        <w:rPr>
          <w:lang w:val="es-ES"/>
        </w:rPr>
        <w:t xml:space="preserve">de </w:t>
      </w:r>
      <w:r w:rsidR="00F36848">
        <w:rPr>
          <w:lang w:val="es-ES"/>
        </w:rPr>
        <w:t>cooperación</w:t>
      </w:r>
      <w:r w:rsidR="00CF5262">
        <w:rPr>
          <w:lang w:val="es-ES"/>
        </w:rPr>
        <w:t xml:space="preserve"> al desarrollo. </w:t>
      </w:r>
      <w:r w:rsidRPr="00865B9A">
        <w:rPr>
          <w:lang w:val="es-ES"/>
        </w:rPr>
        <w:t xml:space="preserve"> </w:t>
      </w:r>
    </w:p>
    <w:p w:rsidR="005E01C2" w:rsidRPr="00865B9A" w:rsidRDefault="00865B9A" w:rsidP="005E01C2">
      <w:pPr>
        <w:pStyle w:val="ListParagraph"/>
        <w:numPr>
          <w:ilvl w:val="0"/>
          <w:numId w:val="2"/>
        </w:numPr>
        <w:spacing w:after="120"/>
        <w:rPr>
          <w:lang w:val="es-ES"/>
        </w:rPr>
      </w:pPr>
      <w:r w:rsidRPr="00865B9A">
        <w:rPr>
          <w:lang w:val="es-ES"/>
        </w:rPr>
        <w:t>I</w:t>
      </w:r>
      <w:r w:rsidR="005E01C2" w:rsidRPr="00865B9A">
        <w:rPr>
          <w:lang w:val="es-ES"/>
        </w:rPr>
        <w:t>nclu</w:t>
      </w:r>
      <w:r w:rsidRPr="00865B9A">
        <w:rPr>
          <w:lang w:val="es-ES"/>
        </w:rPr>
        <w:t>ir el Programa de Trabajo</w:t>
      </w:r>
      <w:r w:rsidR="005E01C2" w:rsidRPr="00865B9A">
        <w:rPr>
          <w:lang w:val="es-ES"/>
        </w:rPr>
        <w:t xml:space="preserve"> </w:t>
      </w:r>
      <w:r w:rsidRPr="00865B9A">
        <w:rPr>
          <w:lang w:val="es-ES"/>
        </w:rPr>
        <w:t>Decente en las políticas de desarrollo para promover la</w:t>
      </w:r>
      <w:r>
        <w:rPr>
          <w:lang w:val="es-ES"/>
        </w:rPr>
        <w:t xml:space="preserve"> inclusión social y económica y luchar contra las desigualdades en </w:t>
      </w:r>
      <w:r w:rsidR="005D79E9">
        <w:rPr>
          <w:lang w:val="es-ES"/>
        </w:rPr>
        <w:t>la agenda</w:t>
      </w:r>
      <w:r>
        <w:rPr>
          <w:lang w:val="es-ES"/>
        </w:rPr>
        <w:t xml:space="preserve"> oficial de desarrollo</w:t>
      </w:r>
      <w:r w:rsidR="005E01C2" w:rsidRPr="00865B9A">
        <w:rPr>
          <w:lang w:val="es-ES"/>
        </w:rPr>
        <w:t xml:space="preserve"> </w:t>
      </w:r>
    </w:p>
    <w:p w:rsidR="005E01C2" w:rsidRPr="00865B9A" w:rsidRDefault="00865B9A" w:rsidP="005E01C2">
      <w:pPr>
        <w:pStyle w:val="ListParagraph"/>
        <w:numPr>
          <w:ilvl w:val="0"/>
          <w:numId w:val="2"/>
        </w:numPr>
        <w:spacing w:after="120"/>
        <w:rPr>
          <w:lang w:val="es-ES"/>
        </w:rPr>
      </w:pPr>
      <w:r w:rsidRPr="00865B9A">
        <w:rPr>
          <w:lang w:val="es-ES"/>
        </w:rPr>
        <w:t xml:space="preserve">Centrar </w:t>
      </w:r>
      <w:r w:rsidR="005D79E9">
        <w:rPr>
          <w:lang w:val="es-ES"/>
        </w:rPr>
        <w:t>la agenda</w:t>
      </w:r>
      <w:r w:rsidRPr="00865B9A">
        <w:rPr>
          <w:lang w:val="es-ES"/>
        </w:rPr>
        <w:t xml:space="preserve"> de desarrollo social en la econ</w:t>
      </w:r>
      <w:r>
        <w:rPr>
          <w:lang w:val="es-ES"/>
        </w:rPr>
        <w:t>omía productiva, formal e informal como motor del desarrollo</w:t>
      </w:r>
    </w:p>
    <w:p w:rsidR="005E01C2" w:rsidRPr="003B7610" w:rsidRDefault="00865B9A" w:rsidP="005E01C2">
      <w:pPr>
        <w:pStyle w:val="ListParagraph"/>
        <w:numPr>
          <w:ilvl w:val="0"/>
          <w:numId w:val="2"/>
        </w:numPr>
        <w:rPr>
          <w:lang w:val="es-ES"/>
        </w:rPr>
      </w:pPr>
      <w:r w:rsidRPr="003B7610">
        <w:rPr>
          <w:lang w:val="es-ES"/>
        </w:rPr>
        <w:t>M</w:t>
      </w:r>
      <w:r w:rsidR="005E01C2" w:rsidRPr="003B7610">
        <w:rPr>
          <w:lang w:val="es-ES"/>
        </w:rPr>
        <w:t>itiga</w:t>
      </w:r>
      <w:r w:rsidRPr="003B7610">
        <w:rPr>
          <w:lang w:val="es-ES"/>
        </w:rPr>
        <w:t xml:space="preserve">r la prioridad creciente/abrumadora </w:t>
      </w:r>
      <w:r w:rsidR="003B7610" w:rsidRPr="003B7610">
        <w:rPr>
          <w:lang w:val="es-ES"/>
        </w:rPr>
        <w:t xml:space="preserve">que los gobiernos e instituciones internacionales dan al </w:t>
      </w:r>
      <w:r w:rsidR="005E01C2" w:rsidRPr="003B7610">
        <w:rPr>
          <w:lang w:val="es-ES"/>
        </w:rPr>
        <w:t>“sector</w:t>
      </w:r>
      <w:r w:rsidR="003B7610">
        <w:rPr>
          <w:lang w:val="es-ES"/>
        </w:rPr>
        <w:t xml:space="preserve"> privado</w:t>
      </w:r>
      <w:r w:rsidR="005E01C2" w:rsidRPr="003B7610">
        <w:rPr>
          <w:lang w:val="es-ES"/>
        </w:rPr>
        <w:t xml:space="preserve">” </w:t>
      </w:r>
      <w:r w:rsidR="003B7610">
        <w:rPr>
          <w:lang w:val="es-ES"/>
        </w:rPr>
        <w:t>en cuestiones de desarrollo y</w:t>
      </w:r>
      <w:r w:rsidR="005E01C2" w:rsidRPr="003B7610">
        <w:rPr>
          <w:lang w:val="es-ES"/>
        </w:rPr>
        <w:t xml:space="preserve"> </w:t>
      </w:r>
      <w:r w:rsidR="003B7610">
        <w:rPr>
          <w:lang w:val="es-ES"/>
        </w:rPr>
        <w:t xml:space="preserve">controlar el poder de las empresas en las políticas de cooperación al desarrollo </w:t>
      </w:r>
    </w:p>
    <w:p w:rsidR="005E01C2" w:rsidRPr="003B7610" w:rsidRDefault="003B7610" w:rsidP="005E01C2">
      <w:pPr>
        <w:pStyle w:val="ListParagraph"/>
        <w:numPr>
          <w:ilvl w:val="0"/>
          <w:numId w:val="2"/>
        </w:numPr>
        <w:rPr>
          <w:lang w:val="es-ES"/>
        </w:rPr>
      </w:pPr>
      <w:r w:rsidRPr="003B7610">
        <w:rPr>
          <w:lang w:val="es-ES"/>
        </w:rPr>
        <w:t>P</w:t>
      </w:r>
      <w:r w:rsidR="005E01C2" w:rsidRPr="003B7610">
        <w:rPr>
          <w:lang w:val="es-ES"/>
        </w:rPr>
        <w:t>romo</w:t>
      </w:r>
      <w:r w:rsidRPr="003B7610">
        <w:rPr>
          <w:lang w:val="es-ES"/>
        </w:rPr>
        <w:t xml:space="preserve">ver e impulsar la gobernanza social </w:t>
      </w:r>
      <w:r>
        <w:rPr>
          <w:lang w:val="es-ES"/>
        </w:rPr>
        <w:t xml:space="preserve">a través del diálogo social como una práctica </w:t>
      </w:r>
      <w:r w:rsidR="00146BFC">
        <w:rPr>
          <w:lang w:val="es-ES"/>
        </w:rPr>
        <w:t xml:space="preserve">de múltiples actores (bipartita y tripartita), </w:t>
      </w:r>
      <w:r>
        <w:rPr>
          <w:lang w:val="es-ES"/>
        </w:rPr>
        <w:t>concreta y basada en los derechos</w:t>
      </w:r>
      <w:r w:rsidR="00146BFC">
        <w:rPr>
          <w:lang w:val="es-ES"/>
        </w:rPr>
        <w:t>.</w:t>
      </w:r>
    </w:p>
    <w:p w:rsidR="00B76939" w:rsidRPr="003B7610" w:rsidRDefault="003B7610" w:rsidP="00EC0262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3B7610">
        <w:rPr>
          <w:lang w:val="es-ES"/>
        </w:rPr>
        <w:t xml:space="preserve">Abordar </w:t>
      </w:r>
      <w:r w:rsidR="00146BFC">
        <w:rPr>
          <w:lang w:val="es-ES"/>
        </w:rPr>
        <w:t xml:space="preserve">un necesario </w:t>
      </w:r>
      <w:r w:rsidR="005E01C2" w:rsidRPr="003B7610">
        <w:rPr>
          <w:lang w:val="es-ES"/>
        </w:rPr>
        <w:t>“</w:t>
      </w:r>
      <w:r>
        <w:rPr>
          <w:lang w:val="es-ES"/>
        </w:rPr>
        <w:t>cambio de poder</w:t>
      </w:r>
      <w:r w:rsidR="005E01C2" w:rsidRPr="003B7610">
        <w:rPr>
          <w:lang w:val="es-ES"/>
        </w:rPr>
        <w:t>”</w:t>
      </w:r>
      <w:r w:rsidR="00146BFC">
        <w:rPr>
          <w:lang w:val="es-ES"/>
        </w:rPr>
        <w:t xml:space="preserve"> </w:t>
      </w:r>
      <w:r w:rsidR="005E01C2" w:rsidRPr="003B7610">
        <w:rPr>
          <w:lang w:val="es-ES"/>
        </w:rPr>
        <w:t xml:space="preserve"> </w:t>
      </w:r>
      <w:r w:rsidR="00865B9A" w:rsidRPr="003B7610">
        <w:rPr>
          <w:lang w:val="es-ES"/>
        </w:rPr>
        <w:t>en el plano nacional</w:t>
      </w:r>
      <w:r w:rsidR="005E01C2" w:rsidRPr="003B7610">
        <w:rPr>
          <w:lang w:val="es-ES"/>
        </w:rPr>
        <w:t xml:space="preserve"> (</w:t>
      </w:r>
      <w:r w:rsidR="00865B9A" w:rsidRPr="003B7610">
        <w:rPr>
          <w:lang w:val="es-ES"/>
        </w:rPr>
        <w:t>y</w:t>
      </w:r>
      <w:r w:rsidR="005E01C2" w:rsidRPr="003B7610">
        <w:rPr>
          <w:lang w:val="es-ES"/>
        </w:rPr>
        <w:t xml:space="preserve"> regional/interna</w:t>
      </w:r>
      <w:r w:rsidR="00865B9A" w:rsidRPr="003B7610">
        <w:rPr>
          <w:lang w:val="es-ES"/>
        </w:rPr>
        <w:t>c</w:t>
      </w:r>
      <w:r w:rsidR="005E01C2" w:rsidRPr="003B7610">
        <w:rPr>
          <w:lang w:val="es-ES"/>
        </w:rPr>
        <w:t xml:space="preserve">ional) </w:t>
      </w:r>
      <w:r w:rsidR="00716623">
        <w:rPr>
          <w:lang w:val="es-ES"/>
        </w:rPr>
        <w:t>y la econ</w:t>
      </w:r>
      <w:r w:rsidR="00146BFC">
        <w:rPr>
          <w:lang w:val="es-ES"/>
        </w:rPr>
        <w:t>omía política</w:t>
      </w:r>
      <w:r w:rsidR="00716623">
        <w:rPr>
          <w:lang w:val="es-ES"/>
        </w:rPr>
        <w:t xml:space="preserve"> de</w:t>
      </w:r>
      <w:r w:rsidR="00146BFC">
        <w:rPr>
          <w:lang w:val="es-ES"/>
        </w:rPr>
        <w:t xml:space="preserve"> una</w:t>
      </w:r>
      <w:r w:rsidR="00716623">
        <w:rPr>
          <w:lang w:val="es-ES"/>
        </w:rPr>
        <w:t xml:space="preserve"> </w:t>
      </w:r>
      <w:r w:rsidR="00146BFC">
        <w:rPr>
          <w:lang w:val="es-ES"/>
        </w:rPr>
        <w:t>necesaria</w:t>
      </w:r>
      <w:r w:rsidR="00F36848">
        <w:rPr>
          <w:lang w:val="es-ES"/>
        </w:rPr>
        <w:t xml:space="preserve"> </w:t>
      </w:r>
      <w:r w:rsidR="00146BFC">
        <w:rPr>
          <w:lang w:val="es-ES"/>
        </w:rPr>
        <w:t xml:space="preserve">agenda para el </w:t>
      </w:r>
      <w:r w:rsidR="00716623">
        <w:rPr>
          <w:lang w:val="es-ES"/>
        </w:rPr>
        <w:t>cambio/justicia social</w:t>
      </w:r>
      <w:r w:rsidR="00146BFC">
        <w:rPr>
          <w:lang w:val="es-ES"/>
        </w:rPr>
        <w:t>.</w:t>
      </w:r>
    </w:p>
    <w:p w:rsidR="00B76939" w:rsidRPr="003B7610" w:rsidRDefault="00B76939" w:rsidP="00EC0262">
      <w:pPr>
        <w:spacing w:after="0"/>
        <w:rPr>
          <w:b/>
          <w:u w:val="single"/>
          <w:lang w:val="es-ES"/>
        </w:rPr>
      </w:pPr>
    </w:p>
    <w:p w:rsidR="007F5FC0" w:rsidRPr="00E750D2" w:rsidRDefault="00865B9A" w:rsidP="007F5FC0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Resultados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posibles</w:t>
      </w:r>
      <w:proofErr w:type="spellEnd"/>
      <w:r w:rsidR="007F5FC0" w:rsidRPr="00E750D2">
        <w:rPr>
          <w:b/>
          <w:u w:val="single"/>
          <w:lang w:val="en-GB"/>
        </w:rPr>
        <w:t>:</w:t>
      </w:r>
    </w:p>
    <w:p w:rsidR="00B253D0" w:rsidRPr="00716623" w:rsidRDefault="00716623" w:rsidP="00716623">
      <w:pPr>
        <w:pStyle w:val="ListParagraph"/>
        <w:numPr>
          <w:ilvl w:val="0"/>
          <w:numId w:val="4"/>
        </w:numPr>
        <w:rPr>
          <w:lang w:val="es-ES"/>
        </w:rPr>
      </w:pPr>
      <w:r w:rsidRPr="00716623">
        <w:rPr>
          <w:b/>
          <w:sz w:val="24"/>
          <w:lang w:val="es-ES"/>
        </w:rPr>
        <w:t>A</w:t>
      </w:r>
      <w:r>
        <w:rPr>
          <w:b/>
          <w:sz w:val="24"/>
          <w:lang w:val="es-ES"/>
        </w:rPr>
        <w:t>LIANZA</w:t>
      </w:r>
      <w:r w:rsidRPr="00716623">
        <w:rPr>
          <w:b/>
          <w:sz w:val="24"/>
          <w:lang w:val="es-ES"/>
        </w:rPr>
        <w:t xml:space="preserve"> PARA EL DIÁLOGO SOCIAL EN EL DESARROLLO </w:t>
      </w:r>
      <w:r w:rsidRPr="00716623">
        <w:rPr>
          <w:lang w:val="es-ES"/>
        </w:rPr>
        <w:t>que podría reunir a gobiernos del Norte y del Sur</w:t>
      </w:r>
      <w:r>
        <w:rPr>
          <w:lang w:val="es-ES"/>
        </w:rPr>
        <w:t>, al movimiento sindical, la OIT</w:t>
      </w:r>
      <w:r w:rsidR="007F5FC0" w:rsidRPr="00716623">
        <w:rPr>
          <w:lang w:val="es-ES"/>
        </w:rPr>
        <w:t xml:space="preserve"> (</w:t>
      </w:r>
      <w:r>
        <w:rPr>
          <w:lang w:val="es-ES"/>
        </w:rPr>
        <w:t>Diálogo Social y</w:t>
      </w:r>
      <w:r w:rsidR="007F5FC0" w:rsidRPr="00716623">
        <w:rPr>
          <w:lang w:val="es-ES"/>
        </w:rPr>
        <w:t xml:space="preserve"> ACTRAV)</w:t>
      </w:r>
      <w:r>
        <w:rPr>
          <w:lang w:val="es-ES"/>
        </w:rPr>
        <w:t>, la Comisión Europea y otras instituciones pertinentes</w:t>
      </w:r>
      <w:r w:rsidR="001C2900" w:rsidRPr="00716623">
        <w:rPr>
          <w:lang w:val="es-ES"/>
        </w:rPr>
        <w:t xml:space="preserve"> (CEPAL,</w:t>
      </w:r>
      <w:r>
        <w:rPr>
          <w:lang w:val="es-ES"/>
        </w:rPr>
        <w:t xml:space="preserve"> etc</w:t>
      </w:r>
      <w:r w:rsidR="001C2900" w:rsidRPr="00716623">
        <w:rPr>
          <w:lang w:val="es-ES"/>
        </w:rPr>
        <w:t xml:space="preserve">.). </w:t>
      </w:r>
      <w:r w:rsidRPr="00716623">
        <w:rPr>
          <w:lang w:val="es-ES"/>
        </w:rPr>
        <w:t>También se debería considerar como socios estratégicos a</w:t>
      </w:r>
      <w:r>
        <w:rPr>
          <w:lang w:val="es-ES"/>
        </w:rPr>
        <w:t xml:space="preserve"> la A</w:t>
      </w:r>
      <w:r w:rsidR="001C2900" w:rsidRPr="00716623">
        <w:rPr>
          <w:lang w:val="es-ES"/>
        </w:rPr>
        <w:t>G</w:t>
      </w:r>
      <w:r>
        <w:rPr>
          <w:lang w:val="es-ES"/>
        </w:rPr>
        <w:t>CED y al CAD de la OCDE</w:t>
      </w:r>
      <w:r w:rsidR="001C2900" w:rsidRPr="00716623">
        <w:rPr>
          <w:lang w:val="es-ES"/>
        </w:rPr>
        <w:t xml:space="preserve">. </w:t>
      </w:r>
      <w:r w:rsidRPr="00716623">
        <w:rPr>
          <w:lang w:val="es-ES"/>
        </w:rPr>
        <w:t>A más largo plazo</w:t>
      </w:r>
      <w:r w:rsidR="001C2900" w:rsidRPr="00716623">
        <w:rPr>
          <w:lang w:val="es-ES"/>
        </w:rPr>
        <w:t xml:space="preserve">, </w:t>
      </w:r>
      <w:r w:rsidRPr="00716623">
        <w:rPr>
          <w:lang w:val="es-ES"/>
        </w:rPr>
        <w:t xml:space="preserve">el diálogo </w:t>
      </w:r>
      <w:r w:rsidR="001C2900" w:rsidRPr="00716623">
        <w:rPr>
          <w:lang w:val="es-ES"/>
        </w:rPr>
        <w:t xml:space="preserve">social </w:t>
      </w:r>
      <w:r w:rsidRPr="00716623">
        <w:rPr>
          <w:lang w:val="es-ES"/>
        </w:rPr>
        <w:t>debería in</w:t>
      </w:r>
      <w:r>
        <w:rPr>
          <w:lang w:val="es-ES"/>
        </w:rPr>
        <w:t xml:space="preserve">cluirse en las estrategias de desarrollo y </w:t>
      </w:r>
      <w:r w:rsidR="00146BFC">
        <w:rPr>
          <w:lang w:val="es-ES"/>
        </w:rPr>
        <w:t xml:space="preserve">constituir </w:t>
      </w:r>
      <w:r>
        <w:rPr>
          <w:lang w:val="es-ES"/>
        </w:rPr>
        <w:t xml:space="preserve">un </w:t>
      </w:r>
      <w:r w:rsidR="00146BFC">
        <w:rPr>
          <w:lang w:val="es-ES"/>
        </w:rPr>
        <w:t>enfoque  para el</w:t>
      </w:r>
      <w:r>
        <w:rPr>
          <w:lang w:val="es-ES"/>
        </w:rPr>
        <w:t xml:space="preserve"> apoyo de la AOD</w:t>
      </w:r>
      <w:r w:rsidR="001C2900" w:rsidRPr="00716623">
        <w:rPr>
          <w:lang w:val="es-ES"/>
        </w:rPr>
        <w:t>.</w:t>
      </w:r>
      <w:r w:rsidR="00B253D0" w:rsidRPr="00716623">
        <w:rPr>
          <w:lang w:val="es-ES"/>
        </w:rPr>
        <w:t xml:space="preserve"> </w:t>
      </w:r>
    </w:p>
    <w:p w:rsidR="00EC0262" w:rsidRPr="005F4FBA" w:rsidRDefault="00716623" w:rsidP="00EC0262">
      <w:pPr>
        <w:pStyle w:val="ListParagraph"/>
        <w:numPr>
          <w:ilvl w:val="0"/>
          <w:numId w:val="4"/>
        </w:numPr>
        <w:rPr>
          <w:lang w:val="es-ES"/>
        </w:rPr>
      </w:pPr>
      <w:r w:rsidRPr="00716623">
        <w:rPr>
          <w:lang w:val="es-ES"/>
        </w:rPr>
        <w:t>Los objetivos de la alianza se deber</w:t>
      </w:r>
      <w:r w:rsidR="0020409A">
        <w:rPr>
          <w:lang w:val="es-ES"/>
        </w:rPr>
        <w:t>á</w:t>
      </w:r>
      <w:r w:rsidRPr="00716623">
        <w:rPr>
          <w:lang w:val="es-ES"/>
        </w:rPr>
        <w:t>n centrar en apoyar el</w:t>
      </w:r>
      <w:r>
        <w:rPr>
          <w:lang w:val="es-ES"/>
        </w:rPr>
        <w:t xml:space="preserve"> diálogo social como instrumento de gobernanza social y </w:t>
      </w:r>
      <w:r w:rsidR="00BC376D">
        <w:rPr>
          <w:lang w:val="es-ES"/>
        </w:rPr>
        <w:t>de facilitación del</w:t>
      </w:r>
      <w:r>
        <w:rPr>
          <w:lang w:val="es-ES"/>
        </w:rPr>
        <w:t xml:space="preserve"> desarrollo</w:t>
      </w:r>
      <w:r w:rsidR="001C2900" w:rsidRPr="00716623">
        <w:rPr>
          <w:lang w:val="es-ES"/>
        </w:rPr>
        <w:t>.</w:t>
      </w:r>
      <w:r w:rsidR="0021071B" w:rsidRPr="00716623">
        <w:rPr>
          <w:lang w:val="es-ES"/>
        </w:rPr>
        <w:t xml:space="preserve"> </w:t>
      </w:r>
      <w:r w:rsidR="005F4FBA" w:rsidRPr="005F4FBA">
        <w:rPr>
          <w:lang w:val="es-ES"/>
        </w:rPr>
        <w:t xml:space="preserve">La alianza </w:t>
      </w:r>
      <w:r w:rsidR="0020409A" w:rsidRPr="005F4FBA">
        <w:rPr>
          <w:lang w:val="es-ES"/>
        </w:rPr>
        <w:t>desarrollará</w:t>
      </w:r>
      <w:r w:rsidR="005F4FBA" w:rsidRPr="005F4FBA">
        <w:rPr>
          <w:lang w:val="es-ES"/>
        </w:rPr>
        <w:t xml:space="preserve"> </w:t>
      </w:r>
      <w:r w:rsidR="005F4FBA" w:rsidRPr="005F4FBA">
        <w:rPr>
          <w:b/>
          <w:lang w:val="es-ES"/>
        </w:rPr>
        <w:t>inic</w:t>
      </w:r>
      <w:r w:rsidR="005F4FBA">
        <w:rPr>
          <w:b/>
          <w:lang w:val="es-ES"/>
        </w:rPr>
        <w:t xml:space="preserve">iativas de </w:t>
      </w:r>
      <w:r w:rsidR="00BC376D">
        <w:rPr>
          <w:b/>
          <w:lang w:val="es-ES"/>
        </w:rPr>
        <w:t xml:space="preserve">incidencia </w:t>
      </w:r>
      <w:r w:rsidR="005F4FBA">
        <w:rPr>
          <w:b/>
          <w:lang w:val="es-ES"/>
        </w:rPr>
        <w:t>y estrategias de presión para foros internacionales</w:t>
      </w:r>
      <w:r w:rsidR="00291D97" w:rsidRPr="005F4FBA">
        <w:rPr>
          <w:lang w:val="es-ES"/>
        </w:rPr>
        <w:t>.</w:t>
      </w:r>
    </w:p>
    <w:p w:rsidR="00EC0262" w:rsidRPr="005F4FBA" w:rsidRDefault="005F4FBA" w:rsidP="00EC0262">
      <w:pPr>
        <w:pStyle w:val="ListParagraph"/>
        <w:numPr>
          <w:ilvl w:val="0"/>
          <w:numId w:val="4"/>
        </w:numPr>
        <w:rPr>
          <w:lang w:val="es-ES"/>
        </w:rPr>
      </w:pPr>
      <w:r w:rsidRPr="005F4FBA">
        <w:rPr>
          <w:lang w:val="es-ES"/>
        </w:rPr>
        <w:t>La alianza apoyará la</w:t>
      </w:r>
      <w:r w:rsidR="00291D97" w:rsidRPr="005F4FBA">
        <w:rPr>
          <w:lang w:val="es-ES"/>
        </w:rPr>
        <w:t xml:space="preserve"> </w:t>
      </w:r>
      <w:r w:rsidRPr="005F4FBA">
        <w:rPr>
          <w:b/>
          <w:lang w:val="es-ES"/>
        </w:rPr>
        <w:t xml:space="preserve">aplicación de </w:t>
      </w:r>
      <w:r>
        <w:rPr>
          <w:b/>
          <w:lang w:val="es-ES"/>
        </w:rPr>
        <w:t>experiencias</w:t>
      </w:r>
      <w:r w:rsidR="00BC376D">
        <w:rPr>
          <w:b/>
          <w:lang w:val="es-ES"/>
        </w:rPr>
        <w:t xml:space="preserve"> de diálogo social en el Sur</w:t>
      </w:r>
      <w:r>
        <w:rPr>
          <w:b/>
          <w:lang w:val="es-ES"/>
        </w:rPr>
        <w:t xml:space="preserve"> pertinentes</w:t>
      </w:r>
      <w:r w:rsidR="00BC376D">
        <w:rPr>
          <w:b/>
          <w:lang w:val="es-ES"/>
        </w:rPr>
        <w:t xml:space="preserve"> para el desarrollo</w:t>
      </w:r>
      <w:r w:rsidR="0021071B" w:rsidRPr="005F4FBA">
        <w:rPr>
          <w:lang w:val="es-ES"/>
        </w:rPr>
        <w:t xml:space="preserve">. </w:t>
      </w:r>
    </w:p>
    <w:p w:rsidR="00EC0262" w:rsidRPr="005F4FBA" w:rsidRDefault="005F4FBA" w:rsidP="00EC0262">
      <w:pPr>
        <w:spacing w:after="0"/>
        <w:ind w:left="360"/>
        <w:rPr>
          <w:i/>
          <w:lang w:val="es-ES"/>
        </w:rPr>
      </w:pPr>
      <w:r w:rsidRPr="005F4FBA">
        <w:rPr>
          <w:i/>
          <w:lang w:val="es-ES"/>
        </w:rPr>
        <w:t xml:space="preserve">Esta </w:t>
      </w:r>
      <w:r w:rsidR="007462A9">
        <w:rPr>
          <w:i/>
          <w:lang w:val="es-ES"/>
        </w:rPr>
        <w:t>A</w:t>
      </w:r>
      <w:r w:rsidRPr="005F4FBA">
        <w:rPr>
          <w:i/>
          <w:lang w:val="es-ES"/>
        </w:rPr>
        <w:t>lianza podría ser una plataforma</w:t>
      </w:r>
      <w:r w:rsidR="00EC0262" w:rsidRPr="005F4FBA">
        <w:rPr>
          <w:i/>
          <w:lang w:val="es-ES"/>
        </w:rPr>
        <w:t xml:space="preserve"> </w:t>
      </w:r>
    </w:p>
    <w:p w:rsidR="00EC0262" w:rsidRPr="005F4FBA" w:rsidRDefault="00EC0262" w:rsidP="00EC0262">
      <w:pPr>
        <w:pStyle w:val="ListParagraph"/>
        <w:numPr>
          <w:ilvl w:val="0"/>
          <w:numId w:val="10"/>
        </w:numPr>
        <w:rPr>
          <w:i/>
          <w:lang w:val="es-ES"/>
        </w:rPr>
      </w:pPr>
      <w:r w:rsidRPr="005F4FBA">
        <w:rPr>
          <w:i/>
          <w:lang w:val="es-ES"/>
        </w:rPr>
        <w:t>“</w:t>
      </w:r>
      <w:r w:rsidR="005F4FBA" w:rsidRPr="005F4FBA">
        <w:rPr>
          <w:i/>
          <w:lang w:val="es-ES"/>
        </w:rPr>
        <w:t>por derecho propio</w:t>
      </w:r>
      <w:r w:rsidRPr="005F4FBA">
        <w:rPr>
          <w:i/>
          <w:lang w:val="es-ES"/>
        </w:rPr>
        <w:t>” (</w:t>
      </w:r>
      <w:r w:rsidR="005F4FBA" w:rsidRPr="005F4FBA">
        <w:rPr>
          <w:i/>
          <w:lang w:val="es-ES"/>
        </w:rPr>
        <w:t>reuniendo a gobi</w:t>
      </w:r>
      <w:r w:rsidR="005F4FBA">
        <w:rPr>
          <w:i/>
          <w:lang w:val="es-ES"/>
        </w:rPr>
        <w:t>ernos, la OIT y socios</w:t>
      </w:r>
      <w:r w:rsidRPr="005F4FBA">
        <w:rPr>
          <w:i/>
          <w:lang w:val="es-ES"/>
        </w:rPr>
        <w:t xml:space="preserve">) o </w:t>
      </w:r>
    </w:p>
    <w:p w:rsidR="00EC0262" w:rsidRPr="005F4FBA" w:rsidRDefault="009B3DDC" w:rsidP="00EC0262">
      <w:pPr>
        <w:pStyle w:val="ListParagraph"/>
        <w:numPr>
          <w:ilvl w:val="0"/>
          <w:numId w:val="10"/>
        </w:numPr>
        <w:rPr>
          <w:i/>
          <w:lang w:val="es-ES"/>
        </w:rPr>
      </w:pPr>
      <w:r>
        <w:rPr>
          <w:i/>
          <w:lang w:val="es-ES"/>
        </w:rPr>
        <w:t>que forme</w:t>
      </w:r>
      <w:r w:rsidR="005F4FBA" w:rsidRPr="005F4FBA">
        <w:rPr>
          <w:i/>
          <w:lang w:val="es-ES"/>
        </w:rPr>
        <w:t xml:space="preserve"> parte de nuestro seguimiento del CAD</w:t>
      </w:r>
      <w:r w:rsidR="00EC0262" w:rsidRPr="005F4FBA">
        <w:rPr>
          <w:i/>
          <w:lang w:val="es-ES"/>
        </w:rPr>
        <w:t xml:space="preserve"> (</w:t>
      </w:r>
      <w:r w:rsidR="005F4FBA">
        <w:rPr>
          <w:i/>
          <w:lang w:val="es-ES"/>
        </w:rPr>
        <w:t>para presentarla en el Foro de sindicatos-CAD</w:t>
      </w:r>
      <w:r w:rsidR="005F4FBA" w:rsidRPr="005F4FBA">
        <w:rPr>
          <w:i/>
          <w:lang w:val="es-ES"/>
        </w:rPr>
        <w:t>) o</w:t>
      </w:r>
      <w:r w:rsidR="00EC0262" w:rsidRPr="005F4FBA">
        <w:rPr>
          <w:i/>
          <w:lang w:val="es-ES"/>
        </w:rPr>
        <w:t xml:space="preserve"> </w:t>
      </w:r>
    </w:p>
    <w:p w:rsidR="00EC0262" w:rsidRPr="005F4FBA" w:rsidRDefault="00BC376D" w:rsidP="00EC0262">
      <w:pPr>
        <w:pStyle w:val="ListParagraph"/>
        <w:numPr>
          <w:ilvl w:val="0"/>
          <w:numId w:val="10"/>
        </w:numPr>
        <w:spacing w:after="0"/>
        <w:rPr>
          <w:i/>
          <w:lang w:val="es-ES"/>
        </w:rPr>
      </w:pPr>
      <w:r>
        <w:rPr>
          <w:i/>
          <w:lang w:val="es-ES"/>
        </w:rPr>
        <w:t>en el</w:t>
      </w:r>
      <w:r w:rsidR="005F4FBA" w:rsidRPr="005F4FBA">
        <w:rPr>
          <w:i/>
          <w:lang w:val="es-ES"/>
        </w:rPr>
        <w:t xml:space="preserve"> marco de las </w:t>
      </w:r>
      <w:r w:rsidR="00EC0262" w:rsidRPr="005F4FBA">
        <w:rPr>
          <w:i/>
          <w:lang w:val="es-ES"/>
        </w:rPr>
        <w:t>“</w:t>
      </w:r>
      <w:r w:rsidR="005F4FBA" w:rsidRPr="005F4FBA">
        <w:rPr>
          <w:i/>
          <w:lang w:val="es-ES"/>
        </w:rPr>
        <w:t>iniciativas voluntarias</w:t>
      </w:r>
      <w:r w:rsidR="00EC0262" w:rsidRPr="005F4FBA">
        <w:rPr>
          <w:i/>
          <w:lang w:val="es-ES"/>
        </w:rPr>
        <w:t xml:space="preserve">” </w:t>
      </w:r>
      <w:r w:rsidR="005F4FBA" w:rsidRPr="005F4FBA">
        <w:rPr>
          <w:i/>
          <w:lang w:val="es-ES"/>
        </w:rPr>
        <w:t xml:space="preserve">de la </w:t>
      </w:r>
      <w:r w:rsidR="005F4FBA">
        <w:rPr>
          <w:i/>
          <w:lang w:val="es-ES"/>
        </w:rPr>
        <w:t>AGCED</w:t>
      </w:r>
      <w:r w:rsidR="00EC0262" w:rsidRPr="005F4FBA">
        <w:rPr>
          <w:i/>
          <w:lang w:val="es-ES"/>
        </w:rPr>
        <w:t xml:space="preserve"> (</w:t>
      </w:r>
      <w:r w:rsidR="005F4FBA">
        <w:rPr>
          <w:i/>
          <w:lang w:val="es-ES"/>
        </w:rPr>
        <w:t xml:space="preserve">véase sección sobre desarrollo </w:t>
      </w:r>
      <w:r>
        <w:rPr>
          <w:i/>
          <w:lang w:val="es-ES"/>
        </w:rPr>
        <w:t>inclusivo</w:t>
      </w:r>
      <w:r w:rsidR="00EC0262" w:rsidRPr="005F4FBA">
        <w:rPr>
          <w:i/>
          <w:lang w:val="es-ES"/>
        </w:rPr>
        <w:t xml:space="preserve">), </w:t>
      </w:r>
      <w:r>
        <w:rPr>
          <w:i/>
          <w:lang w:val="es-ES"/>
        </w:rPr>
        <w:t xml:space="preserve">involucrando </w:t>
      </w:r>
      <w:r w:rsidR="005F4FBA">
        <w:rPr>
          <w:i/>
          <w:lang w:val="es-ES"/>
        </w:rPr>
        <w:t xml:space="preserve">también a </w:t>
      </w:r>
      <w:r w:rsidR="007462A9">
        <w:rPr>
          <w:i/>
          <w:lang w:val="es-ES"/>
        </w:rPr>
        <w:t>los actores interesados del</w:t>
      </w:r>
      <w:r w:rsidR="00EC0262" w:rsidRPr="005F4FBA">
        <w:rPr>
          <w:i/>
          <w:lang w:val="es-ES"/>
        </w:rPr>
        <w:t xml:space="preserve"> “sector</w:t>
      </w:r>
      <w:r w:rsidR="007462A9">
        <w:rPr>
          <w:i/>
          <w:lang w:val="es-ES"/>
        </w:rPr>
        <w:t xml:space="preserve"> privado</w:t>
      </w:r>
      <w:r w:rsidR="00EC0262" w:rsidRPr="005F4FBA">
        <w:rPr>
          <w:i/>
          <w:lang w:val="es-ES"/>
        </w:rPr>
        <w:t xml:space="preserve">” </w:t>
      </w:r>
    </w:p>
    <w:p w:rsidR="005F4FBA" w:rsidRPr="000F465D" w:rsidRDefault="007462A9" w:rsidP="000F465D">
      <w:pPr>
        <w:spacing w:after="0"/>
        <w:ind w:left="360"/>
        <w:rPr>
          <w:i/>
          <w:lang w:val="es-ES"/>
        </w:rPr>
      </w:pPr>
      <w:r w:rsidRPr="000F465D">
        <w:rPr>
          <w:i/>
          <w:lang w:val="es-ES"/>
        </w:rPr>
        <w:lastRenderedPageBreak/>
        <w:t xml:space="preserve">La Alianza podría operar a través de un Grupo de Trabajo que prepare </w:t>
      </w:r>
      <w:r w:rsidR="000F465D" w:rsidRPr="000F465D">
        <w:rPr>
          <w:i/>
          <w:lang w:val="es-ES"/>
        </w:rPr>
        <w:t>programas de promo</w:t>
      </w:r>
      <w:r w:rsidR="000F465D">
        <w:rPr>
          <w:i/>
          <w:lang w:val="es-ES"/>
        </w:rPr>
        <w:t>ción</w:t>
      </w:r>
      <w:r w:rsidR="0021071B" w:rsidRPr="000F465D">
        <w:rPr>
          <w:i/>
          <w:lang w:val="es-ES"/>
        </w:rPr>
        <w:t xml:space="preserve"> </w:t>
      </w:r>
      <w:r w:rsidR="000F465D">
        <w:rPr>
          <w:i/>
          <w:lang w:val="es-ES"/>
        </w:rPr>
        <w:t>y</w:t>
      </w:r>
      <w:r w:rsidR="0021071B" w:rsidRPr="000F465D">
        <w:rPr>
          <w:i/>
          <w:lang w:val="es-ES"/>
        </w:rPr>
        <w:t xml:space="preserve"> </w:t>
      </w:r>
      <w:r w:rsidR="000F465D">
        <w:rPr>
          <w:i/>
          <w:lang w:val="es-ES"/>
        </w:rPr>
        <w:t xml:space="preserve">trabaje en actos de promoción en el ámbito internacional y </w:t>
      </w:r>
      <w:r w:rsidR="0021071B" w:rsidRPr="000F465D">
        <w:rPr>
          <w:i/>
          <w:lang w:val="es-ES"/>
        </w:rPr>
        <w:t xml:space="preserve">regional </w:t>
      </w:r>
      <w:r w:rsidR="000F465D">
        <w:rPr>
          <w:i/>
          <w:lang w:val="es-ES"/>
        </w:rPr>
        <w:t>y apoye posibles proyectos piloto</w:t>
      </w:r>
      <w:r w:rsidR="0021071B" w:rsidRPr="000F465D">
        <w:rPr>
          <w:i/>
          <w:lang w:val="es-ES"/>
        </w:rPr>
        <w:t xml:space="preserve"> </w:t>
      </w:r>
      <w:r w:rsidR="000F465D">
        <w:rPr>
          <w:i/>
          <w:lang w:val="es-ES"/>
        </w:rPr>
        <w:t>y</w:t>
      </w:r>
      <w:r w:rsidR="0021071B" w:rsidRPr="000F465D">
        <w:rPr>
          <w:i/>
          <w:lang w:val="es-ES"/>
        </w:rPr>
        <w:t xml:space="preserve">/o </w:t>
      </w:r>
      <w:r w:rsidR="005F20B9">
        <w:rPr>
          <w:i/>
          <w:lang w:val="es-ES"/>
        </w:rPr>
        <w:t>investigaci</w:t>
      </w:r>
      <w:r w:rsidR="009B3DDC">
        <w:rPr>
          <w:i/>
          <w:lang w:val="es-ES"/>
        </w:rPr>
        <w:t>ones</w:t>
      </w:r>
      <w:r w:rsidR="005F20B9">
        <w:rPr>
          <w:i/>
          <w:lang w:val="es-ES"/>
        </w:rPr>
        <w:t xml:space="preserve"> pertinente</w:t>
      </w:r>
      <w:r w:rsidR="009B3DDC">
        <w:rPr>
          <w:i/>
          <w:lang w:val="es-ES"/>
        </w:rPr>
        <w:t>s</w:t>
      </w:r>
      <w:r w:rsidR="005F20B9">
        <w:rPr>
          <w:i/>
          <w:lang w:val="es-ES"/>
        </w:rPr>
        <w:t xml:space="preserve"> sobre el diálogo </w:t>
      </w:r>
      <w:r w:rsidR="0021071B" w:rsidRPr="000F465D">
        <w:rPr>
          <w:i/>
          <w:lang w:val="es-ES"/>
        </w:rPr>
        <w:t>social.</w:t>
      </w:r>
    </w:p>
    <w:p w:rsidR="0021071B" w:rsidRPr="000F465D" w:rsidRDefault="0021071B" w:rsidP="00EC0262">
      <w:pPr>
        <w:spacing w:after="0"/>
        <w:ind w:left="360"/>
        <w:rPr>
          <w:i/>
          <w:lang w:val="es-ES"/>
        </w:rPr>
      </w:pPr>
      <w:r w:rsidRPr="000F465D">
        <w:rPr>
          <w:i/>
          <w:lang w:val="es-ES"/>
        </w:rPr>
        <w:t xml:space="preserve"> </w:t>
      </w:r>
    </w:p>
    <w:p w:rsidR="007F5FC0" w:rsidRPr="005F4FBA" w:rsidRDefault="005F4FBA" w:rsidP="007F5FC0">
      <w:pPr>
        <w:rPr>
          <w:b/>
          <w:u w:val="single"/>
          <w:lang w:val="es-ES"/>
        </w:rPr>
      </w:pPr>
      <w:r w:rsidRPr="005F4FBA">
        <w:rPr>
          <w:b/>
          <w:u w:val="single"/>
          <w:lang w:val="es-ES"/>
        </w:rPr>
        <w:t>Estrategia y plan de a</w:t>
      </w:r>
      <w:r>
        <w:rPr>
          <w:b/>
          <w:u w:val="single"/>
          <w:lang w:val="es-ES"/>
        </w:rPr>
        <w:t>cción</w:t>
      </w:r>
    </w:p>
    <w:p w:rsidR="005E01C2" w:rsidRPr="009B3DDC" w:rsidRDefault="005F20B9" w:rsidP="001C2900">
      <w:pPr>
        <w:pStyle w:val="ListParagraph"/>
        <w:numPr>
          <w:ilvl w:val="0"/>
          <w:numId w:val="4"/>
        </w:numPr>
        <w:rPr>
          <w:lang w:val="es-ES"/>
        </w:rPr>
      </w:pPr>
      <w:r w:rsidRPr="005F20B9">
        <w:rPr>
          <w:lang w:val="es-ES"/>
        </w:rPr>
        <w:t xml:space="preserve">La participación de los gobiernos </w:t>
      </w:r>
      <w:r w:rsidR="001C2900" w:rsidRPr="005F20B9">
        <w:rPr>
          <w:lang w:val="es-ES"/>
        </w:rPr>
        <w:t>(</w:t>
      </w:r>
      <w:r w:rsidRPr="005F20B9">
        <w:rPr>
          <w:lang w:val="es-ES"/>
        </w:rPr>
        <w:t>departamentos de cooperación al desarrollo</w:t>
      </w:r>
      <w:r w:rsidR="001C2900" w:rsidRPr="005F20B9">
        <w:rPr>
          <w:lang w:val="es-ES"/>
        </w:rPr>
        <w:t>/</w:t>
      </w:r>
      <w:r w:rsidRPr="005F20B9">
        <w:rPr>
          <w:lang w:val="es-ES"/>
        </w:rPr>
        <w:t>departamentos de trabajo</w:t>
      </w:r>
      <w:r w:rsidR="001C2900" w:rsidRPr="005F20B9">
        <w:rPr>
          <w:lang w:val="es-ES"/>
        </w:rPr>
        <w:t>/administra</w:t>
      </w:r>
      <w:r w:rsidRPr="005F20B9">
        <w:rPr>
          <w:lang w:val="es-ES"/>
        </w:rPr>
        <w:t>ción</w:t>
      </w:r>
      <w:r w:rsidR="001C2900" w:rsidRPr="005F20B9">
        <w:rPr>
          <w:lang w:val="es-ES"/>
        </w:rPr>
        <w:t xml:space="preserve">) </w:t>
      </w:r>
      <w:r w:rsidRPr="005F20B9">
        <w:rPr>
          <w:lang w:val="es-ES"/>
        </w:rPr>
        <w:t>es fun</w:t>
      </w:r>
      <w:r>
        <w:rPr>
          <w:lang w:val="es-ES"/>
        </w:rPr>
        <w:t>damental</w:t>
      </w:r>
      <w:r w:rsidR="001C2900" w:rsidRPr="005F20B9">
        <w:rPr>
          <w:lang w:val="es-ES"/>
        </w:rPr>
        <w:t xml:space="preserve">. </w:t>
      </w:r>
      <w:r w:rsidR="00DB174B" w:rsidRPr="00DB174B">
        <w:rPr>
          <w:lang w:val="es-ES"/>
        </w:rPr>
        <w:t xml:space="preserve">Deberíamos poder identificar un número </w:t>
      </w:r>
      <w:r w:rsidR="009B3DDC">
        <w:rPr>
          <w:lang w:val="es-ES"/>
        </w:rPr>
        <w:t>importante</w:t>
      </w:r>
      <w:r w:rsidR="00DB174B" w:rsidRPr="00DB174B">
        <w:rPr>
          <w:lang w:val="es-ES"/>
        </w:rPr>
        <w:t xml:space="preserve"> de aliados</w:t>
      </w:r>
      <w:r w:rsidR="001C2900" w:rsidRPr="00DB174B">
        <w:rPr>
          <w:lang w:val="es-ES"/>
        </w:rPr>
        <w:t xml:space="preserve"> (</w:t>
      </w:r>
      <w:r w:rsidR="00DB174B" w:rsidRPr="00DB174B">
        <w:rPr>
          <w:lang w:val="es-ES"/>
        </w:rPr>
        <w:t>defensore</w:t>
      </w:r>
      <w:r w:rsidR="001C2900" w:rsidRPr="00DB174B">
        <w:rPr>
          <w:lang w:val="es-ES"/>
        </w:rPr>
        <w:t xml:space="preserve">s) </w:t>
      </w:r>
      <w:r w:rsidR="00DB174B" w:rsidRPr="00DB174B">
        <w:rPr>
          <w:lang w:val="es-ES"/>
        </w:rPr>
        <w:t>q</w:t>
      </w:r>
      <w:r w:rsidR="00DB174B">
        <w:rPr>
          <w:lang w:val="es-ES"/>
        </w:rPr>
        <w:t xml:space="preserve">ue quieran encabezar la alianza </w:t>
      </w:r>
      <w:r w:rsidRPr="00DB174B">
        <w:rPr>
          <w:lang w:val="es-ES"/>
        </w:rPr>
        <w:t>y apoyar su labor</w:t>
      </w:r>
      <w:r w:rsidR="001C2900" w:rsidRPr="00DB174B">
        <w:rPr>
          <w:lang w:val="es-ES"/>
        </w:rPr>
        <w:t xml:space="preserve"> (</w:t>
      </w:r>
      <w:r w:rsidR="009B3DDC">
        <w:rPr>
          <w:lang w:val="es-ES"/>
        </w:rPr>
        <w:t>asesoramiento</w:t>
      </w:r>
      <w:r w:rsidR="001C2900" w:rsidRPr="00DB174B">
        <w:rPr>
          <w:lang w:val="es-ES"/>
        </w:rPr>
        <w:t xml:space="preserve">, </w:t>
      </w:r>
      <w:r w:rsidR="005021DC">
        <w:rPr>
          <w:lang w:val="es-ES"/>
        </w:rPr>
        <w:t>apoyo para reuniones e investigación</w:t>
      </w:r>
      <w:proofErr w:type="gramStart"/>
      <w:r w:rsidR="008C08E1">
        <w:rPr>
          <w:lang w:val="es-ES"/>
        </w:rPr>
        <w:t xml:space="preserve">, </w:t>
      </w:r>
      <w:r w:rsidR="001C2900" w:rsidRPr="00DB174B">
        <w:rPr>
          <w:lang w:val="es-ES"/>
        </w:rPr>
        <w:t>...</w:t>
      </w:r>
      <w:proofErr w:type="gramEnd"/>
      <w:r w:rsidR="001C2900" w:rsidRPr="00DB174B">
        <w:rPr>
          <w:lang w:val="es-ES"/>
        </w:rPr>
        <w:t xml:space="preserve">). </w:t>
      </w:r>
      <w:r w:rsidR="008C08E1">
        <w:rPr>
          <w:lang w:val="es-ES"/>
        </w:rPr>
        <w:t>Podrían participar</w:t>
      </w:r>
      <w:r w:rsidR="000F465D" w:rsidRPr="009B3DDC">
        <w:rPr>
          <w:lang w:val="es-ES"/>
        </w:rPr>
        <w:t xml:space="preserve"> gobiernos nacionales pero también instituciones interesadas</w:t>
      </w:r>
      <w:r w:rsidR="001C2900" w:rsidRPr="009B3DDC">
        <w:rPr>
          <w:lang w:val="es-ES"/>
        </w:rPr>
        <w:t xml:space="preserve">.  </w:t>
      </w:r>
    </w:p>
    <w:p w:rsidR="001C2900" w:rsidRPr="005021DC" w:rsidRDefault="005021DC" w:rsidP="001C2900">
      <w:pPr>
        <w:pStyle w:val="ListParagraph"/>
        <w:numPr>
          <w:ilvl w:val="0"/>
          <w:numId w:val="4"/>
        </w:numPr>
        <w:rPr>
          <w:lang w:val="es-ES"/>
        </w:rPr>
      </w:pPr>
      <w:r w:rsidRPr="002D0E0A">
        <w:rPr>
          <w:lang w:val="es-ES"/>
        </w:rPr>
        <w:t>La AGCED podría ser un marco provisional para lanzar la alianza</w:t>
      </w:r>
      <w:r w:rsidR="001C2900" w:rsidRPr="002D0E0A">
        <w:rPr>
          <w:lang w:val="es-ES"/>
        </w:rPr>
        <w:t xml:space="preserve">. </w:t>
      </w:r>
      <w:r w:rsidRPr="005021DC">
        <w:rPr>
          <w:lang w:val="es-ES"/>
        </w:rPr>
        <w:t>Como paso importante</w:t>
      </w:r>
      <w:r w:rsidR="001C2900" w:rsidRPr="005021DC">
        <w:rPr>
          <w:lang w:val="es-ES"/>
        </w:rPr>
        <w:t xml:space="preserve">, </w:t>
      </w:r>
      <w:r w:rsidRPr="005021DC">
        <w:rPr>
          <w:lang w:val="es-ES"/>
        </w:rPr>
        <w:t xml:space="preserve">deberíamos considerar que el 2º Foro de sindicatos </w:t>
      </w:r>
      <w:r w:rsidR="008C08E1">
        <w:rPr>
          <w:lang w:val="es-ES"/>
        </w:rPr>
        <w:t>–</w:t>
      </w:r>
      <w:r>
        <w:rPr>
          <w:lang w:val="es-ES"/>
        </w:rPr>
        <w:t>C</w:t>
      </w:r>
      <w:r w:rsidR="008C08E1">
        <w:rPr>
          <w:lang w:val="es-ES"/>
        </w:rPr>
        <w:t>AD/</w:t>
      </w:r>
      <w:r>
        <w:rPr>
          <w:lang w:val="es-ES"/>
        </w:rPr>
        <w:t>OCDE se centre en abordar/apoyar el enfoque del diálogo social</w:t>
      </w:r>
      <w:r w:rsidR="001C2900" w:rsidRPr="005021DC">
        <w:rPr>
          <w:lang w:val="es-ES"/>
        </w:rPr>
        <w:t>.</w:t>
      </w:r>
    </w:p>
    <w:p w:rsidR="001C2900" w:rsidRPr="005021DC" w:rsidRDefault="005021DC" w:rsidP="001C2900">
      <w:pPr>
        <w:pStyle w:val="ListParagraph"/>
        <w:numPr>
          <w:ilvl w:val="0"/>
          <w:numId w:val="4"/>
        </w:numPr>
        <w:rPr>
          <w:lang w:val="es-ES"/>
        </w:rPr>
      </w:pPr>
      <w:r w:rsidRPr="005021DC">
        <w:rPr>
          <w:lang w:val="es-ES"/>
        </w:rPr>
        <w:t xml:space="preserve">Se debería elaborar y hacer público un documento de </w:t>
      </w:r>
      <w:r w:rsidR="008C08E1">
        <w:rPr>
          <w:lang w:val="es-ES"/>
        </w:rPr>
        <w:t>incidencia</w:t>
      </w:r>
      <w:r w:rsidR="008C08E1" w:rsidRPr="005021DC">
        <w:rPr>
          <w:lang w:val="es-ES"/>
        </w:rPr>
        <w:t xml:space="preserve"> </w:t>
      </w:r>
      <w:r w:rsidRPr="005021DC">
        <w:rPr>
          <w:lang w:val="es-ES"/>
        </w:rPr>
        <w:t xml:space="preserve">basado en </w:t>
      </w:r>
      <w:r w:rsidR="0020409A">
        <w:rPr>
          <w:lang w:val="es-ES"/>
        </w:rPr>
        <w:t xml:space="preserve">los hechos </w:t>
      </w:r>
      <w:r w:rsidRPr="005021DC">
        <w:rPr>
          <w:lang w:val="es-ES"/>
        </w:rPr>
        <w:t>para apoyar la inicia</w:t>
      </w:r>
      <w:r>
        <w:rPr>
          <w:lang w:val="es-ES"/>
        </w:rPr>
        <w:t xml:space="preserve">tiva y crear una base de entendimiento </w:t>
      </w:r>
      <w:r w:rsidR="009B3DDC">
        <w:rPr>
          <w:lang w:val="es-ES"/>
        </w:rPr>
        <w:t>de</w:t>
      </w:r>
      <w:r>
        <w:rPr>
          <w:lang w:val="es-ES"/>
        </w:rPr>
        <w:t xml:space="preserve"> la cuestión</w:t>
      </w:r>
      <w:r w:rsidR="001C2900" w:rsidRPr="005021DC">
        <w:rPr>
          <w:lang w:val="es-ES"/>
        </w:rPr>
        <w:t xml:space="preserve">. </w:t>
      </w:r>
    </w:p>
    <w:p w:rsidR="00E750D2" w:rsidRPr="005021DC" w:rsidRDefault="005021DC" w:rsidP="001C2900">
      <w:pPr>
        <w:pStyle w:val="ListParagraph"/>
        <w:numPr>
          <w:ilvl w:val="0"/>
          <w:numId w:val="4"/>
        </w:numPr>
        <w:rPr>
          <w:lang w:val="es-ES"/>
        </w:rPr>
      </w:pPr>
      <w:r w:rsidRPr="005021DC">
        <w:rPr>
          <w:lang w:val="es-ES"/>
        </w:rPr>
        <w:t>Un proyecto de</w:t>
      </w:r>
      <w:r w:rsidR="00E750D2" w:rsidRPr="005021DC">
        <w:rPr>
          <w:lang w:val="es-ES"/>
        </w:rPr>
        <w:t xml:space="preserve"> “</w:t>
      </w:r>
      <w:r w:rsidRPr="005021DC">
        <w:rPr>
          <w:lang w:val="es-ES"/>
        </w:rPr>
        <w:t>acuerdo de alianza</w:t>
      </w:r>
      <w:r w:rsidR="00E750D2" w:rsidRPr="005021DC">
        <w:rPr>
          <w:lang w:val="es-ES"/>
        </w:rPr>
        <w:t>” (declara</w:t>
      </w:r>
      <w:r w:rsidRPr="005021DC">
        <w:rPr>
          <w:lang w:val="es-ES"/>
        </w:rPr>
        <w:t>ción de compromiso</w:t>
      </w:r>
      <w:r w:rsidR="00E750D2" w:rsidRPr="005021DC">
        <w:rPr>
          <w:lang w:val="es-ES"/>
        </w:rPr>
        <w:t xml:space="preserve">) </w:t>
      </w:r>
      <w:r w:rsidRPr="005021DC">
        <w:rPr>
          <w:lang w:val="es-ES"/>
        </w:rPr>
        <w:t>de</w:t>
      </w:r>
      <w:r>
        <w:rPr>
          <w:lang w:val="es-ES"/>
        </w:rPr>
        <w:t>bería ser el documento</w:t>
      </w:r>
      <w:r w:rsidR="00E750D2" w:rsidRPr="005021DC">
        <w:rPr>
          <w:lang w:val="es-ES"/>
        </w:rPr>
        <w:t xml:space="preserve"> central </w:t>
      </w:r>
      <w:r>
        <w:rPr>
          <w:lang w:val="es-ES"/>
        </w:rPr>
        <w:t xml:space="preserve">para el debate con socios </w:t>
      </w:r>
      <w:r w:rsidR="008C08E1">
        <w:rPr>
          <w:lang w:val="es-ES"/>
        </w:rPr>
        <w:t>haciéndose</w:t>
      </w:r>
      <w:r>
        <w:rPr>
          <w:lang w:val="es-ES"/>
        </w:rPr>
        <w:t xml:space="preserve"> oficial en el lanzamiento</w:t>
      </w:r>
      <w:r w:rsidR="00E750D2" w:rsidRPr="005021DC">
        <w:rPr>
          <w:lang w:val="es-ES"/>
        </w:rPr>
        <w:t>.</w:t>
      </w:r>
    </w:p>
    <w:p w:rsidR="00E750D2" w:rsidRPr="009501D1" w:rsidRDefault="008C08E1" w:rsidP="001C290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</w:t>
      </w:r>
      <w:r w:rsidR="005021DC" w:rsidRPr="005021DC">
        <w:rPr>
          <w:lang w:val="es-ES"/>
        </w:rPr>
        <w:t xml:space="preserve"> </w:t>
      </w:r>
      <w:r w:rsidR="00E750D2" w:rsidRPr="005021DC">
        <w:rPr>
          <w:lang w:val="es-ES"/>
        </w:rPr>
        <w:t>“la</w:t>
      </w:r>
      <w:r w:rsidR="005021DC" w:rsidRPr="005021DC">
        <w:rPr>
          <w:lang w:val="es-ES"/>
        </w:rPr>
        <w:t>nzamiento</w:t>
      </w:r>
      <w:r w:rsidR="00E750D2" w:rsidRPr="005021DC">
        <w:rPr>
          <w:lang w:val="es-ES"/>
        </w:rPr>
        <w:t xml:space="preserve">” </w:t>
      </w:r>
      <w:r w:rsidR="005021DC" w:rsidRPr="005021DC">
        <w:rPr>
          <w:lang w:val="es-ES"/>
        </w:rPr>
        <w:t xml:space="preserve">oficial de la </w:t>
      </w:r>
      <w:r w:rsidR="00C252CD">
        <w:rPr>
          <w:lang w:val="es-ES"/>
        </w:rPr>
        <w:t>i</w:t>
      </w:r>
      <w:r w:rsidR="005021DC" w:rsidRPr="005021DC">
        <w:rPr>
          <w:lang w:val="es-ES"/>
        </w:rPr>
        <w:t>niciativa</w:t>
      </w:r>
      <w:r w:rsidR="005021DC">
        <w:rPr>
          <w:lang w:val="es-ES"/>
        </w:rPr>
        <w:t xml:space="preserve"> de </w:t>
      </w:r>
      <w:r w:rsidR="00C252CD">
        <w:rPr>
          <w:lang w:val="es-ES"/>
        </w:rPr>
        <w:t>a</w:t>
      </w:r>
      <w:r w:rsidR="005021DC">
        <w:rPr>
          <w:lang w:val="es-ES"/>
        </w:rPr>
        <w:t xml:space="preserve">lianza </w:t>
      </w:r>
      <w:r>
        <w:rPr>
          <w:lang w:val="es-ES"/>
        </w:rPr>
        <w:t xml:space="preserve">debería realizarse </w:t>
      </w:r>
      <w:r w:rsidR="005021DC">
        <w:rPr>
          <w:lang w:val="es-ES"/>
        </w:rPr>
        <w:t>a finales de año</w:t>
      </w:r>
      <w:r w:rsidR="00E750D2" w:rsidRPr="005021DC">
        <w:rPr>
          <w:lang w:val="es-ES"/>
        </w:rPr>
        <w:t xml:space="preserve"> </w:t>
      </w:r>
      <w:r w:rsidR="005021DC">
        <w:rPr>
          <w:lang w:val="es-ES"/>
        </w:rPr>
        <w:t xml:space="preserve">o </w:t>
      </w:r>
      <w:r w:rsidR="005F20B9" w:rsidRPr="005021DC">
        <w:rPr>
          <w:lang w:val="es-ES"/>
        </w:rPr>
        <w:t xml:space="preserve">principios de </w:t>
      </w:r>
      <w:r w:rsidR="00E750D2" w:rsidRPr="005021DC">
        <w:rPr>
          <w:lang w:val="es-ES"/>
        </w:rPr>
        <w:t>2016 (</w:t>
      </w:r>
      <w:r w:rsidR="009501D1">
        <w:rPr>
          <w:lang w:val="es-ES"/>
        </w:rPr>
        <w:t xml:space="preserve">coincidiendo con un acontecimiento institucional oficial </w:t>
      </w:r>
      <w:r w:rsidR="00E750D2" w:rsidRPr="005021DC">
        <w:rPr>
          <w:lang w:val="es-ES"/>
        </w:rPr>
        <w:t>–</w:t>
      </w:r>
      <w:r w:rsidR="009501D1">
        <w:rPr>
          <w:lang w:val="es-ES"/>
        </w:rPr>
        <w:t>y pertinente</w:t>
      </w:r>
      <w:r w:rsidR="00E750D2" w:rsidRPr="005021DC">
        <w:rPr>
          <w:lang w:val="es-ES"/>
        </w:rPr>
        <w:t xml:space="preserve">- </w:t>
      </w:r>
      <w:r w:rsidR="009501D1">
        <w:rPr>
          <w:lang w:val="es-ES"/>
        </w:rPr>
        <w:t>mayor</w:t>
      </w:r>
      <w:r w:rsidR="00E750D2" w:rsidRPr="005021DC">
        <w:rPr>
          <w:lang w:val="es-ES"/>
        </w:rPr>
        <w:t xml:space="preserve">). </w:t>
      </w:r>
      <w:r w:rsidR="009501D1" w:rsidRPr="009501D1">
        <w:rPr>
          <w:lang w:val="es-ES"/>
        </w:rPr>
        <w:t>Se deber</w:t>
      </w:r>
      <w:r>
        <w:rPr>
          <w:lang w:val="es-ES"/>
        </w:rPr>
        <w:t>á</w:t>
      </w:r>
      <w:r w:rsidR="009501D1" w:rsidRPr="009501D1">
        <w:rPr>
          <w:lang w:val="es-ES"/>
        </w:rPr>
        <w:t>n buscar sinergias con diferentes iniciativas de soci</w:t>
      </w:r>
      <w:r w:rsidR="009501D1">
        <w:rPr>
          <w:lang w:val="es-ES"/>
        </w:rPr>
        <w:t xml:space="preserve">os </w:t>
      </w:r>
      <w:r w:rsidR="00E750D2" w:rsidRPr="009501D1">
        <w:rPr>
          <w:lang w:val="es-ES"/>
        </w:rPr>
        <w:t>(</w:t>
      </w:r>
      <w:r w:rsidR="009501D1">
        <w:rPr>
          <w:lang w:val="es-ES"/>
        </w:rPr>
        <w:t>p.ej. acontecimientos paralelos</w:t>
      </w:r>
      <w:r w:rsidR="00E750D2" w:rsidRPr="009501D1">
        <w:rPr>
          <w:lang w:val="es-ES"/>
        </w:rPr>
        <w:t>)</w:t>
      </w:r>
      <w:r w:rsidR="00291D97" w:rsidRPr="009501D1">
        <w:rPr>
          <w:lang w:val="es-ES"/>
        </w:rPr>
        <w:t xml:space="preserve">: </w:t>
      </w:r>
      <w:r w:rsidR="009501D1">
        <w:rPr>
          <w:lang w:val="es-ES"/>
        </w:rPr>
        <w:t>AGCED, FP</w:t>
      </w:r>
      <w:r w:rsidR="00291D97" w:rsidRPr="009501D1">
        <w:rPr>
          <w:lang w:val="es-ES"/>
        </w:rPr>
        <w:t xml:space="preserve">D, </w:t>
      </w:r>
      <w:r w:rsidR="000F465D" w:rsidRPr="009501D1">
        <w:rPr>
          <w:lang w:val="es-ES"/>
        </w:rPr>
        <w:t>OIT, ONU</w:t>
      </w:r>
      <w:r w:rsidR="00291D97" w:rsidRPr="009501D1">
        <w:rPr>
          <w:lang w:val="es-ES"/>
        </w:rPr>
        <w:t>...</w:t>
      </w:r>
    </w:p>
    <w:p w:rsidR="001C2900" w:rsidRPr="00E750D2" w:rsidRDefault="005F4FBA" w:rsidP="00E750D2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Resumen</w:t>
      </w:r>
      <w:proofErr w:type="spellEnd"/>
      <w:r>
        <w:rPr>
          <w:b/>
          <w:u w:val="single"/>
          <w:lang w:val="en-GB"/>
        </w:rPr>
        <w:t xml:space="preserve"> de </w:t>
      </w:r>
      <w:proofErr w:type="spellStart"/>
      <w:r>
        <w:rPr>
          <w:b/>
          <w:u w:val="single"/>
          <w:lang w:val="en-GB"/>
        </w:rPr>
        <w:t>acciones</w:t>
      </w:r>
      <w:proofErr w:type="spellEnd"/>
    </w:p>
    <w:p w:rsidR="005E01C2" w:rsidRPr="002D0E0A" w:rsidRDefault="009B3DDC" w:rsidP="001C2900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Tratar de obtener</w:t>
      </w:r>
      <w:r w:rsidR="002D0E0A" w:rsidRPr="002D0E0A">
        <w:rPr>
          <w:lang w:val="es-ES"/>
        </w:rPr>
        <w:t xml:space="preserve"> el apoyo y aprobación de los gobiernos</w:t>
      </w:r>
    </w:p>
    <w:p w:rsidR="005E01C2" w:rsidRPr="002D0E0A" w:rsidRDefault="001C2900" w:rsidP="0021071B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>Identif</w:t>
      </w:r>
      <w:r w:rsidR="002D0E0A" w:rsidRPr="002D0E0A">
        <w:rPr>
          <w:lang w:val="es-ES"/>
        </w:rPr>
        <w:t>icar el interés de países po</w:t>
      </w:r>
      <w:r w:rsidR="002D0E0A">
        <w:rPr>
          <w:lang w:val="es-ES"/>
        </w:rPr>
        <w:t>r región</w:t>
      </w:r>
      <w:r w:rsidRPr="002D0E0A">
        <w:rPr>
          <w:lang w:val="es-ES"/>
        </w:rPr>
        <w:t xml:space="preserve"> </w:t>
      </w:r>
    </w:p>
    <w:p w:rsidR="0021071B" w:rsidRPr="002D0E0A" w:rsidRDefault="002D0E0A" w:rsidP="0021071B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>Document</w:t>
      </w:r>
      <w:r>
        <w:rPr>
          <w:lang w:val="es-ES"/>
        </w:rPr>
        <w:t>o</w:t>
      </w:r>
      <w:r w:rsidRPr="002D0E0A">
        <w:rPr>
          <w:lang w:val="es-ES"/>
        </w:rPr>
        <w:t xml:space="preserve"> de dos páginas sobre los objetivos y resultados</w:t>
      </w:r>
      <w:r>
        <w:rPr>
          <w:lang w:val="es-ES"/>
        </w:rPr>
        <w:t xml:space="preserve"> previstos de la alianza para apoyar las </w:t>
      </w:r>
      <w:r w:rsidR="009B3DDC">
        <w:rPr>
          <w:lang w:val="es-ES"/>
        </w:rPr>
        <w:t>solicitude</w:t>
      </w:r>
      <w:r>
        <w:rPr>
          <w:lang w:val="es-ES"/>
        </w:rPr>
        <w:t>s</w:t>
      </w:r>
    </w:p>
    <w:p w:rsidR="00E750D2" w:rsidRPr="009B3DDC" w:rsidRDefault="00E750D2" w:rsidP="0021071B">
      <w:pPr>
        <w:pStyle w:val="ListParagraph"/>
        <w:numPr>
          <w:ilvl w:val="1"/>
          <w:numId w:val="5"/>
        </w:numPr>
        <w:rPr>
          <w:lang w:val="es-ES"/>
        </w:rPr>
      </w:pPr>
      <w:r w:rsidRPr="009B3DDC">
        <w:rPr>
          <w:lang w:val="es-ES"/>
        </w:rPr>
        <w:t>Formali</w:t>
      </w:r>
      <w:r w:rsidR="002D0E0A" w:rsidRPr="009B3DDC">
        <w:rPr>
          <w:lang w:val="es-ES"/>
        </w:rPr>
        <w:t>zar el compromiso para finales de año</w:t>
      </w:r>
      <w:r w:rsidRPr="009B3DDC">
        <w:rPr>
          <w:lang w:val="es-ES"/>
        </w:rPr>
        <w:t xml:space="preserve"> </w:t>
      </w:r>
    </w:p>
    <w:p w:rsidR="0021071B" w:rsidRPr="000F465D" w:rsidRDefault="0021071B" w:rsidP="0021071B">
      <w:pPr>
        <w:pStyle w:val="ListParagraph"/>
        <w:numPr>
          <w:ilvl w:val="0"/>
          <w:numId w:val="5"/>
        </w:numPr>
        <w:rPr>
          <w:lang w:val="es-ES"/>
        </w:rPr>
      </w:pPr>
      <w:r w:rsidRPr="000F465D">
        <w:rPr>
          <w:lang w:val="es-ES"/>
        </w:rPr>
        <w:t>Crea</w:t>
      </w:r>
      <w:r w:rsidR="000F465D" w:rsidRPr="000F465D">
        <w:rPr>
          <w:lang w:val="es-ES"/>
        </w:rPr>
        <w:t>r</w:t>
      </w:r>
      <w:r w:rsidRPr="000F465D">
        <w:rPr>
          <w:lang w:val="es-ES"/>
        </w:rPr>
        <w:t xml:space="preserve"> </w:t>
      </w:r>
      <w:r w:rsidR="000F465D" w:rsidRPr="000F465D">
        <w:rPr>
          <w:lang w:val="es-ES"/>
        </w:rPr>
        <w:t>un grupo de trabajo para d</w:t>
      </w:r>
      <w:r w:rsidR="000F465D">
        <w:rPr>
          <w:lang w:val="es-ES"/>
        </w:rPr>
        <w:t>irigir</w:t>
      </w:r>
      <w:r w:rsidRPr="000F465D">
        <w:rPr>
          <w:lang w:val="es-ES"/>
        </w:rPr>
        <w:t>/coordina</w:t>
      </w:r>
      <w:r w:rsidR="000F465D">
        <w:rPr>
          <w:lang w:val="es-ES"/>
        </w:rPr>
        <w:t>r las operaciones</w:t>
      </w:r>
    </w:p>
    <w:p w:rsidR="0021071B" w:rsidRPr="002D0E0A" w:rsidRDefault="002D0E0A" w:rsidP="0021071B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 xml:space="preserve">Encontrar y confirmar la aprobación </w:t>
      </w:r>
      <w:r>
        <w:rPr>
          <w:lang w:val="es-ES"/>
        </w:rPr>
        <w:t xml:space="preserve">institucional </w:t>
      </w:r>
      <w:r w:rsidRPr="002D0E0A">
        <w:rPr>
          <w:lang w:val="es-ES"/>
        </w:rPr>
        <w:t>de</w:t>
      </w:r>
      <w:r>
        <w:rPr>
          <w:lang w:val="es-ES"/>
        </w:rPr>
        <w:t xml:space="preserve"> la OIT, OCDE-CAD,</w:t>
      </w:r>
      <w:r w:rsidR="0021071B" w:rsidRPr="002D0E0A">
        <w:rPr>
          <w:lang w:val="es-ES"/>
        </w:rPr>
        <w:t xml:space="preserve"> </w:t>
      </w:r>
      <w:r w:rsidR="000A6CEB" w:rsidRPr="002D0E0A">
        <w:rPr>
          <w:lang w:val="es-ES"/>
        </w:rPr>
        <w:t>UE</w:t>
      </w:r>
      <w:r w:rsidR="0021071B" w:rsidRPr="002D0E0A">
        <w:rPr>
          <w:lang w:val="es-ES"/>
        </w:rPr>
        <w:t xml:space="preserve"> </w:t>
      </w:r>
      <w:r>
        <w:rPr>
          <w:lang w:val="es-ES"/>
        </w:rPr>
        <w:t>y otros organismos</w:t>
      </w:r>
    </w:p>
    <w:p w:rsidR="00F36DD3" w:rsidRPr="002D0E0A" w:rsidRDefault="002D0E0A" w:rsidP="00F36DD3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 xml:space="preserve">Establecer contacto con centros regionales </w:t>
      </w:r>
      <w:r w:rsidR="009B3DDC">
        <w:rPr>
          <w:lang w:val="es-ES"/>
        </w:rPr>
        <w:t>para obtener su</w:t>
      </w:r>
      <w:r>
        <w:rPr>
          <w:lang w:val="es-ES"/>
        </w:rPr>
        <w:t xml:space="preserve"> compromiso</w:t>
      </w:r>
      <w:r w:rsidR="0021071B" w:rsidRPr="002D0E0A">
        <w:rPr>
          <w:lang w:val="es-ES"/>
        </w:rPr>
        <w:t xml:space="preserve"> </w:t>
      </w:r>
    </w:p>
    <w:p w:rsidR="00F36DD3" w:rsidRPr="002D0E0A" w:rsidRDefault="002D0E0A" w:rsidP="00F36DD3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 xml:space="preserve">Iniciar una investigación </w:t>
      </w:r>
      <w:r w:rsidR="0020409A">
        <w:rPr>
          <w:lang w:val="es-ES"/>
        </w:rPr>
        <w:t>sobre los hechos</w:t>
      </w:r>
    </w:p>
    <w:p w:rsidR="00E750D2" w:rsidRPr="002D0E0A" w:rsidRDefault="00E750D2" w:rsidP="00F36DD3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>Prepar</w:t>
      </w:r>
      <w:r w:rsidR="002D0E0A" w:rsidRPr="002D0E0A">
        <w:rPr>
          <w:lang w:val="es-ES"/>
        </w:rPr>
        <w:t>ar el proyecto de</w:t>
      </w:r>
      <w:r w:rsidRPr="002D0E0A">
        <w:rPr>
          <w:lang w:val="es-ES"/>
        </w:rPr>
        <w:t xml:space="preserve"> “</w:t>
      </w:r>
      <w:r w:rsidR="002D0E0A">
        <w:rPr>
          <w:lang w:val="es-ES"/>
        </w:rPr>
        <w:t>acuerdo de alianza</w:t>
      </w:r>
      <w:r w:rsidRPr="002D0E0A">
        <w:rPr>
          <w:lang w:val="es-ES"/>
        </w:rPr>
        <w:t>”</w:t>
      </w:r>
    </w:p>
    <w:p w:rsidR="00E750D2" w:rsidRPr="002D0E0A" w:rsidRDefault="00E750D2" w:rsidP="00F36DD3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>Prepar</w:t>
      </w:r>
      <w:r w:rsidR="002D0E0A" w:rsidRPr="002D0E0A">
        <w:rPr>
          <w:lang w:val="es-ES"/>
        </w:rPr>
        <w:t xml:space="preserve">ar el futuro programa de </w:t>
      </w:r>
      <w:r w:rsidR="008C08E1">
        <w:rPr>
          <w:lang w:val="es-ES"/>
        </w:rPr>
        <w:t>incidencia</w:t>
      </w:r>
      <w:r w:rsidR="008C08E1" w:rsidRPr="002D0E0A">
        <w:rPr>
          <w:lang w:val="es-ES"/>
        </w:rPr>
        <w:t xml:space="preserve"> </w:t>
      </w:r>
      <w:r w:rsidR="002D0E0A" w:rsidRPr="002D0E0A">
        <w:rPr>
          <w:lang w:val="es-ES"/>
        </w:rPr>
        <w:t>y compromiso</w:t>
      </w:r>
      <w:r w:rsidR="0020409A">
        <w:rPr>
          <w:lang w:val="es-ES"/>
        </w:rPr>
        <w:t xml:space="preserve"> de la Alianza</w:t>
      </w:r>
    </w:p>
    <w:p w:rsidR="00E750D2" w:rsidRPr="005F20B9" w:rsidRDefault="002D0E0A" w:rsidP="00F36DD3">
      <w:pPr>
        <w:pStyle w:val="ListParagraph"/>
        <w:numPr>
          <w:ilvl w:val="1"/>
          <w:numId w:val="5"/>
        </w:numPr>
        <w:rPr>
          <w:lang w:val="es-ES"/>
        </w:rPr>
      </w:pPr>
      <w:r>
        <w:rPr>
          <w:lang w:val="es-ES"/>
        </w:rPr>
        <w:t>Supervisar el progreso</w:t>
      </w:r>
      <w:r w:rsidR="00E750D2" w:rsidRPr="005F20B9">
        <w:rPr>
          <w:lang w:val="es-ES"/>
        </w:rPr>
        <w:t xml:space="preserve"> (</w:t>
      </w:r>
      <w:r w:rsidR="005F20B9" w:rsidRPr="005F20B9">
        <w:rPr>
          <w:lang w:val="es-ES"/>
        </w:rPr>
        <w:t>reuniones del grupo de trabajo</w:t>
      </w:r>
      <w:r w:rsidR="00E750D2" w:rsidRPr="005F20B9">
        <w:rPr>
          <w:lang w:val="es-ES"/>
        </w:rPr>
        <w:t>)</w:t>
      </w:r>
    </w:p>
    <w:p w:rsidR="00F36DD3" w:rsidRPr="002D0E0A" w:rsidRDefault="00F36DD3" w:rsidP="00F36DD3">
      <w:pPr>
        <w:pStyle w:val="ListParagraph"/>
        <w:numPr>
          <w:ilvl w:val="0"/>
          <w:numId w:val="5"/>
        </w:numPr>
        <w:rPr>
          <w:lang w:val="es-ES"/>
        </w:rPr>
      </w:pPr>
      <w:r w:rsidRPr="002D0E0A">
        <w:rPr>
          <w:lang w:val="es-ES"/>
        </w:rPr>
        <w:t>2</w:t>
      </w:r>
      <w:r w:rsidR="002D0E0A" w:rsidRPr="002D0E0A">
        <w:rPr>
          <w:vertAlign w:val="superscript"/>
          <w:lang w:val="es-ES"/>
        </w:rPr>
        <w:t xml:space="preserve">º </w:t>
      </w:r>
      <w:r w:rsidR="002D0E0A" w:rsidRPr="002D0E0A">
        <w:rPr>
          <w:lang w:val="es-ES"/>
        </w:rPr>
        <w:t>Foro de sindicatos</w:t>
      </w:r>
      <w:r w:rsidR="0020409A">
        <w:rPr>
          <w:lang w:val="es-ES"/>
        </w:rPr>
        <w:t>-</w:t>
      </w:r>
      <w:r w:rsidR="002D0E0A" w:rsidRPr="002D0E0A">
        <w:rPr>
          <w:lang w:val="es-ES"/>
        </w:rPr>
        <w:t>CAD de la OCDE</w:t>
      </w:r>
      <w:r w:rsidR="00E750D2" w:rsidRPr="002D0E0A">
        <w:rPr>
          <w:lang w:val="es-ES"/>
        </w:rPr>
        <w:t xml:space="preserve"> </w:t>
      </w:r>
    </w:p>
    <w:p w:rsidR="00F36DD3" w:rsidRPr="002D0E0A" w:rsidRDefault="002D0E0A" w:rsidP="00F36DD3">
      <w:pPr>
        <w:pStyle w:val="ListParagraph"/>
        <w:numPr>
          <w:ilvl w:val="1"/>
          <w:numId w:val="5"/>
        </w:numPr>
        <w:rPr>
          <w:lang w:val="es-ES"/>
        </w:rPr>
      </w:pPr>
      <w:r w:rsidRPr="002D0E0A">
        <w:rPr>
          <w:lang w:val="es-ES"/>
        </w:rPr>
        <w:t>Fijar fecha y empezar los prep</w:t>
      </w:r>
      <w:r>
        <w:rPr>
          <w:lang w:val="es-ES"/>
        </w:rPr>
        <w:t>arativos</w:t>
      </w:r>
    </w:p>
    <w:p w:rsidR="00E750D2" w:rsidRPr="00726F71" w:rsidRDefault="002D0E0A" w:rsidP="00F36DD3">
      <w:pPr>
        <w:pStyle w:val="ListParagraph"/>
        <w:numPr>
          <w:ilvl w:val="1"/>
          <w:numId w:val="5"/>
        </w:numPr>
        <w:rPr>
          <w:lang w:val="es-ES"/>
        </w:rPr>
      </w:pPr>
      <w:r w:rsidRPr="00726F71">
        <w:rPr>
          <w:lang w:val="es-ES"/>
        </w:rPr>
        <w:t xml:space="preserve">Presentar </w:t>
      </w:r>
      <w:r w:rsidR="0020409A">
        <w:rPr>
          <w:lang w:val="es-ES"/>
        </w:rPr>
        <w:t>hechos</w:t>
      </w:r>
      <w:r w:rsidR="0020409A" w:rsidRPr="00726F71">
        <w:rPr>
          <w:lang w:val="es-ES"/>
        </w:rPr>
        <w:t xml:space="preserve"> </w:t>
      </w:r>
      <w:r w:rsidR="00E750D2" w:rsidRPr="00726F71">
        <w:rPr>
          <w:lang w:val="es-ES"/>
        </w:rPr>
        <w:t>(</w:t>
      </w:r>
      <w:r w:rsidRPr="00726F71">
        <w:rPr>
          <w:lang w:val="es-ES"/>
        </w:rPr>
        <w:t xml:space="preserve">ponentes, </w:t>
      </w:r>
      <w:r w:rsidR="00726F71" w:rsidRPr="00726F71">
        <w:rPr>
          <w:lang w:val="es-ES"/>
        </w:rPr>
        <w:t>v</w:t>
      </w:r>
      <w:r w:rsidR="009B3DDC">
        <w:rPr>
          <w:lang w:val="es-ES"/>
        </w:rPr>
        <w:t>í</w:t>
      </w:r>
      <w:r w:rsidR="00726F71" w:rsidRPr="00726F71">
        <w:rPr>
          <w:lang w:val="es-ES"/>
        </w:rPr>
        <w:t>deo, etc</w:t>
      </w:r>
      <w:r w:rsidR="00E750D2" w:rsidRPr="00726F71">
        <w:rPr>
          <w:lang w:val="es-ES"/>
        </w:rPr>
        <w:t>.)</w:t>
      </w:r>
    </w:p>
    <w:p w:rsidR="00E750D2" w:rsidRPr="00726F71" w:rsidRDefault="00E750D2" w:rsidP="00726F71">
      <w:pPr>
        <w:pStyle w:val="ListParagraph"/>
        <w:ind w:left="1440"/>
        <w:rPr>
          <w:lang w:val="es-ES"/>
        </w:rPr>
      </w:pPr>
    </w:p>
    <w:p w:rsidR="00F36DD3" w:rsidRPr="00F073E0" w:rsidRDefault="00F36DD3" w:rsidP="00F36DD3">
      <w:pPr>
        <w:pStyle w:val="ListParagraph"/>
        <w:numPr>
          <w:ilvl w:val="0"/>
          <w:numId w:val="5"/>
        </w:numPr>
        <w:rPr>
          <w:lang w:val="es-ES"/>
        </w:rPr>
      </w:pPr>
      <w:r w:rsidRPr="00F073E0">
        <w:rPr>
          <w:lang w:val="es-ES"/>
        </w:rPr>
        <w:t>La</w:t>
      </w:r>
      <w:r w:rsidR="00F073E0" w:rsidRPr="00F073E0">
        <w:rPr>
          <w:lang w:val="es-ES"/>
        </w:rPr>
        <w:t xml:space="preserve">nzamiento de la iniciativa de </w:t>
      </w:r>
      <w:r w:rsidR="0020409A">
        <w:rPr>
          <w:lang w:val="es-ES"/>
        </w:rPr>
        <w:t>A</w:t>
      </w:r>
      <w:r w:rsidR="00F073E0" w:rsidRPr="00F073E0">
        <w:rPr>
          <w:lang w:val="es-ES"/>
        </w:rPr>
        <w:t>lianza para finales de</w:t>
      </w:r>
      <w:r w:rsidRPr="00F073E0">
        <w:rPr>
          <w:lang w:val="es-ES"/>
        </w:rPr>
        <w:t xml:space="preserve"> 2015/</w:t>
      </w:r>
      <w:r w:rsidR="00F073E0">
        <w:rPr>
          <w:lang w:val="es-ES"/>
        </w:rPr>
        <w:t>principios de</w:t>
      </w:r>
      <w:r w:rsidRPr="00F073E0">
        <w:rPr>
          <w:lang w:val="es-ES"/>
        </w:rPr>
        <w:t xml:space="preserve"> 2016</w:t>
      </w:r>
    </w:p>
    <w:p w:rsidR="00F36DD3" w:rsidRPr="00F073E0" w:rsidRDefault="00F073E0" w:rsidP="00F36DD3">
      <w:pPr>
        <w:pStyle w:val="ListParagraph"/>
        <w:numPr>
          <w:ilvl w:val="1"/>
          <w:numId w:val="5"/>
        </w:numPr>
        <w:rPr>
          <w:lang w:val="es-ES"/>
        </w:rPr>
      </w:pPr>
      <w:r w:rsidRPr="00F073E0">
        <w:rPr>
          <w:lang w:val="es-ES"/>
        </w:rPr>
        <w:t>Buscar sinergias con socios i</w:t>
      </w:r>
      <w:r>
        <w:rPr>
          <w:lang w:val="es-ES"/>
        </w:rPr>
        <w:t>nstitucionales</w:t>
      </w:r>
    </w:p>
    <w:p w:rsidR="00F36DD3" w:rsidRDefault="00DB174B" w:rsidP="00F36DD3">
      <w:pPr>
        <w:pStyle w:val="ListParagraph"/>
        <w:numPr>
          <w:ilvl w:val="2"/>
          <w:numId w:val="5"/>
        </w:numPr>
        <w:rPr>
          <w:lang w:val="en-GB"/>
        </w:rPr>
      </w:pPr>
      <w:r>
        <w:rPr>
          <w:lang w:val="en-GB"/>
        </w:rPr>
        <w:t>AGCED</w:t>
      </w:r>
      <w:r w:rsidR="00F073E0">
        <w:rPr>
          <w:lang w:val="en-GB"/>
        </w:rPr>
        <w:t>,</w:t>
      </w:r>
      <w:r w:rsidR="00F36DD3">
        <w:rPr>
          <w:lang w:val="en-GB"/>
        </w:rPr>
        <w:t xml:space="preserve"> </w:t>
      </w:r>
      <w:r>
        <w:rPr>
          <w:lang w:val="en-GB"/>
        </w:rPr>
        <w:t>UE</w:t>
      </w:r>
      <w:r w:rsidR="00F073E0">
        <w:rPr>
          <w:lang w:val="en-GB"/>
        </w:rPr>
        <w:t>,</w:t>
      </w:r>
      <w:r w:rsidR="00F36DD3">
        <w:rPr>
          <w:lang w:val="en-GB"/>
        </w:rPr>
        <w:t xml:space="preserve"> </w:t>
      </w:r>
      <w:r>
        <w:rPr>
          <w:lang w:val="en-GB"/>
        </w:rPr>
        <w:t>OCDE-CAD</w:t>
      </w:r>
    </w:p>
    <w:p w:rsidR="00F36DD3" w:rsidRPr="00F073E0" w:rsidRDefault="00F073E0" w:rsidP="00F36DD3">
      <w:pPr>
        <w:pStyle w:val="ListParagraph"/>
        <w:numPr>
          <w:ilvl w:val="0"/>
          <w:numId w:val="5"/>
        </w:numPr>
        <w:rPr>
          <w:lang w:val="es-ES"/>
        </w:rPr>
      </w:pPr>
      <w:r w:rsidRPr="00F073E0">
        <w:rPr>
          <w:lang w:val="es-ES"/>
        </w:rPr>
        <w:t>Informe sobre el progreso en la Reuni</w:t>
      </w:r>
      <w:r>
        <w:rPr>
          <w:lang w:val="es-ES"/>
        </w:rPr>
        <w:t>ón General de la RSCD e</w:t>
      </w:r>
      <w:r w:rsidR="00F36DD3" w:rsidRPr="00F073E0">
        <w:rPr>
          <w:lang w:val="es-ES"/>
        </w:rPr>
        <w:t>n 2016</w:t>
      </w:r>
    </w:p>
    <w:p w:rsidR="00B76939" w:rsidRPr="00F073E0" w:rsidRDefault="00B76939" w:rsidP="00F36DD3">
      <w:pPr>
        <w:rPr>
          <w:b/>
          <w:u w:val="single"/>
          <w:lang w:val="es-ES"/>
        </w:rPr>
        <w:sectPr w:rsidR="00B76939" w:rsidRPr="00F073E0" w:rsidSect="005615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6DD3" w:rsidRPr="00E750D2" w:rsidRDefault="0012779E" w:rsidP="00F36DD3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lastRenderedPageBreak/>
        <w:t>Plazos</w:t>
      </w:r>
      <w:proofErr w:type="spellEnd"/>
      <w:r>
        <w:rPr>
          <w:b/>
          <w:u w:val="single"/>
          <w:lang w:val="en-GB"/>
        </w:rPr>
        <w:t xml:space="preserve"> y </w:t>
      </w:r>
      <w:proofErr w:type="spellStart"/>
      <w:r>
        <w:rPr>
          <w:b/>
          <w:u w:val="single"/>
          <w:lang w:val="en-GB"/>
        </w:rPr>
        <w:t>resultados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77"/>
        <w:gridCol w:w="2139"/>
        <w:gridCol w:w="2303"/>
        <w:gridCol w:w="4504"/>
      </w:tblGrid>
      <w:tr w:rsidR="007D55AD" w:rsidTr="000533A9">
        <w:tc>
          <w:tcPr>
            <w:tcW w:w="2093" w:type="dxa"/>
          </w:tcPr>
          <w:p w:rsidR="007D55AD" w:rsidRDefault="00716623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Qué</w:t>
            </w:r>
            <w:proofErr w:type="spellEnd"/>
          </w:p>
        </w:tc>
        <w:tc>
          <w:tcPr>
            <w:tcW w:w="2677" w:type="dxa"/>
          </w:tcPr>
          <w:p w:rsidR="007D55AD" w:rsidRDefault="00716623" w:rsidP="0071662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Obje</w:t>
            </w:r>
            <w:r w:rsidR="007D55AD">
              <w:rPr>
                <w:lang w:val="en-GB"/>
              </w:rPr>
              <w:t>tiv</w:t>
            </w:r>
            <w:r>
              <w:rPr>
                <w:lang w:val="en-GB"/>
              </w:rPr>
              <w:t>o</w:t>
            </w:r>
            <w:r w:rsidR="007D55AD">
              <w:rPr>
                <w:lang w:val="en-GB"/>
              </w:rPr>
              <w:t>s</w:t>
            </w:r>
            <w:proofErr w:type="spellEnd"/>
          </w:p>
        </w:tc>
        <w:tc>
          <w:tcPr>
            <w:tcW w:w="2139" w:type="dxa"/>
          </w:tcPr>
          <w:p w:rsidR="007D55AD" w:rsidRDefault="00716623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Quién</w:t>
            </w:r>
            <w:proofErr w:type="spellEnd"/>
          </w:p>
        </w:tc>
        <w:tc>
          <w:tcPr>
            <w:tcW w:w="2303" w:type="dxa"/>
          </w:tcPr>
          <w:p w:rsidR="007D55AD" w:rsidRDefault="00716623" w:rsidP="00E750D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Cuándo</w:t>
            </w:r>
            <w:proofErr w:type="spellEnd"/>
          </w:p>
        </w:tc>
        <w:tc>
          <w:tcPr>
            <w:tcW w:w="4504" w:type="dxa"/>
          </w:tcPr>
          <w:p w:rsidR="007D55AD" w:rsidRDefault="00716623" w:rsidP="00E750D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Resultados</w:t>
            </w:r>
            <w:proofErr w:type="spellEnd"/>
          </w:p>
        </w:tc>
      </w:tr>
      <w:tr w:rsidR="000533A9" w:rsidTr="000533A9">
        <w:tc>
          <w:tcPr>
            <w:tcW w:w="2093" w:type="dxa"/>
            <w:vMerge w:val="restart"/>
          </w:tcPr>
          <w:p w:rsidR="000533A9" w:rsidRDefault="005F4FBA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Encontrar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socios</w:t>
            </w:r>
            <w:proofErr w:type="spellEnd"/>
            <w:r w:rsidR="000533A9">
              <w:rPr>
                <w:lang w:val="en-GB"/>
              </w:rPr>
              <w:t xml:space="preserve"> </w:t>
            </w:r>
          </w:p>
        </w:tc>
        <w:tc>
          <w:tcPr>
            <w:tcW w:w="2677" w:type="dxa"/>
          </w:tcPr>
          <w:p w:rsidR="000533A9" w:rsidRPr="005F4FBA" w:rsidRDefault="005F4FBA" w:rsidP="00F36DD3">
            <w:pPr>
              <w:rPr>
                <w:lang w:val="es-ES"/>
              </w:rPr>
            </w:pPr>
            <w:r w:rsidRPr="005F4FBA">
              <w:rPr>
                <w:lang w:val="es-ES"/>
              </w:rPr>
              <w:t>Identificar y colaborar con g</w:t>
            </w:r>
            <w:r>
              <w:rPr>
                <w:lang w:val="es-ES"/>
              </w:rPr>
              <w:t>obiernos nacionales</w:t>
            </w:r>
          </w:p>
          <w:p w:rsidR="000533A9" w:rsidRPr="005F4FBA" w:rsidRDefault="000533A9" w:rsidP="00F36DD3">
            <w:pPr>
              <w:rPr>
                <w:lang w:val="es-ES"/>
              </w:rPr>
            </w:pPr>
          </w:p>
        </w:tc>
        <w:tc>
          <w:tcPr>
            <w:tcW w:w="2139" w:type="dxa"/>
          </w:tcPr>
          <w:p w:rsidR="000533A9" w:rsidRDefault="005F4FBA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Organizaciones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nacionales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regionales</w:t>
            </w:r>
            <w:proofErr w:type="spellEnd"/>
            <w:r w:rsidR="000533A9">
              <w:rPr>
                <w:lang w:val="en-GB"/>
              </w:rPr>
              <w:t xml:space="preserve"> </w:t>
            </w:r>
          </w:p>
        </w:tc>
        <w:tc>
          <w:tcPr>
            <w:tcW w:w="2303" w:type="dxa"/>
          </w:tcPr>
          <w:p w:rsidR="000533A9" w:rsidRDefault="00716623" w:rsidP="00E750D2">
            <w:pPr>
              <w:rPr>
                <w:lang w:val="en-GB"/>
              </w:rPr>
            </w:pPr>
            <w:r>
              <w:rPr>
                <w:lang w:val="en-GB"/>
              </w:rPr>
              <w:t xml:space="preserve">Finales de </w:t>
            </w:r>
            <w:proofErr w:type="spellStart"/>
            <w:r>
              <w:rPr>
                <w:lang w:val="en-GB"/>
              </w:rPr>
              <w:t>septiembre</w:t>
            </w:r>
            <w:proofErr w:type="spellEnd"/>
            <w:r w:rsidR="000533A9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octubre</w:t>
            </w:r>
            <w:proofErr w:type="spellEnd"/>
          </w:p>
          <w:p w:rsidR="000533A9" w:rsidRDefault="000533A9" w:rsidP="00E750D2">
            <w:pPr>
              <w:rPr>
                <w:lang w:val="en-GB"/>
              </w:rPr>
            </w:pPr>
          </w:p>
        </w:tc>
        <w:tc>
          <w:tcPr>
            <w:tcW w:w="4504" w:type="dxa"/>
          </w:tcPr>
          <w:p w:rsidR="000533A9" w:rsidRPr="00716623" w:rsidRDefault="00716623" w:rsidP="00E750D2">
            <w:pPr>
              <w:rPr>
                <w:lang w:val="es-ES"/>
              </w:rPr>
            </w:pPr>
            <w:r w:rsidRPr="00716623">
              <w:rPr>
                <w:lang w:val="es-ES"/>
              </w:rPr>
              <w:t>Informes y base de da</w:t>
            </w:r>
            <w:r>
              <w:rPr>
                <w:lang w:val="es-ES"/>
              </w:rPr>
              <w:t>tos</w:t>
            </w:r>
          </w:p>
          <w:p w:rsidR="000533A9" w:rsidRPr="00716623" w:rsidRDefault="000533A9" w:rsidP="00E750D2">
            <w:pPr>
              <w:rPr>
                <w:lang w:val="es-ES"/>
              </w:rPr>
            </w:pPr>
          </w:p>
          <w:p w:rsidR="000533A9" w:rsidRPr="00716623" w:rsidRDefault="000533A9" w:rsidP="00E750D2">
            <w:pPr>
              <w:rPr>
                <w:lang w:val="es-ES"/>
              </w:rPr>
            </w:pPr>
          </w:p>
        </w:tc>
      </w:tr>
      <w:tr w:rsidR="000533A9" w:rsidTr="000533A9">
        <w:tc>
          <w:tcPr>
            <w:tcW w:w="2093" w:type="dxa"/>
            <w:vMerge/>
          </w:tcPr>
          <w:p w:rsidR="000533A9" w:rsidRPr="00716623" w:rsidRDefault="000533A9" w:rsidP="00F36DD3">
            <w:pPr>
              <w:rPr>
                <w:lang w:val="es-ES"/>
              </w:rPr>
            </w:pPr>
          </w:p>
        </w:tc>
        <w:tc>
          <w:tcPr>
            <w:tcW w:w="2677" w:type="dxa"/>
          </w:tcPr>
          <w:p w:rsidR="000533A9" w:rsidRDefault="000533A9" w:rsidP="005F4FB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Formali</w:t>
            </w:r>
            <w:r w:rsidR="005F4FBA">
              <w:rPr>
                <w:lang w:val="en-GB"/>
              </w:rPr>
              <w:t>zar</w:t>
            </w:r>
            <w:proofErr w:type="spellEnd"/>
            <w:r w:rsidR="005F4FBA">
              <w:rPr>
                <w:lang w:val="en-GB"/>
              </w:rPr>
              <w:t xml:space="preserve"> el </w:t>
            </w:r>
            <w:proofErr w:type="spellStart"/>
            <w:r w:rsidR="005F4FBA">
              <w:rPr>
                <w:lang w:val="en-GB"/>
              </w:rPr>
              <w:t>compromiso</w:t>
            </w:r>
            <w:proofErr w:type="spellEnd"/>
          </w:p>
        </w:tc>
        <w:tc>
          <w:tcPr>
            <w:tcW w:w="2139" w:type="dxa"/>
          </w:tcPr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0533A9" w:rsidRDefault="00716623" w:rsidP="00F36DD3">
            <w:pPr>
              <w:rPr>
                <w:lang w:val="en-GB"/>
              </w:rPr>
            </w:pPr>
            <w:r>
              <w:rPr>
                <w:lang w:val="en-GB"/>
              </w:rPr>
              <w:t xml:space="preserve">Finales de </w:t>
            </w:r>
            <w:proofErr w:type="spellStart"/>
            <w:r>
              <w:rPr>
                <w:lang w:val="en-GB"/>
              </w:rPr>
              <w:t>año</w:t>
            </w:r>
            <w:proofErr w:type="spellEnd"/>
          </w:p>
        </w:tc>
        <w:tc>
          <w:tcPr>
            <w:tcW w:w="4504" w:type="dxa"/>
          </w:tcPr>
          <w:p w:rsidR="000533A9" w:rsidRDefault="000533A9" w:rsidP="00F36DD3">
            <w:pPr>
              <w:rPr>
                <w:lang w:val="en-GB"/>
              </w:rPr>
            </w:pPr>
          </w:p>
        </w:tc>
      </w:tr>
      <w:tr w:rsidR="000533A9" w:rsidRPr="00CF5262" w:rsidTr="000533A9">
        <w:tc>
          <w:tcPr>
            <w:tcW w:w="2093" w:type="dxa"/>
            <w:vMerge/>
          </w:tcPr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677" w:type="dxa"/>
          </w:tcPr>
          <w:p w:rsidR="000533A9" w:rsidRDefault="005F4FBA" w:rsidP="00C252C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Documento</w:t>
            </w:r>
            <w:proofErr w:type="spellEnd"/>
            <w:r>
              <w:rPr>
                <w:lang w:val="en-GB"/>
              </w:rPr>
              <w:t xml:space="preserve"> de 2 </w:t>
            </w:r>
            <w:proofErr w:type="spellStart"/>
            <w:r>
              <w:rPr>
                <w:lang w:val="en-GB"/>
              </w:rPr>
              <w:t>páginas</w:t>
            </w:r>
            <w:proofErr w:type="spellEnd"/>
          </w:p>
        </w:tc>
        <w:tc>
          <w:tcPr>
            <w:tcW w:w="2139" w:type="dxa"/>
          </w:tcPr>
          <w:p w:rsidR="000533A9" w:rsidRDefault="005F4FBA" w:rsidP="00F36DD3">
            <w:pPr>
              <w:rPr>
                <w:lang w:val="en-GB"/>
              </w:rPr>
            </w:pPr>
            <w:r>
              <w:rPr>
                <w:lang w:val="en-GB"/>
              </w:rPr>
              <w:t>RSCD</w:t>
            </w:r>
          </w:p>
        </w:tc>
        <w:tc>
          <w:tcPr>
            <w:tcW w:w="2303" w:type="dxa"/>
          </w:tcPr>
          <w:p w:rsidR="000533A9" w:rsidRDefault="00716623" w:rsidP="00F36DD3">
            <w:pPr>
              <w:rPr>
                <w:lang w:val="en-GB"/>
              </w:rPr>
            </w:pPr>
            <w:r>
              <w:rPr>
                <w:lang w:val="en-GB"/>
              </w:rPr>
              <w:t xml:space="preserve">Finales de </w:t>
            </w:r>
            <w:proofErr w:type="spellStart"/>
            <w:r>
              <w:rPr>
                <w:lang w:val="en-GB"/>
              </w:rPr>
              <w:t>junio</w:t>
            </w:r>
            <w:proofErr w:type="spellEnd"/>
          </w:p>
        </w:tc>
        <w:tc>
          <w:tcPr>
            <w:tcW w:w="4504" w:type="dxa"/>
          </w:tcPr>
          <w:p w:rsidR="000533A9" w:rsidRPr="00716623" w:rsidRDefault="00716623" w:rsidP="00716623">
            <w:pPr>
              <w:rPr>
                <w:lang w:val="es-ES"/>
              </w:rPr>
            </w:pPr>
            <w:r>
              <w:rPr>
                <w:lang w:val="es-ES"/>
              </w:rPr>
              <w:t xml:space="preserve">Documento de </w:t>
            </w:r>
            <w:r w:rsidRPr="00716623">
              <w:rPr>
                <w:lang w:val="es-ES"/>
              </w:rPr>
              <w:t>2 págs</w:t>
            </w:r>
            <w:r>
              <w:rPr>
                <w:lang w:val="es-ES"/>
              </w:rPr>
              <w:t>.</w:t>
            </w:r>
            <w:r w:rsidRPr="00716623">
              <w:rPr>
                <w:lang w:val="es-ES"/>
              </w:rPr>
              <w:t xml:space="preserve"> en</w:t>
            </w:r>
            <w:r w:rsidR="000533A9" w:rsidRPr="00716623">
              <w:rPr>
                <w:lang w:val="es-ES"/>
              </w:rPr>
              <w:t xml:space="preserve"> </w:t>
            </w:r>
            <w:r>
              <w:rPr>
                <w:lang w:val="es-ES"/>
              </w:rPr>
              <w:t>inglés</w:t>
            </w:r>
            <w:r w:rsidR="000533A9" w:rsidRPr="00716623">
              <w:rPr>
                <w:lang w:val="es-ES"/>
              </w:rPr>
              <w:t>/</w:t>
            </w:r>
            <w:r>
              <w:rPr>
                <w:lang w:val="es-ES"/>
              </w:rPr>
              <w:t>francés</w:t>
            </w:r>
            <w:r w:rsidR="000533A9" w:rsidRPr="00716623">
              <w:rPr>
                <w:lang w:val="es-ES"/>
              </w:rPr>
              <w:t>/</w:t>
            </w:r>
            <w:r>
              <w:rPr>
                <w:lang w:val="es-ES"/>
              </w:rPr>
              <w:t>español</w:t>
            </w:r>
          </w:p>
        </w:tc>
      </w:tr>
      <w:tr w:rsidR="000533A9" w:rsidTr="000533A9">
        <w:tc>
          <w:tcPr>
            <w:tcW w:w="2093" w:type="dxa"/>
            <w:vMerge w:val="restart"/>
          </w:tcPr>
          <w:p w:rsidR="000533A9" w:rsidRDefault="000A6CEB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Grupo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trabajo</w:t>
            </w:r>
            <w:proofErr w:type="spellEnd"/>
            <w:r>
              <w:rPr>
                <w:lang w:val="en-GB"/>
              </w:rPr>
              <w:t xml:space="preserve"> (GT)</w:t>
            </w:r>
          </w:p>
          <w:p w:rsidR="000533A9" w:rsidRDefault="000533A9" w:rsidP="00F36DD3">
            <w:pPr>
              <w:rPr>
                <w:lang w:val="en-GB"/>
              </w:rPr>
            </w:pPr>
          </w:p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677" w:type="dxa"/>
          </w:tcPr>
          <w:p w:rsidR="000533A9" w:rsidRDefault="00F073E0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Colaborar</w:t>
            </w:r>
            <w:proofErr w:type="spellEnd"/>
            <w:r>
              <w:rPr>
                <w:lang w:val="en-GB"/>
              </w:rPr>
              <w:t xml:space="preserve"> con </w:t>
            </w:r>
            <w:proofErr w:type="spellStart"/>
            <w:r>
              <w:rPr>
                <w:lang w:val="en-GB"/>
              </w:rPr>
              <w:t>instituciones</w:t>
            </w:r>
            <w:proofErr w:type="spellEnd"/>
          </w:p>
        </w:tc>
        <w:tc>
          <w:tcPr>
            <w:tcW w:w="2139" w:type="dxa"/>
          </w:tcPr>
          <w:p w:rsidR="000533A9" w:rsidRDefault="005F4FBA" w:rsidP="00F36DD3">
            <w:pPr>
              <w:rPr>
                <w:lang w:val="en-GB"/>
              </w:rPr>
            </w:pPr>
            <w:r>
              <w:rPr>
                <w:lang w:val="en-GB"/>
              </w:rPr>
              <w:t>RSCD</w:t>
            </w:r>
            <w:r w:rsidR="000533A9">
              <w:rPr>
                <w:lang w:val="en-GB"/>
              </w:rPr>
              <w:t>+</w:t>
            </w:r>
          </w:p>
        </w:tc>
        <w:tc>
          <w:tcPr>
            <w:tcW w:w="2303" w:type="dxa"/>
          </w:tcPr>
          <w:p w:rsidR="000533A9" w:rsidRDefault="00716623" w:rsidP="00F36DD3">
            <w:pPr>
              <w:rPr>
                <w:lang w:val="en-GB"/>
              </w:rPr>
            </w:pPr>
            <w:r>
              <w:rPr>
                <w:lang w:val="en-GB"/>
              </w:rPr>
              <w:t xml:space="preserve">Finales de </w:t>
            </w:r>
            <w:proofErr w:type="spellStart"/>
            <w:r>
              <w:rPr>
                <w:lang w:val="en-GB"/>
              </w:rPr>
              <w:t>septiembre</w:t>
            </w:r>
            <w:proofErr w:type="spellEnd"/>
          </w:p>
        </w:tc>
        <w:tc>
          <w:tcPr>
            <w:tcW w:w="4504" w:type="dxa"/>
          </w:tcPr>
          <w:p w:rsidR="000533A9" w:rsidRDefault="00716623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Informes</w:t>
            </w:r>
            <w:proofErr w:type="spellEnd"/>
          </w:p>
        </w:tc>
      </w:tr>
      <w:tr w:rsidR="000533A9" w:rsidRPr="00CF5262" w:rsidTr="000533A9">
        <w:tc>
          <w:tcPr>
            <w:tcW w:w="2093" w:type="dxa"/>
            <w:vMerge/>
          </w:tcPr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677" w:type="dxa"/>
          </w:tcPr>
          <w:p w:rsidR="000533A9" w:rsidRPr="0012779E" w:rsidRDefault="0012779E" w:rsidP="0012779E">
            <w:pPr>
              <w:rPr>
                <w:lang w:val="es-ES"/>
              </w:rPr>
            </w:pPr>
            <w:r w:rsidRPr="0012779E">
              <w:rPr>
                <w:lang w:val="es-ES"/>
              </w:rPr>
              <w:t>Establecer contactos con centros regiona</w:t>
            </w:r>
            <w:r>
              <w:rPr>
                <w:lang w:val="es-ES"/>
              </w:rPr>
              <w:t>les</w:t>
            </w:r>
          </w:p>
        </w:tc>
        <w:tc>
          <w:tcPr>
            <w:tcW w:w="2139" w:type="dxa"/>
          </w:tcPr>
          <w:p w:rsidR="000533A9" w:rsidRPr="0012779E" w:rsidRDefault="000533A9" w:rsidP="00F36DD3">
            <w:pPr>
              <w:rPr>
                <w:lang w:val="es-ES"/>
              </w:rPr>
            </w:pPr>
          </w:p>
        </w:tc>
        <w:tc>
          <w:tcPr>
            <w:tcW w:w="2303" w:type="dxa"/>
          </w:tcPr>
          <w:p w:rsidR="000533A9" w:rsidRPr="0012779E" w:rsidRDefault="000533A9" w:rsidP="00F36DD3">
            <w:pPr>
              <w:rPr>
                <w:lang w:val="es-ES"/>
              </w:rPr>
            </w:pPr>
          </w:p>
        </w:tc>
        <w:tc>
          <w:tcPr>
            <w:tcW w:w="4504" w:type="dxa"/>
          </w:tcPr>
          <w:p w:rsidR="000533A9" w:rsidRPr="0012779E" w:rsidRDefault="000533A9" w:rsidP="00F36DD3">
            <w:pPr>
              <w:rPr>
                <w:lang w:val="es-ES"/>
              </w:rPr>
            </w:pPr>
          </w:p>
        </w:tc>
      </w:tr>
      <w:tr w:rsidR="000533A9" w:rsidTr="000533A9">
        <w:tc>
          <w:tcPr>
            <w:tcW w:w="2093" w:type="dxa"/>
            <w:vMerge/>
          </w:tcPr>
          <w:p w:rsidR="000533A9" w:rsidRPr="0012779E" w:rsidRDefault="000533A9" w:rsidP="00F36DD3">
            <w:pPr>
              <w:rPr>
                <w:lang w:val="es-ES"/>
              </w:rPr>
            </w:pPr>
          </w:p>
        </w:tc>
        <w:tc>
          <w:tcPr>
            <w:tcW w:w="2677" w:type="dxa"/>
          </w:tcPr>
          <w:p w:rsidR="000533A9" w:rsidRDefault="0012779E" w:rsidP="00291D9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Acuerdo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alianza</w:t>
            </w:r>
            <w:proofErr w:type="spellEnd"/>
          </w:p>
        </w:tc>
        <w:tc>
          <w:tcPr>
            <w:tcW w:w="2139" w:type="dxa"/>
          </w:tcPr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0533A9" w:rsidRDefault="000533A9" w:rsidP="001277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Oct</w:t>
            </w:r>
            <w:r w:rsidR="0012779E">
              <w:rPr>
                <w:lang w:val="en-GB"/>
              </w:rPr>
              <w:t>ubre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 w:rsidR="0012779E">
              <w:rPr>
                <w:lang w:val="en-GB"/>
              </w:rPr>
              <w:t>diciembre</w:t>
            </w:r>
            <w:proofErr w:type="spellEnd"/>
          </w:p>
        </w:tc>
        <w:tc>
          <w:tcPr>
            <w:tcW w:w="4504" w:type="dxa"/>
          </w:tcPr>
          <w:p w:rsidR="000533A9" w:rsidRDefault="0012779E" w:rsidP="000137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Borrador</w:t>
            </w:r>
            <w:proofErr w:type="spellEnd"/>
          </w:p>
        </w:tc>
      </w:tr>
      <w:tr w:rsidR="000533A9" w:rsidTr="000533A9">
        <w:tc>
          <w:tcPr>
            <w:tcW w:w="2093" w:type="dxa"/>
            <w:vMerge/>
          </w:tcPr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677" w:type="dxa"/>
          </w:tcPr>
          <w:p w:rsidR="000533A9" w:rsidRPr="0012779E" w:rsidRDefault="0012779E" w:rsidP="00366864">
            <w:pPr>
              <w:rPr>
                <w:lang w:val="es-ES"/>
              </w:rPr>
            </w:pPr>
            <w:r w:rsidRPr="0012779E">
              <w:rPr>
                <w:lang w:val="es-ES"/>
              </w:rPr>
              <w:t>Investigación y documento “basa</w:t>
            </w:r>
            <w:r>
              <w:rPr>
                <w:lang w:val="es-ES"/>
              </w:rPr>
              <w:t xml:space="preserve">dos en </w:t>
            </w:r>
            <w:r w:rsidR="00366864">
              <w:rPr>
                <w:lang w:val="es-ES"/>
              </w:rPr>
              <w:t>hechos</w:t>
            </w:r>
            <w:r>
              <w:rPr>
                <w:lang w:val="es-ES"/>
              </w:rPr>
              <w:t>”</w:t>
            </w:r>
          </w:p>
        </w:tc>
        <w:tc>
          <w:tcPr>
            <w:tcW w:w="2139" w:type="dxa"/>
          </w:tcPr>
          <w:p w:rsidR="000533A9" w:rsidRDefault="005F4FBA" w:rsidP="00F36DD3">
            <w:pPr>
              <w:rPr>
                <w:lang w:val="en-GB"/>
              </w:rPr>
            </w:pPr>
            <w:r>
              <w:rPr>
                <w:lang w:val="en-GB"/>
              </w:rPr>
              <w:t>RSCD</w:t>
            </w:r>
            <w:r w:rsidR="000533A9">
              <w:rPr>
                <w:lang w:val="en-GB"/>
              </w:rPr>
              <w:t>+</w:t>
            </w:r>
          </w:p>
        </w:tc>
        <w:tc>
          <w:tcPr>
            <w:tcW w:w="2303" w:type="dxa"/>
          </w:tcPr>
          <w:p w:rsidR="000533A9" w:rsidRDefault="000533A9" w:rsidP="001277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Oct</w:t>
            </w:r>
            <w:r w:rsidR="0012779E">
              <w:rPr>
                <w:lang w:val="en-GB"/>
              </w:rPr>
              <w:t>ubre</w:t>
            </w:r>
            <w:proofErr w:type="spellEnd"/>
          </w:p>
        </w:tc>
        <w:tc>
          <w:tcPr>
            <w:tcW w:w="4504" w:type="dxa"/>
          </w:tcPr>
          <w:p w:rsidR="000533A9" w:rsidRDefault="0012779E" w:rsidP="00340A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Borrador</w:t>
            </w:r>
            <w:proofErr w:type="spellEnd"/>
            <w:r>
              <w:rPr>
                <w:lang w:val="en-GB"/>
              </w:rPr>
              <w:t xml:space="preserve"> para debate</w:t>
            </w:r>
            <w:r w:rsidR="000533A9">
              <w:rPr>
                <w:lang w:val="en-GB"/>
              </w:rPr>
              <w:t xml:space="preserve"> </w:t>
            </w:r>
          </w:p>
        </w:tc>
      </w:tr>
      <w:tr w:rsidR="000533A9" w:rsidTr="000533A9">
        <w:tc>
          <w:tcPr>
            <w:tcW w:w="2093" w:type="dxa"/>
            <w:vMerge/>
          </w:tcPr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677" w:type="dxa"/>
          </w:tcPr>
          <w:p w:rsidR="000533A9" w:rsidRDefault="0012779E" w:rsidP="00291D9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Supervisión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programa</w:t>
            </w:r>
            <w:proofErr w:type="spellEnd"/>
          </w:p>
        </w:tc>
        <w:tc>
          <w:tcPr>
            <w:tcW w:w="2139" w:type="dxa"/>
          </w:tcPr>
          <w:p w:rsidR="000533A9" w:rsidRDefault="0012779E" w:rsidP="00F36DD3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0533A9">
              <w:rPr>
                <w:lang w:val="en-GB"/>
              </w:rPr>
              <w:t>T</w:t>
            </w:r>
          </w:p>
        </w:tc>
        <w:tc>
          <w:tcPr>
            <w:tcW w:w="2303" w:type="dxa"/>
          </w:tcPr>
          <w:p w:rsidR="000533A9" w:rsidRDefault="000533A9" w:rsidP="005F4FB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Oct</w:t>
            </w:r>
            <w:r w:rsidR="005F4FBA">
              <w:rPr>
                <w:lang w:val="en-GB"/>
              </w:rPr>
              <w:t>ubre</w:t>
            </w:r>
            <w:proofErr w:type="spellEnd"/>
          </w:p>
        </w:tc>
        <w:tc>
          <w:tcPr>
            <w:tcW w:w="4504" w:type="dxa"/>
          </w:tcPr>
          <w:p w:rsidR="000533A9" w:rsidRDefault="000533A9" w:rsidP="00340AAC">
            <w:pPr>
              <w:rPr>
                <w:lang w:val="en-GB"/>
              </w:rPr>
            </w:pPr>
          </w:p>
        </w:tc>
      </w:tr>
      <w:tr w:rsidR="000533A9" w:rsidTr="000533A9">
        <w:tc>
          <w:tcPr>
            <w:tcW w:w="2093" w:type="dxa"/>
            <w:vMerge/>
          </w:tcPr>
          <w:p w:rsidR="000533A9" w:rsidRDefault="000533A9" w:rsidP="00F36DD3">
            <w:pPr>
              <w:rPr>
                <w:lang w:val="en-GB"/>
              </w:rPr>
            </w:pPr>
          </w:p>
        </w:tc>
        <w:tc>
          <w:tcPr>
            <w:tcW w:w="2677" w:type="dxa"/>
          </w:tcPr>
          <w:p w:rsidR="000533A9" w:rsidRDefault="000533A9" w:rsidP="001277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Prepar</w:t>
            </w:r>
            <w:r w:rsidR="0012779E">
              <w:rPr>
                <w:lang w:val="en-GB"/>
              </w:rPr>
              <w:t>ar</w:t>
            </w:r>
            <w:proofErr w:type="spellEnd"/>
            <w:r w:rsidR="0012779E">
              <w:rPr>
                <w:lang w:val="en-GB"/>
              </w:rPr>
              <w:t xml:space="preserve"> </w:t>
            </w:r>
            <w:proofErr w:type="spellStart"/>
            <w:r w:rsidR="0012779E">
              <w:rPr>
                <w:lang w:val="en-GB"/>
              </w:rPr>
              <w:t>lanzamiento</w:t>
            </w:r>
            <w:proofErr w:type="spellEnd"/>
          </w:p>
        </w:tc>
        <w:tc>
          <w:tcPr>
            <w:tcW w:w="2139" w:type="dxa"/>
          </w:tcPr>
          <w:p w:rsidR="000533A9" w:rsidRDefault="0012779E" w:rsidP="00F36DD3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0533A9">
              <w:rPr>
                <w:lang w:val="en-GB"/>
              </w:rPr>
              <w:t>T</w:t>
            </w:r>
          </w:p>
        </w:tc>
        <w:tc>
          <w:tcPr>
            <w:tcW w:w="2303" w:type="dxa"/>
          </w:tcPr>
          <w:p w:rsidR="000533A9" w:rsidRDefault="000533A9" w:rsidP="001277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Sept</w:t>
            </w:r>
            <w:r w:rsidR="0012779E">
              <w:rPr>
                <w:lang w:val="en-GB"/>
              </w:rPr>
              <w:t>iembre-diciembre</w:t>
            </w:r>
            <w:proofErr w:type="spellEnd"/>
          </w:p>
        </w:tc>
        <w:tc>
          <w:tcPr>
            <w:tcW w:w="4504" w:type="dxa"/>
          </w:tcPr>
          <w:p w:rsidR="000533A9" w:rsidRDefault="000533A9" w:rsidP="00340AAC">
            <w:pPr>
              <w:rPr>
                <w:lang w:val="en-GB"/>
              </w:rPr>
            </w:pPr>
          </w:p>
        </w:tc>
      </w:tr>
      <w:tr w:rsidR="0001377A" w:rsidRPr="00CF5262" w:rsidTr="000533A9">
        <w:tc>
          <w:tcPr>
            <w:tcW w:w="2093" w:type="dxa"/>
            <w:vMerge w:val="restart"/>
          </w:tcPr>
          <w:p w:rsidR="0001377A" w:rsidRPr="000A6CEB" w:rsidRDefault="00366864" w:rsidP="000A6CEB">
            <w:pPr>
              <w:rPr>
                <w:lang w:val="es-ES"/>
              </w:rPr>
            </w:pPr>
            <w:r>
              <w:rPr>
                <w:lang w:val="es-ES"/>
              </w:rPr>
              <w:t>Foro de sindicatos-CAD/</w:t>
            </w:r>
            <w:r w:rsidR="000A6CEB" w:rsidRPr="000A6CEB">
              <w:rPr>
                <w:lang w:val="es-ES"/>
              </w:rPr>
              <w:t>OCDE</w:t>
            </w:r>
          </w:p>
        </w:tc>
        <w:tc>
          <w:tcPr>
            <w:tcW w:w="2677" w:type="dxa"/>
          </w:tcPr>
          <w:p w:rsidR="0001377A" w:rsidRPr="0012779E" w:rsidRDefault="0001377A" w:rsidP="0012779E">
            <w:pPr>
              <w:rPr>
                <w:lang w:val="es-ES"/>
              </w:rPr>
            </w:pPr>
            <w:r w:rsidRPr="0012779E">
              <w:rPr>
                <w:lang w:val="es-ES"/>
              </w:rPr>
              <w:t>Seminar</w:t>
            </w:r>
            <w:r w:rsidR="0012779E" w:rsidRPr="0012779E">
              <w:rPr>
                <w:lang w:val="es-ES"/>
              </w:rPr>
              <w:t>io para debatir las conclusio</w:t>
            </w:r>
            <w:r w:rsidR="0012779E">
              <w:rPr>
                <w:lang w:val="es-ES"/>
              </w:rPr>
              <w:t>nes de la investigación</w:t>
            </w:r>
          </w:p>
        </w:tc>
        <w:tc>
          <w:tcPr>
            <w:tcW w:w="2139" w:type="dxa"/>
          </w:tcPr>
          <w:p w:rsidR="0001377A" w:rsidRDefault="005F4FBA" w:rsidP="00F36DD3">
            <w:pPr>
              <w:rPr>
                <w:lang w:val="en-GB"/>
              </w:rPr>
            </w:pPr>
            <w:r>
              <w:rPr>
                <w:lang w:val="en-GB"/>
              </w:rPr>
              <w:t>RSCD</w:t>
            </w:r>
          </w:p>
        </w:tc>
        <w:tc>
          <w:tcPr>
            <w:tcW w:w="2303" w:type="dxa"/>
          </w:tcPr>
          <w:p w:rsidR="0001377A" w:rsidRPr="0012779E" w:rsidRDefault="0001377A" w:rsidP="0012779E">
            <w:pPr>
              <w:rPr>
                <w:lang w:val="es-ES"/>
              </w:rPr>
            </w:pPr>
            <w:r w:rsidRPr="0012779E">
              <w:rPr>
                <w:lang w:val="es-ES"/>
              </w:rPr>
              <w:t>Oct</w:t>
            </w:r>
            <w:r w:rsidR="0012779E" w:rsidRPr="0012779E">
              <w:rPr>
                <w:lang w:val="es-ES"/>
              </w:rPr>
              <w:t>ubre</w:t>
            </w:r>
            <w:r w:rsidRPr="0012779E">
              <w:rPr>
                <w:lang w:val="es-ES"/>
              </w:rPr>
              <w:t xml:space="preserve">, </w:t>
            </w:r>
            <w:r w:rsidR="0012779E" w:rsidRPr="0012779E">
              <w:rPr>
                <w:lang w:val="es-ES"/>
              </w:rPr>
              <w:t xml:space="preserve">coincidiendo con el Foro </w:t>
            </w:r>
            <w:r w:rsidR="00C252CD">
              <w:rPr>
                <w:lang w:val="es-ES"/>
              </w:rPr>
              <w:t xml:space="preserve">de </w:t>
            </w:r>
            <w:r w:rsidR="0012779E" w:rsidRPr="0012779E">
              <w:rPr>
                <w:lang w:val="es-ES"/>
              </w:rPr>
              <w:t>sindicato</w:t>
            </w:r>
            <w:r w:rsidR="0012779E">
              <w:rPr>
                <w:lang w:val="es-ES"/>
              </w:rPr>
              <w:t>s</w:t>
            </w:r>
            <w:r w:rsidR="00366864">
              <w:rPr>
                <w:lang w:val="es-ES"/>
              </w:rPr>
              <w:t>-</w:t>
            </w:r>
            <w:r w:rsidR="0012779E">
              <w:rPr>
                <w:lang w:val="es-ES"/>
              </w:rPr>
              <w:t>CAD</w:t>
            </w:r>
            <w:r w:rsidR="00366864">
              <w:rPr>
                <w:lang w:val="es-ES"/>
              </w:rPr>
              <w:t>/</w:t>
            </w:r>
            <w:r w:rsidR="0012779E">
              <w:rPr>
                <w:lang w:val="es-ES"/>
              </w:rPr>
              <w:t>OCDE</w:t>
            </w:r>
          </w:p>
        </w:tc>
        <w:tc>
          <w:tcPr>
            <w:tcW w:w="4504" w:type="dxa"/>
          </w:tcPr>
          <w:p w:rsidR="0001377A" w:rsidRPr="0012779E" w:rsidRDefault="0012779E" w:rsidP="0012779E">
            <w:pPr>
              <w:rPr>
                <w:lang w:val="es-ES"/>
              </w:rPr>
            </w:pPr>
            <w:r w:rsidRPr="0012779E">
              <w:rPr>
                <w:lang w:val="es-ES"/>
              </w:rPr>
              <w:t>Conclusiones y proyectos de recomendación sobre el diálogo social en l</w:t>
            </w:r>
            <w:r>
              <w:rPr>
                <w:lang w:val="es-ES"/>
              </w:rPr>
              <w:t>a cooperación al desarrollo</w:t>
            </w:r>
          </w:p>
        </w:tc>
      </w:tr>
      <w:tr w:rsidR="0001377A" w:rsidRPr="00CF5262" w:rsidTr="000533A9">
        <w:tc>
          <w:tcPr>
            <w:tcW w:w="2093" w:type="dxa"/>
            <w:vMerge/>
          </w:tcPr>
          <w:p w:rsidR="0001377A" w:rsidRPr="0012779E" w:rsidRDefault="0001377A" w:rsidP="00F36DD3">
            <w:pPr>
              <w:rPr>
                <w:lang w:val="es-ES"/>
              </w:rPr>
            </w:pPr>
          </w:p>
        </w:tc>
        <w:tc>
          <w:tcPr>
            <w:tcW w:w="2677" w:type="dxa"/>
          </w:tcPr>
          <w:p w:rsidR="0001377A" w:rsidRPr="0012779E" w:rsidRDefault="0001377A" w:rsidP="00F36DD3">
            <w:pPr>
              <w:rPr>
                <w:lang w:val="es-ES"/>
              </w:rPr>
            </w:pPr>
          </w:p>
        </w:tc>
        <w:tc>
          <w:tcPr>
            <w:tcW w:w="2139" w:type="dxa"/>
          </w:tcPr>
          <w:p w:rsidR="0001377A" w:rsidRDefault="005F4FBA" w:rsidP="000A6CEB">
            <w:pPr>
              <w:rPr>
                <w:lang w:val="en-GB"/>
              </w:rPr>
            </w:pPr>
            <w:r>
              <w:rPr>
                <w:lang w:val="en-GB"/>
              </w:rPr>
              <w:t>RSCD</w:t>
            </w:r>
            <w:r w:rsidR="0001377A">
              <w:rPr>
                <w:lang w:val="en-GB"/>
              </w:rPr>
              <w:t>/TUAC/</w:t>
            </w:r>
            <w:r w:rsidR="000A6CEB">
              <w:rPr>
                <w:lang w:val="en-GB"/>
              </w:rPr>
              <w:t>Enlace</w:t>
            </w:r>
          </w:p>
        </w:tc>
        <w:tc>
          <w:tcPr>
            <w:tcW w:w="2303" w:type="dxa"/>
          </w:tcPr>
          <w:p w:rsidR="0001377A" w:rsidRPr="005F4FBA" w:rsidRDefault="0001377A" w:rsidP="00F36DD3">
            <w:pPr>
              <w:rPr>
                <w:lang w:val="es-ES"/>
              </w:rPr>
            </w:pPr>
            <w:r w:rsidRPr="005F4FBA">
              <w:rPr>
                <w:lang w:val="es-ES"/>
              </w:rPr>
              <w:t>Jun</w:t>
            </w:r>
            <w:r w:rsidR="005F4FBA" w:rsidRPr="005F4FBA">
              <w:rPr>
                <w:lang w:val="es-ES"/>
              </w:rPr>
              <w:t>io</w:t>
            </w:r>
            <w:r w:rsidRPr="005F4FBA">
              <w:rPr>
                <w:lang w:val="es-ES"/>
              </w:rPr>
              <w:t xml:space="preserve"> (</w:t>
            </w:r>
            <w:r w:rsidR="005F4FBA" w:rsidRPr="005F4FBA">
              <w:rPr>
                <w:lang w:val="es-ES"/>
              </w:rPr>
              <w:t>fecha</w:t>
            </w:r>
            <w:r w:rsidRPr="005F4FBA">
              <w:rPr>
                <w:lang w:val="es-ES"/>
              </w:rPr>
              <w:t>)</w:t>
            </w:r>
          </w:p>
          <w:p w:rsidR="0001377A" w:rsidRPr="005F4FBA" w:rsidRDefault="0001377A" w:rsidP="005F4FBA">
            <w:pPr>
              <w:rPr>
                <w:lang w:val="es-ES"/>
              </w:rPr>
            </w:pPr>
            <w:r w:rsidRPr="005F4FBA">
              <w:rPr>
                <w:lang w:val="es-ES"/>
              </w:rPr>
              <w:t>Oct</w:t>
            </w:r>
            <w:r w:rsidR="005F4FBA" w:rsidRPr="005F4FBA">
              <w:rPr>
                <w:lang w:val="es-ES"/>
              </w:rPr>
              <w:t>ubre</w:t>
            </w:r>
            <w:r w:rsidRPr="005F4FBA">
              <w:rPr>
                <w:lang w:val="es-ES"/>
              </w:rPr>
              <w:t xml:space="preserve"> (</w:t>
            </w:r>
            <w:r w:rsidR="005F4FBA" w:rsidRPr="005F4FBA">
              <w:rPr>
                <w:lang w:val="es-ES"/>
              </w:rPr>
              <w:t>por confirmar</w:t>
            </w:r>
            <w:r w:rsidRPr="005F4FBA">
              <w:rPr>
                <w:lang w:val="es-ES"/>
              </w:rPr>
              <w:t>)</w:t>
            </w:r>
          </w:p>
        </w:tc>
        <w:tc>
          <w:tcPr>
            <w:tcW w:w="4504" w:type="dxa"/>
          </w:tcPr>
          <w:p w:rsidR="0001377A" w:rsidRPr="005F4FBA" w:rsidRDefault="0001377A" w:rsidP="00F36DD3">
            <w:pPr>
              <w:rPr>
                <w:lang w:val="es-ES"/>
              </w:rPr>
            </w:pPr>
          </w:p>
        </w:tc>
      </w:tr>
      <w:tr w:rsidR="007D55AD" w:rsidTr="000533A9">
        <w:tc>
          <w:tcPr>
            <w:tcW w:w="2093" w:type="dxa"/>
            <w:vMerge w:val="restart"/>
          </w:tcPr>
          <w:p w:rsidR="007D55AD" w:rsidRPr="000A6CEB" w:rsidRDefault="007D55AD" w:rsidP="00C252CD">
            <w:pPr>
              <w:rPr>
                <w:lang w:val="es-ES"/>
              </w:rPr>
            </w:pPr>
            <w:r w:rsidRPr="000A6CEB">
              <w:rPr>
                <w:lang w:val="es-ES"/>
              </w:rPr>
              <w:t>La</w:t>
            </w:r>
            <w:r w:rsidR="000A6CEB" w:rsidRPr="000A6CEB">
              <w:rPr>
                <w:lang w:val="es-ES"/>
              </w:rPr>
              <w:t xml:space="preserve">nzamiento de la </w:t>
            </w:r>
            <w:r w:rsidR="00C252CD">
              <w:rPr>
                <w:lang w:val="es-ES"/>
              </w:rPr>
              <w:t>i</w:t>
            </w:r>
            <w:r w:rsidR="000A6CEB" w:rsidRPr="000A6CEB">
              <w:rPr>
                <w:lang w:val="es-ES"/>
              </w:rPr>
              <w:t xml:space="preserve">niciativa de </w:t>
            </w:r>
            <w:r w:rsidR="00C252CD">
              <w:rPr>
                <w:lang w:val="es-ES"/>
              </w:rPr>
              <w:t>a</w:t>
            </w:r>
            <w:r w:rsidR="000A6CEB" w:rsidRPr="000A6CEB">
              <w:rPr>
                <w:lang w:val="es-ES"/>
              </w:rPr>
              <w:t>lianz</w:t>
            </w:r>
            <w:r w:rsidR="000A6CEB">
              <w:rPr>
                <w:lang w:val="es-ES"/>
              </w:rPr>
              <w:t>a</w:t>
            </w:r>
          </w:p>
        </w:tc>
        <w:tc>
          <w:tcPr>
            <w:tcW w:w="2677" w:type="dxa"/>
          </w:tcPr>
          <w:p w:rsidR="007D55AD" w:rsidRPr="0012779E" w:rsidRDefault="0012779E" w:rsidP="0012779E">
            <w:pPr>
              <w:rPr>
                <w:lang w:val="es-ES"/>
              </w:rPr>
            </w:pPr>
            <w:r w:rsidRPr="0012779E">
              <w:rPr>
                <w:lang w:val="es-ES"/>
              </w:rPr>
              <w:t>Hacer público el acuerdo de alia</w:t>
            </w:r>
            <w:r>
              <w:rPr>
                <w:lang w:val="es-ES"/>
              </w:rPr>
              <w:t>nza</w:t>
            </w:r>
          </w:p>
        </w:tc>
        <w:tc>
          <w:tcPr>
            <w:tcW w:w="2139" w:type="dxa"/>
            <w:vMerge w:val="restart"/>
          </w:tcPr>
          <w:p w:rsidR="007D55AD" w:rsidRDefault="000A6CEB" w:rsidP="00F36DD3">
            <w:pPr>
              <w:rPr>
                <w:lang w:val="en-GB"/>
              </w:rPr>
            </w:pPr>
            <w:r>
              <w:rPr>
                <w:lang w:val="en-GB"/>
              </w:rPr>
              <w:t>RSCD</w:t>
            </w:r>
            <w:r w:rsidR="007D55AD">
              <w:rPr>
                <w:lang w:val="en-GB"/>
              </w:rPr>
              <w:t>+</w:t>
            </w:r>
          </w:p>
          <w:p w:rsidR="007D55AD" w:rsidRDefault="000A6CEB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Socios</w:t>
            </w:r>
            <w:proofErr w:type="spellEnd"/>
          </w:p>
          <w:p w:rsidR="007D55AD" w:rsidRDefault="000A6CEB" w:rsidP="007D55AD">
            <w:pPr>
              <w:rPr>
                <w:lang w:val="en-GB"/>
              </w:rPr>
            </w:pP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Alianza</w:t>
            </w:r>
            <w:proofErr w:type="spellEnd"/>
          </w:p>
        </w:tc>
        <w:tc>
          <w:tcPr>
            <w:tcW w:w="2303" w:type="dxa"/>
            <w:vMerge w:val="restart"/>
          </w:tcPr>
          <w:p w:rsidR="000A6CEB" w:rsidRDefault="007D55AD" w:rsidP="000A6C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</w:t>
            </w:r>
            <w:r w:rsidR="000A6CEB">
              <w:rPr>
                <w:lang w:val="en-GB"/>
              </w:rPr>
              <w:t>iciembre</w:t>
            </w:r>
            <w:proofErr w:type="spellEnd"/>
            <w:r w:rsidR="000A6CEB">
              <w:rPr>
                <w:lang w:val="en-GB"/>
              </w:rPr>
              <w:t xml:space="preserve"> de</w:t>
            </w:r>
            <w:r>
              <w:rPr>
                <w:lang w:val="en-GB"/>
              </w:rPr>
              <w:t xml:space="preserve"> 2015</w:t>
            </w:r>
          </w:p>
          <w:p w:rsidR="007D55AD" w:rsidRDefault="000A6CEB" w:rsidP="000A6CE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Enero</w:t>
            </w:r>
            <w:proofErr w:type="spellEnd"/>
            <w:r>
              <w:rPr>
                <w:lang w:val="en-GB"/>
              </w:rPr>
              <w:t xml:space="preserve"> de </w:t>
            </w:r>
            <w:r w:rsidR="007D55AD">
              <w:rPr>
                <w:lang w:val="en-GB"/>
              </w:rPr>
              <w:t>2016</w:t>
            </w:r>
          </w:p>
        </w:tc>
        <w:tc>
          <w:tcPr>
            <w:tcW w:w="4504" w:type="dxa"/>
          </w:tcPr>
          <w:p w:rsidR="007D55AD" w:rsidRDefault="0012779E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Documentos</w:t>
            </w:r>
            <w:proofErr w:type="spellEnd"/>
            <w:r>
              <w:rPr>
                <w:lang w:val="en-GB"/>
              </w:rPr>
              <w:t xml:space="preserve"> de la </w:t>
            </w:r>
            <w:proofErr w:type="spellStart"/>
            <w:r>
              <w:rPr>
                <w:lang w:val="en-GB"/>
              </w:rPr>
              <w:t>alianza</w:t>
            </w:r>
            <w:proofErr w:type="spellEnd"/>
          </w:p>
        </w:tc>
      </w:tr>
      <w:tr w:rsidR="007D55AD" w:rsidTr="000533A9">
        <w:tc>
          <w:tcPr>
            <w:tcW w:w="2093" w:type="dxa"/>
            <w:vMerge/>
          </w:tcPr>
          <w:p w:rsidR="007D55AD" w:rsidRDefault="007D55AD" w:rsidP="00F36DD3">
            <w:pPr>
              <w:rPr>
                <w:lang w:val="en-GB"/>
              </w:rPr>
            </w:pPr>
          </w:p>
        </w:tc>
        <w:tc>
          <w:tcPr>
            <w:tcW w:w="2677" w:type="dxa"/>
          </w:tcPr>
          <w:p w:rsidR="007D55AD" w:rsidRPr="0012779E" w:rsidRDefault="0012779E" w:rsidP="000533A9">
            <w:pPr>
              <w:rPr>
                <w:lang w:val="es-ES"/>
              </w:rPr>
            </w:pPr>
            <w:r w:rsidRPr="0012779E">
              <w:rPr>
                <w:lang w:val="es-ES"/>
              </w:rPr>
              <w:t>Aprobar el programa de c</w:t>
            </w:r>
            <w:r>
              <w:rPr>
                <w:lang w:val="es-ES"/>
              </w:rPr>
              <w:t>ompromiso</w:t>
            </w:r>
          </w:p>
        </w:tc>
        <w:tc>
          <w:tcPr>
            <w:tcW w:w="2139" w:type="dxa"/>
            <w:vMerge/>
          </w:tcPr>
          <w:p w:rsidR="007D55AD" w:rsidRPr="0012779E" w:rsidRDefault="007D55AD" w:rsidP="00F36DD3">
            <w:pPr>
              <w:rPr>
                <w:lang w:val="es-ES"/>
              </w:rPr>
            </w:pPr>
          </w:p>
        </w:tc>
        <w:tc>
          <w:tcPr>
            <w:tcW w:w="2303" w:type="dxa"/>
            <w:vMerge/>
          </w:tcPr>
          <w:p w:rsidR="007D55AD" w:rsidRPr="0012779E" w:rsidRDefault="007D55AD" w:rsidP="00F36DD3">
            <w:pPr>
              <w:rPr>
                <w:lang w:val="es-ES"/>
              </w:rPr>
            </w:pPr>
          </w:p>
        </w:tc>
        <w:tc>
          <w:tcPr>
            <w:tcW w:w="4504" w:type="dxa"/>
          </w:tcPr>
          <w:p w:rsidR="007D55AD" w:rsidRDefault="0012779E" w:rsidP="00F36DD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Acontecimiento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mediático</w:t>
            </w:r>
            <w:proofErr w:type="spellEnd"/>
          </w:p>
        </w:tc>
      </w:tr>
    </w:tbl>
    <w:p w:rsidR="00F36DD3" w:rsidRDefault="00F36DD3" w:rsidP="00F36DD3">
      <w:pPr>
        <w:rPr>
          <w:lang w:val="en-GB"/>
        </w:rPr>
      </w:pPr>
    </w:p>
    <w:p w:rsidR="00B76939" w:rsidRDefault="00B76939" w:rsidP="00F36DD3">
      <w:pPr>
        <w:rPr>
          <w:lang w:val="en-GB"/>
        </w:rPr>
      </w:pPr>
    </w:p>
    <w:p w:rsidR="00B76939" w:rsidRDefault="00B76939" w:rsidP="00F36DD3">
      <w:pPr>
        <w:rPr>
          <w:lang w:val="en-GB"/>
        </w:rPr>
      </w:pPr>
    </w:p>
    <w:p w:rsidR="00B76939" w:rsidRDefault="00B76939" w:rsidP="00F36DD3">
      <w:pPr>
        <w:rPr>
          <w:lang w:val="en-GB"/>
        </w:rPr>
        <w:sectPr w:rsidR="00B76939" w:rsidSect="00B769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6939" w:rsidRDefault="00B76939" w:rsidP="00F36DD3">
      <w:pPr>
        <w:rPr>
          <w:lang w:val="en-GB"/>
        </w:rPr>
      </w:pPr>
      <w:r>
        <w:rPr>
          <w:lang w:val="en-GB"/>
        </w:rPr>
        <w:lastRenderedPageBreak/>
        <w:t xml:space="preserve">Annex 1 TOR Evidence research </w:t>
      </w:r>
    </w:p>
    <w:p w:rsidR="00366864" w:rsidRPr="00351DE0" w:rsidRDefault="00366864" w:rsidP="00366864">
      <w:pPr>
        <w:spacing w:after="120"/>
        <w:jc w:val="both"/>
        <w:rPr>
          <w:b/>
          <w:spacing w:val="-4"/>
          <w:sz w:val="24"/>
          <w:u w:val="single"/>
          <w:lang w:val="es-ES"/>
        </w:rPr>
      </w:pPr>
      <w:r w:rsidRPr="00351DE0">
        <w:rPr>
          <w:b/>
          <w:spacing w:val="-4"/>
          <w:sz w:val="24"/>
          <w:u w:val="single"/>
          <w:lang w:val="es-ES"/>
        </w:rPr>
        <w:t xml:space="preserve">LA PERTINENCIA DEL DIÁLOGO SOCIAL PARA </w:t>
      </w:r>
      <w:r>
        <w:rPr>
          <w:b/>
          <w:spacing w:val="-4"/>
          <w:sz w:val="24"/>
          <w:u w:val="single"/>
          <w:lang w:val="es-ES"/>
        </w:rPr>
        <w:t>LA</w:t>
      </w:r>
      <w:r w:rsidRPr="00351DE0">
        <w:rPr>
          <w:b/>
          <w:spacing w:val="-4"/>
          <w:sz w:val="24"/>
          <w:u w:val="single"/>
          <w:lang w:val="es-ES"/>
        </w:rPr>
        <w:t xml:space="preserve"> </w:t>
      </w:r>
      <w:r>
        <w:rPr>
          <w:b/>
          <w:spacing w:val="-4"/>
          <w:sz w:val="24"/>
          <w:u w:val="single"/>
          <w:lang w:val="es-ES"/>
        </w:rPr>
        <w:t>AGENDA DE</w:t>
      </w:r>
      <w:r w:rsidRPr="00351DE0">
        <w:rPr>
          <w:b/>
          <w:spacing w:val="-4"/>
          <w:sz w:val="24"/>
          <w:u w:val="single"/>
          <w:lang w:val="es-ES"/>
        </w:rPr>
        <w:t xml:space="preserve"> DESARROLLO </w:t>
      </w:r>
    </w:p>
    <w:p w:rsidR="00366864" w:rsidRPr="00B9445B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>
        <w:rPr>
          <w:lang w:val="es-ES"/>
        </w:rPr>
        <w:t>La</w:t>
      </w:r>
      <w:r w:rsidRPr="00B9445B">
        <w:rPr>
          <w:lang w:val="es-ES"/>
        </w:rPr>
        <w:t xml:space="preserve"> </w:t>
      </w:r>
      <w:r>
        <w:rPr>
          <w:b/>
          <w:lang w:val="es-ES"/>
        </w:rPr>
        <w:t xml:space="preserve">agenda de </w:t>
      </w:r>
      <w:r w:rsidRPr="00B9445B">
        <w:rPr>
          <w:b/>
          <w:lang w:val="es-ES"/>
        </w:rPr>
        <w:t>gobernanza y la apropiación democrática</w:t>
      </w:r>
    </w:p>
    <w:p w:rsidR="00366864" w:rsidRPr="00582D62" w:rsidRDefault="00366864" w:rsidP="00366864">
      <w:pPr>
        <w:pStyle w:val="ListParagraph"/>
        <w:ind w:left="360"/>
        <w:rPr>
          <w:i/>
          <w:lang w:val="es-ES"/>
        </w:rPr>
      </w:pPr>
      <w:r w:rsidRPr="00B9445B">
        <w:rPr>
          <w:i/>
          <w:lang w:val="es-ES"/>
        </w:rPr>
        <w:t xml:space="preserve">La OIT destaca la importancia de los instrumentos de “gobernanza” </w:t>
      </w:r>
      <w:r>
        <w:rPr>
          <w:i/>
          <w:lang w:val="es-ES"/>
        </w:rPr>
        <w:t>a la hora de aplicar políticas económicas y sociales (de desarrollo)</w:t>
      </w:r>
      <w:r>
        <w:rPr>
          <w:rStyle w:val="FootnoteReference"/>
          <w:i/>
          <w:lang w:val="en-GB"/>
        </w:rPr>
        <w:footnoteReference w:id="1"/>
      </w:r>
      <w:r w:rsidRPr="00B9445B">
        <w:rPr>
          <w:i/>
          <w:lang w:val="es-ES"/>
        </w:rPr>
        <w:t xml:space="preserve">.  El </w:t>
      </w:r>
      <w:r>
        <w:rPr>
          <w:i/>
          <w:lang w:val="es-ES"/>
        </w:rPr>
        <w:t>d</w:t>
      </w:r>
      <w:r w:rsidRPr="00B9445B">
        <w:rPr>
          <w:i/>
          <w:lang w:val="es-ES"/>
        </w:rPr>
        <w:t xml:space="preserve">iálogo </w:t>
      </w:r>
      <w:r>
        <w:rPr>
          <w:i/>
          <w:lang w:val="es-ES"/>
        </w:rPr>
        <w:t>s</w:t>
      </w:r>
      <w:r w:rsidRPr="00B9445B">
        <w:rPr>
          <w:i/>
          <w:lang w:val="es-ES"/>
        </w:rPr>
        <w:t xml:space="preserve">ocial es uno de los tres instrumentos clave (junto con la </w:t>
      </w:r>
      <w:r>
        <w:rPr>
          <w:i/>
          <w:lang w:val="es-ES"/>
        </w:rPr>
        <w:t>inspección de trabajo y la política económica</w:t>
      </w:r>
      <w:r w:rsidRPr="00B9445B">
        <w:rPr>
          <w:i/>
          <w:lang w:val="es-ES"/>
        </w:rPr>
        <w:t xml:space="preserve">). En los debates sobre políticas </w:t>
      </w:r>
      <w:r>
        <w:rPr>
          <w:i/>
          <w:lang w:val="es-ES"/>
        </w:rPr>
        <w:t>de</w:t>
      </w:r>
      <w:r w:rsidRPr="00B9445B">
        <w:rPr>
          <w:i/>
          <w:lang w:val="es-ES"/>
        </w:rPr>
        <w:t xml:space="preserve"> desarrollo</w:t>
      </w:r>
      <w:r>
        <w:rPr>
          <w:i/>
          <w:lang w:val="es-ES"/>
        </w:rPr>
        <w:t>,</w:t>
      </w:r>
      <w:r w:rsidRPr="00B9445B">
        <w:rPr>
          <w:i/>
          <w:lang w:val="es-ES"/>
        </w:rPr>
        <w:t xml:space="preserve"> a menudo se limita la gobernanza a cuestiones tradicionales de “gobierno”</w:t>
      </w:r>
      <w:r>
        <w:rPr>
          <w:i/>
          <w:lang w:val="es-ES"/>
        </w:rPr>
        <w:t>, como el Estado de derecho, elecciones y democracia formal, supervisión presupuestaria, anticorrupción o derechos políticos</w:t>
      </w:r>
      <w:r w:rsidRPr="00B9445B">
        <w:rPr>
          <w:i/>
          <w:lang w:val="es-ES"/>
        </w:rPr>
        <w:t xml:space="preserve">. </w:t>
      </w:r>
      <w:r>
        <w:rPr>
          <w:i/>
          <w:lang w:val="es-ES"/>
        </w:rPr>
        <w:t>Sin embargo, p</w:t>
      </w:r>
      <w:r w:rsidRPr="00582D62">
        <w:rPr>
          <w:i/>
          <w:lang w:val="es-ES"/>
        </w:rPr>
        <w:t>ara ser sostenibles, las estrategias de desarrollo también deberían abordar la gobernanza social y econ</w:t>
      </w:r>
      <w:r>
        <w:rPr>
          <w:i/>
          <w:lang w:val="es-ES"/>
        </w:rPr>
        <w:t xml:space="preserve">ómica. </w:t>
      </w:r>
      <w:r w:rsidRPr="00582D62">
        <w:rPr>
          <w:i/>
          <w:lang w:val="es-ES"/>
        </w:rPr>
        <w:t>Las políticas de desarrollo deberían basarse en una</w:t>
      </w:r>
      <w:r>
        <w:rPr>
          <w:i/>
          <w:lang w:val="es-ES"/>
        </w:rPr>
        <w:t xml:space="preserve"> verdadera</w:t>
      </w:r>
      <w:r w:rsidRPr="00582D62">
        <w:rPr>
          <w:i/>
          <w:lang w:val="es-ES"/>
        </w:rPr>
        <w:t xml:space="preserve"> aprop</w:t>
      </w:r>
      <w:r>
        <w:rPr>
          <w:i/>
          <w:lang w:val="es-ES"/>
        </w:rPr>
        <w:t>iación democrática</w:t>
      </w:r>
      <w:r w:rsidRPr="00582D62">
        <w:rPr>
          <w:i/>
          <w:lang w:val="es-ES"/>
        </w:rPr>
        <w:t xml:space="preserve"> (</w:t>
      </w:r>
      <w:r>
        <w:rPr>
          <w:i/>
          <w:lang w:val="es-ES"/>
        </w:rPr>
        <w:t>Declaración de Parí</w:t>
      </w:r>
      <w:r w:rsidRPr="00582D62">
        <w:rPr>
          <w:i/>
          <w:lang w:val="es-ES"/>
        </w:rPr>
        <w:t xml:space="preserve">s, Accra, Busan). </w:t>
      </w:r>
      <w:r>
        <w:rPr>
          <w:i/>
          <w:lang w:val="es-ES"/>
        </w:rPr>
        <w:t>Para ello todos los actores económicos y sociales (“interlocutores sociales”) deberían estar incluidos</w:t>
      </w:r>
      <w:r w:rsidRPr="00582D62">
        <w:rPr>
          <w:i/>
          <w:lang w:val="es-ES"/>
        </w:rPr>
        <w:t xml:space="preserve">. </w:t>
      </w:r>
      <w:r>
        <w:rPr>
          <w:i/>
          <w:lang w:val="es-ES"/>
        </w:rPr>
        <w:t>El d</w:t>
      </w:r>
      <w:r w:rsidRPr="00582D62">
        <w:rPr>
          <w:i/>
          <w:lang w:val="es-ES"/>
        </w:rPr>
        <w:t xml:space="preserve">iálogo </w:t>
      </w:r>
      <w:r>
        <w:rPr>
          <w:i/>
          <w:lang w:val="es-ES"/>
        </w:rPr>
        <w:t>s</w:t>
      </w:r>
      <w:r w:rsidRPr="00582D62">
        <w:rPr>
          <w:i/>
          <w:lang w:val="es-ES"/>
        </w:rPr>
        <w:t xml:space="preserve">ocial es uno de los instrumentos más </w:t>
      </w:r>
      <w:r>
        <w:rPr>
          <w:i/>
          <w:lang w:val="es-ES"/>
        </w:rPr>
        <w:t>poderosos</w:t>
      </w:r>
      <w:r w:rsidRPr="00582D62">
        <w:rPr>
          <w:i/>
          <w:lang w:val="es-ES"/>
        </w:rPr>
        <w:t xml:space="preserve"> para garantizar la apropiación del desarrollo econ</w:t>
      </w:r>
      <w:r>
        <w:rPr>
          <w:i/>
          <w:lang w:val="es-ES"/>
        </w:rPr>
        <w:t>ómico y</w:t>
      </w:r>
      <w:r w:rsidRPr="00582D62">
        <w:rPr>
          <w:i/>
          <w:lang w:val="es-ES"/>
        </w:rPr>
        <w:t xml:space="preserve"> social </w:t>
      </w:r>
      <w:r>
        <w:rPr>
          <w:i/>
          <w:lang w:val="es-ES"/>
        </w:rPr>
        <w:t>por parte de los propios actores económicos y sociales.</w:t>
      </w:r>
      <w:r w:rsidRPr="00582D62">
        <w:rPr>
          <w:i/>
          <w:lang w:val="es-ES"/>
        </w:rPr>
        <w:t xml:space="preserve"> </w:t>
      </w:r>
    </w:p>
    <w:p w:rsidR="00366864" w:rsidRPr="001C7F0B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>
        <w:rPr>
          <w:b/>
          <w:lang w:val="es-ES"/>
        </w:rPr>
        <w:t>La</w:t>
      </w:r>
      <w:r w:rsidRPr="001C7F0B">
        <w:rPr>
          <w:b/>
          <w:lang w:val="es-ES"/>
        </w:rPr>
        <w:t xml:space="preserve"> “</w:t>
      </w:r>
      <w:r>
        <w:rPr>
          <w:b/>
          <w:lang w:val="es-ES"/>
        </w:rPr>
        <w:t>agenda</w:t>
      </w:r>
      <w:r w:rsidRPr="001C7F0B">
        <w:rPr>
          <w:b/>
          <w:lang w:val="es-ES"/>
        </w:rPr>
        <w:t xml:space="preserve"> de crecimiento”: consolidar las pol</w:t>
      </w:r>
      <w:r>
        <w:rPr>
          <w:b/>
          <w:lang w:val="es-ES"/>
        </w:rPr>
        <w:t>íticas sociales, económicas y relativas al mercado de trabajo</w:t>
      </w:r>
      <w:r w:rsidRPr="001C7F0B">
        <w:rPr>
          <w:lang w:val="es-ES"/>
        </w:rPr>
        <w:t xml:space="preserve">: </w:t>
      </w:r>
    </w:p>
    <w:p w:rsidR="00366864" w:rsidRPr="000F71CE" w:rsidRDefault="00366864" w:rsidP="00366864">
      <w:pPr>
        <w:rPr>
          <w:i/>
          <w:lang w:val="es-ES"/>
        </w:rPr>
      </w:pPr>
      <w:r w:rsidRPr="001C7F0B">
        <w:rPr>
          <w:i/>
          <w:lang w:val="es-ES"/>
        </w:rPr>
        <w:t xml:space="preserve">Con el énfasis actual en el sector “privado”, la gobernanza económica se ve como una “mano invisible” o, en el mejor de los casos, </w:t>
      </w:r>
      <w:r>
        <w:rPr>
          <w:i/>
          <w:lang w:val="es-ES"/>
        </w:rPr>
        <w:t>una cuestión de autorregulación del propio sector privado</w:t>
      </w:r>
      <w:r w:rsidRPr="001C7F0B">
        <w:rPr>
          <w:i/>
          <w:lang w:val="es-ES"/>
        </w:rPr>
        <w:t xml:space="preserve">. </w:t>
      </w:r>
      <w:r w:rsidRPr="00D25972">
        <w:rPr>
          <w:i/>
          <w:lang w:val="es-ES"/>
        </w:rPr>
        <w:t>Como se reconoce en la declaración de Busan (art</w:t>
      </w:r>
      <w:r>
        <w:rPr>
          <w:i/>
          <w:lang w:val="es-ES"/>
        </w:rPr>
        <w:t>ículo</w:t>
      </w:r>
      <w:r w:rsidRPr="00D25972">
        <w:rPr>
          <w:i/>
          <w:lang w:val="es-ES"/>
        </w:rPr>
        <w:t xml:space="preserve"> 32 a) </w:t>
      </w:r>
      <w:proofErr w:type="spellStart"/>
      <w:r w:rsidRPr="00D25972">
        <w:rPr>
          <w:i/>
          <w:lang w:val="es-ES"/>
        </w:rPr>
        <w:t>ff</w:t>
      </w:r>
      <w:proofErr w:type="spellEnd"/>
      <w:r w:rsidRPr="00D25972">
        <w:rPr>
          <w:i/>
          <w:lang w:val="es-ES"/>
        </w:rPr>
        <w:t>), el proceso tiene un programa “</w:t>
      </w:r>
      <w:r>
        <w:rPr>
          <w:i/>
          <w:lang w:val="es-ES"/>
        </w:rPr>
        <w:t>propiciador</w:t>
      </w:r>
      <w:r w:rsidRPr="00D25972">
        <w:rPr>
          <w:i/>
          <w:lang w:val="es-ES"/>
        </w:rPr>
        <w:t>” importante</w:t>
      </w:r>
      <w:r>
        <w:rPr>
          <w:rStyle w:val="FootnoteReference"/>
          <w:i/>
          <w:lang w:val="en-GB"/>
        </w:rPr>
        <w:footnoteReference w:id="2"/>
      </w:r>
      <w:r w:rsidRPr="00D25972">
        <w:rPr>
          <w:i/>
          <w:lang w:val="es-ES"/>
        </w:rPr>
        <w:t xml:space="preserve"> que es examinar las condiciones para un desarrollo econ</w:t>
      </w:r>
      <w:r>
        <w:rPr>
          <w:i/>
          <w:lang w:val="es-ES"/>
        </w:rPr>
        <w:t>ómico y social a través de un enfoque con múltiples partes interesadas</w:t>
      </w:r>
      <w:r w:rsidRPr="00D25972">
        <w:rPr>
          <w:i/>
          <w:lang w:val="es-ES"/>
        </w:rPr>
        <w:t>. Los mercados de trabajo que funcionan bien y las políticas económicas y sociales progresistas requieren, como se ha demostrado en muchos casos, un marco de gobernanza con m</w:t>
      </w:r>
      <w:r>
        <w:rPr>
          <w:i/>
          <w:lang w:val="es-ES"/>
        </w:rPr>
        <w:t>últiples partes interesadas basado en la participación de los interlocutores sociales</w:t>
      </w:r>
      <w:r w:rsidRPr="00D25972">
        <w:rPr>
          <w:i/>
          <w:lang w:val="es-ES"/>
        </w:rPr>
        <w:t xml:space="preserve">.  </w:t>
      </w:r>
      <w:proofErr w:type="spellStart"/>
      <w:r w:rsidRPr="000F71CE">
        <w:rPr>
          <w:i/>
        </w:rPr>
        <w:t>Este</w:t>
      </w:r>
      <w:proofErr w:type="spellEnd"/>
      <w:r w:rsidRPr="000F71CE">
        <w:rPr>
          <w:i/>
        </w:rPr>
        <w:t xml:space="preserve"> </w:t>
      </w:r>
      <w:proofErr w:type="spellStart"/>
      <w:r w:rsidRPr="000F71CE">
        <w:rPr>
          <w:i/>
        </w:rPr>
        <w:t>es</w:t>
      </w:r>
      <w:r>
        <w:rPr>
          <w:i/>
        </w:rPr>
        <w:t>tá</w:t>
      </w:r>
      <w:proofErr w:type="spellEnd"/>
      <w:r w:rsidRPr="000F71CE">
        <w:rPr>
          <w:i/>
          <w:lang w:val="es-ES"/>
        </w:rPr>
        <w:t xml:space="preserve"> </w:t>
      </w:r>
      <w:proofErr w:type="spellStart"/>
      <w:r w:rsidRPr="000F71CE">
        <w:rPr>
          <w:i/>
        </w:rPr>
        <w:t>actualmente</w:t>
      </w:r>
      <w:proofErr w:type="spellEnd"/>
      <w:r w:rsidRPr="000F71CE">
        <w:rPr>
          <w:i/>
        </w:rPr>
        <w:t xml:space="preserve"> </w:t>
      </w:r>
      <w:proofErr w:type="spellStart"/>
      <w:r w:rsidRPr="000F71CE">
        <w:rPr>
          <w:i/>
        </w:rPr>
        <w:t>ausente</w:t>
      </w:r>
      <w:proofErr w:type="spellEnd"/>
      <w:r w:rsidRPr="000F71CE">
        <w:rPr>
          <w:i/>
          <w:lang w:val="es-ES"/>
        </w:rPr>
        <w:t xml:space="preserve"> </w:t>
      </w:r>
      <w:r w:rsidRPr="000F71CE">
        <w:rPr>
          <w:i/>
        </w:rPr>
        <w:t>en</w:t>
      </w:r>
      <w:r w:rsidRPr="000F71CE">
        <w:rPr>
          <w:i/>
          <w:lang w:val="es-ES"/>
        </w:rPr>
        <w:t xml:space="preserve"> </w:t>
      </w:r>
      <w:r w:rsidRPr="000F71CE">
        <w:rPr>
          <w:i/>
        </w:rPr>
        <w:t>las</w:t>
      </w:r>
      <w:r w:rsidRPr="000F71CE">
        <w:rPr>
          <w:i/>
          <w:lang w:val="es-ES"/>
        </w:rPr>
        <w:t xml:space="preserve"> </w:t>
      </w:r>
      <w:proofErr w:type="spellStart"/>
      <w:r w:rsidRPr="000F71CE">
        <w:rPr>
          <w:i/>
        </w:rPr>
        <w:t>política</w:t>
      </w:r>
      <w:r>
        <w:rPr>
          <w:i/>
        </w:rPr>
        <w:t>s</w:t>
      </w:r>
      <w:proofErr w:type="spellEnd"/>
      <w:r w:rsidRPr="000F71CE">
        <w:rPr>
          <w:i/>
        </w:rPr>
        <w:t xml:space="preserve"> de </w:t>
      </w:r>
      <w:proofErr w:type="spellStart"/>
      <w:r w:rsidRPr="000F71CE">
        <w:rPr>
          <w:i/>
        </w:rPr>
        <w:t>desarrollo</w:t>
      </w:r>
      <w:proofErr w:type="spellEnd"/>
      <w:r w:rsidRPr="000F71CE">
        <w:rPr>
          <w:i/>
          <w:lang w:val="es-ES"/>
        </w:rPr>
        <w:t xml:space="preserve"> </w:t>
      </w:r>
      <w:proofErr w:type="spellStart"/>
      <w:r w:rsidRPr="000F71CE">
        <w:rPr>
          <w:i/>
        </w:rPr>
        <w:t>gubernamentales</w:t>
      </w:r>
      <w:proofErr w:type="spellEnd"/>
      <w:r w:rsidRPr="000F71CE">
        <w:rPr>
          <w:i/>
        </w:rPr>
        <w:t>.</w:t>
      </w:r>
    </w:p>
    <w:p w:rsidR="00366864" w:rsidRPr="008D5EDF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 w:rsidRPr="008D5EDF">
        <w:rPr>
          <w:b/>
          <w:lang w:val="es-ES"/>
        </w:rPr>
        <w:t>Impulsar la democracia y la creación de instituciones en las empresas y la sociedad</w:t>
      </w:r>
      <w:r w:rsidRPr="008D5EDF">
        <w:rPr>
          <w:lang w:val="es-ES"/>
        </w:rPr>
        <w:t xml:space="preserve">.  </w:t>
      </w:r>
    </w:p>
    <w:p w:rsidR="00366864" w:rsidRPr="00070012" w:rsidRDefault="00366864" w:rsidP="00366864">
      <w:pPr>
        <w:pStyle w:val="ListParagraph"/>
        <w:ind w:left="360"/>
        <w:rPr>
          <w:i/>
        </w:rPr>
      </w:pPr>
      <w:r w:rsidRPr="008D5EDF">
        <w:rPr>
          <w:i/>
          <w:lang w:val="es-ES"/>
        </w:rPr>
        <w:t>El diálogo social requiere</w:t>
      </w:r>
      <w:r>
        <w:rPr>
          <w:i/>
          <w:lang w:val="es-ES"/>
        </w:rPr>
        <w:t xml:space="preserve"> de</w:t>
      </w:r>
      <w:r w:rsidRPr="008D5EDF">
        <w:rPr>
          <w:i/>
          <w:lang w:val="es-ES"/>
        </w:rPr>
        <w:t xml:space="preserve"> “organismos</w:t>
      </w:r>
      <w:r>
        <w:rPr>
          <w:i/>
          <w:lang w:val="es-ES"/>
        </w:rPr>
        <w:t xml:space="preserve"> adecuados</w:t>
      </w:r>
      <w:r w:rsidRPr="008D5EDF">
        <w:rPr>
          <w:i/>
          <w:lang w:val="es-ES"/>
        </w:rPr>
        <w:t>” como se afirma en el Convenio núm. 98 de la OIT</w:t>
      </w:r>
      <w:r w:rsidRPr="00782022">
        <w:rPr>
          <w:rStyle w:val="FootnoteReference"/>
          <w:i/>
          <w:lang w:val="en-GB"/>
        </w:rPr>
        <w:footnoteReference w:id="3"/>
      </w:r>
      <w:r w:rsidRPr="008D5EDF">
        <w:rPr>
          <w:i/>
          <w:lang w:val="es-ES"/>
        </w:rPr>
        <w:t xml:space="preserve">; en muchos países no existe un marco institucional para impulsar y permitir el </w:t>
      </w:r>
      <w:r w:rsidRPr="008D5EDF">
        <w:rPr>
          <w:i/>
          <w:lang w:val="es-ES"/>
        </w:rPr>
        <w:lastRenderedPageBreak/>
        <w:t>desarrollo del di</w:t>
      </w:r>
      <w:r>
        <w:rPr>
          <w:i/>
          <w:lang w:val="es-ES"/>
        </w:rPr>
        <w:t>álogo social y para que los interlocutores sociales participen eficaz y eficientemente</w:t>
      </w:r>
      <w:r w:rsidRPr="008D5EDF">
        <w:rPr>
          <w:i/>
          <w:lang w:val="es-ES"/>
        </w:rPr>
        <w:t>.</w:t>
      </w:r>
      <w:r>
        <w:rPr>
          <w:i/>
          <w:lang w:val="es-ES"/>
        </w:rPr>
        <w:t xml:space="preserve"> </w:t>
      </w:r>
      <w:r w:rsidRPr="008D5EDF">
        <w:rPr>
          <w:i/>
          <w:lang w:val="es-ES"/>
        </w:rPr>
        <w:t>El diálogo social institucionalizado es un instrumento importante para la prevención y soluci</w:t>
      </w:r>
      <w:r>
        <w:rPr>
          <w:i/>
          <w:lang w:val="es-ES"/>
        </w:rPr>
        <w:t>ón de conflictos y un</w:t>
      </w:r>
      <w:r w:rsidRPr="008D5EDF">
        <w:rPr>
          <w:i/>
          <w:lang w:val="es-ES"/>
        </w:rPr>
        <w:t xml:space="preserve"> factor </w:t>
      </w:r>
      <w:r>
        <w:rPr>
          <w:i/>
          <w:lang w:val="es-ES"/>
        </w:rPr>
        <w:t>de resiliencia económica y social</w:t>
      </w:r>
      <w:r w:rsidRPr="008D5EDF">
        <w:rPr>
          <w:i/>
          <w:lang w:val="es-ES"/>
        </w:rPr>
        <w:t xml:space="preserve"> </w:t>
      </w:r>
      <w:r>
        <w:rPr>
          <w:i/>
          <w:lang w:val="es-ES"/>
        </w:rPr>
        <w:t xml:space="preserve">a pequeña/micro </w:t>
      </w:r>
      <w:r w:rsidRPr="008D5EDF">
        <w:rPr>
          <w:i/>
          <w:lang w:val="es-ES"/>
        </w:rPr>
        <w:t>(e</w:t>
      </w:r>
      <w:r>
        <w:rPr>
          <w:i/>
          <w:lang w:val="es-ES"/>
        </w:rPr>
        <w:t>mpresa</w:t>
      </w:r>
      <w:r w:rsidRPr="008D5EDF">
        <w:rPr>
          <w:i/>
          <w:lang w:val="es-ES"/>
        </w:rPr>
        <w:t xml:space="preserve">) </w:t>
      </w:r>
      <w:r>
        <w:rPr>
          <w:i/>
          <w:lang w:val="es-ES"/>
        </w:rPr>
        <w:t>y gran/macro</w:t>
      </w:r>
      <w:r w:rsidRPr="008D5EDF">
        <w:rPr>
          <w:i/>
          <w:lang w:val="es-ES"/>
        </w:rPr>
        <w:t xml:space="preserve"> (</w:t>
      </w:r>
      <w:r>
        <w:rPr>
          <w:i/>
          <w:lang w:val="es-ES"/>
        </w:rPr>
        <w:t>gobernanza económica y social nacional</w:t>
      </w:r>
      <w:r w:rsidRPr="008D5EDF">
        <w:rPr>
          <w:i/>
          <w:lang w:val="es-ES"/>
        </w:rPr>
        <w:t xml:space="preserve">) </w:t>
      </w:r>
      <w:r>
        <w:rPr>
          <w:i/>
          <w:lang w:val="es-ES"/>
        </w:rPr>
        <w:t>escala</w:t>
      </w:r>
      <w:r w:rsidRPr="008D5EDF">
        <w:rPr>
          <w:i/>
          <w:lang w:val="es-ES"/>
        </w:rPr>
        <w:t xml:space="preserve">. </w:t>
      </w:r>
      <w:r w:rsidRPr="00070012">
        <w:rPr>
          <w:i/>
        </w:rPr>
        <w:t xml:space="preserve">El </w:t>
      </w:r>
      <w:proofErr w:type="spellStart"/>
      <w:r w:rsidRPr="00070012">
        <w:rPr>
          <w:i/>
        </w:rPr>
        <w:t>diálogo</w:t>
      </w:r>
      <w:proofErr w:type="spellEnd"/>
      <w:r w:rsidRPr="00070012">
        <w:rPr>
          <w:i/>
        </w:rPr>
        <w:t xml:space="preserve"> </w:t>
      </w:r>
      <w:proofErr w:type="spellStart"/>
      <w:r w:rsidRPr="00070012">
        <w:rPr>
          <w:i/>
        </w:rPr>
        <w:t>social</w:t>
      </w:r>
      <w:proofErr w:type="spellEnd"/>
      <w:r w:rsidRPr="00070012">
        <w:rPr>
          <w:i/>
        </w:rPr>
        <w:t xml:space="preserve"> </w:t>
      </w:r>
      <w:proofErr w:type="spellStart"/>
      <w:r w:rsidRPr="00070012">
        <w:rPr>
          <w:i/>
        </w:rPr>
        <w:t>eficaz</w:t>
      </w:r>
      <w:proofErr w:type="spellEnd"/>
      <w:r w:rsidRPr="00070012">
        <w:rPr>
          <w:i/>
          <w:lang w:val="es-ES"/>
        </w:rPr>
        <w:t xml:space="preserve"> </w:t>
      </w:r>
      <w:r w:rsidRPr="00070012">
        <w:rPr>
          <w:i/>
        </w:rPr>
        <w:t xml:space="preserve">se </w:t>
      </w:r>
      <w:proofErr w:type="spellStart"/>
      <w:r w:rsidRPr="00070012">
        <w:rPr>
          <w:i/>
        </w:rPr>
        <w:t>basa</w:t>
      </w:r>
      <w:proofErr w:type="spellEnd"/>
      <w:r w:rsidRPr="00070012">
        <w:rPr>
          <w:i/>
        </w:rPr>
        <w:t xml:space="preserve"> en</w:t>
      </w:r>
      <w:r w:rsidRPr="00070012">
        <w:rPr>
          <w:i/>
          <w:lang w:val="es-ES"/>
        </w:rPr>
        <w:t xml:space="preserve"> </w:t>
      </w:r>
      <w:proofErr w:type="spellStart"/>
      <w:r w:rsidRPr="00070012">
        <w:rPr>
          <w:i/>
        </w:rPr>
        <w:t>unos</w:t>
      </w:r>
      <w:proofErr w:type="spellEnd"/>
      <w:r w:rsidRPr="00070012">
        <w:rPr>
          <w:i/>
        </w:rPr>
        <w:t xml:space="preserve"> </w:t>
      </w:r>
      <w:proofErr w:type="spellStart"/>
      <w:r w:rsidRPr="00070012">
        <w:rPr>
          <w:i/>
        </w:rPr>
        <w:t>interlocutores</w:t>
      </w:r>
      <w:proofErr w:type="spellEnd"/>
      <w:r w:rsidRPr="00070012">
        <w:rPr>
          <w:i/>
        </w:rPr>
        <w:t xml:space="preserve"> </w:t>
      </w:r>
      <w:proofErr w:type="spellStart"/>
      <w:r w:rsidRPr="00070012">
        <w:rPr>
          <w:i/>
        </w:rPr>
        <w:t>sociales</w:t>
      </w:r>
      <w:proofErr w:type="spellEnd"/>
      <w:r w:rsidRPr="00070012">
        <w:rPr>
          <w:i/>
        </w:rPr>
        <w:t xml:space="preserve"> </w:t>
      </w:r>
      <w:proofErr w:type="spellStart"/>
      <w:r w:rsidRPr="00070012">
        <w:rPr>
          <w:i/>
        </w:rPr>
        <w:t>sólidos</w:t>
      </w:r>
      <w:proofErr w:type="spellEnd"/>
      <w:r w:rsidRPr="00070012">
        <w:rPr>
          <w:i/>
          <w:lang w:val="es-ES"/>
        </w:rPr>
        <w:t xml:space="preserve"> </w:t>
      </w:r>
      <w:r w:rsidRPr="00070012">
        <w:rPr>
          <w:i/>
        </w:rPr>
        <w:t xml:space="preserve">y </w:t>
      </w:r>
      <w:proofErr w:type="spellStart"/>
      <w:r w:rsidRPr="00070012">
        <w:rPr>
          <w:i/>
        </w:rPr>
        <w:t>representativos</w:t>
      </w:r>
      <w:proofErr w:type="spellEnd"/>
      <w:r w:rsidRPr="00070012">
        <w:rPr>
          <w:i/>
        </w:rPr>
        <w:t>; en</w:t>
      </w:r>
      <w:r w:rsidRPr="00070012">
        <w:rPr>
          <w:i/>
          <w:lang w:val="es-ES"/>
        </w:rPr>
        <w:t xml:space="preserve"> la libertad de </w:t>
      </w:r>
      <w:proofErr w:type="spellStart"/>
      <w:r w:rsidRPr="00070012">
        <w:rPr>
          <w:i/>
        </w:rPr>
        <w:t>asociación</w:t>
      </w:r>
      <w:proofErr w:type="spellEnd"/>
      <w:r w:rsidRPr="00070012">
        <w:rPr>
          <w:i/>
        </w:rPr>
        <w:t xml:space="preserve"> y</w:t>
      </w:r>
      <w:r w:rsidRPr="00070012">
        <w:rPr>
          <w:i/>
          <w:lang w:val="es-ES"/>
        </w:rPr>
        <w:t xml:space="preserve"> </w:t>
      </w:r>
      <w:proofErr w:type="gramStart"/>
      <w:r w:rsidRPr="00070012">
        <w:rPr>
          <w:i/>
        </w:rPr>
        <w:t>de</w:t>
      </w:r>
      <w:proofErr w:type="gramEnd"/>
      <w:r w:rsidRPr="00070012">
        <w:rPr>
          <w:i/>
        </w:rPr>
        <w:t xml:space="preserve"> </w:t>
      </w:r>
      <w:proofErr w:type="spellStart"/>
      <w:r w:rsidRPr="00070012">
        <w:rPr>
          <w:i/>
        </w:rPr>
        <w:t>negociación</w:t>
      </w:r>
      <w:proofErr w:type="spellEnd"/>
      <w:r w:rsidRPr="00070012">
        <w:rPr>
          <w:i/>
        </w:rPr>
        <w:t xml:space="preserve"> </w:t>
      </w:r>
      <w:proofErr w:type="spellStart"/>
      <w:r w:rsidRPr="00070012">
        <w:rPr>
          <w:i/>
        </w:rPr>
        <w:t>colectiva</w:t>
      </w:r>
      <w:proofErr w:type="spellEnd"/>
      <w:r w:rsidRPr="00070012">
        <w:rPr>
          <w:i/>
        </w:rPr>
        <w:t xml:space="preserve"> tal </w:t>
      </w:r>
      <w:proofErr w:type="spellStart"/>
      <w:r w:rsidRPr="00070012">
        <w:rPr>
          <w:i/>
        </w:rPr>
        <w:t>como</w:t>
      </w:r>
      <w:proofErr w:type="spellEnd"/>
      <w:r w:rsidRPr="00070012">
        <w:rPr>
          <w:i/>
        </w:rPr>
        <w:t xml:space="preserve"> </w:t>
      </w:r>
      <w:proofErr w:type="spellStart"/>
      <w:r>
        <w:rPr>
          <w:i/>
        </w:rPr>
        <w:t>está</w:t>
      </w:r>
      <w:proofErr w:type="spellEnd"/>
      <w:r>
        <w:rPr>
          <w:i/>
        </w:rPr>
        <w:t xml:space="preserve"> </w:t>
      </w:r>
      <w:proofErr w:type="spellStart"/>
      <w:r w:rsidRPr="00070012">
        <w:rPr>
          <w:i/>
        </w:rPr>
        <w:t>mencionado</w:t>
      </w:r>
      <w:proofErr w:type="spellEnd"/>
      <w:r w:rsidRPr="00070012">
        <w:rPr>
          <w:i/>
          <w:lang w:val="es-ES"/>
        </w:rPr>
        <w:t xml:space="preserve"> </w:t>
      </w:r>
      <w:r w:rsidRPr="00070012">
        <w:rPr>
          <w:i/>
        </w:rPr>
        <w:t>en</w:t>
      </w:r>
      <w:r w:rsidRPr="00070012">
        <w:rPr>
          <w:i/>
          <w:lang w:val="es-ES"/>
        </w:rPr>
        <w:t xml:space="preserve"> </w:t>
      </w:r>
      <w:r w:rsidRPr="00070012">
        <w:rPr>
          <w:i/>
        </w:rPr>
        <w:t>los</w:t>
      </w:r>
      <w:r w:rsidRPr="00070012">
        <w:rPr>
          <w:i/>
          <w:lang w:val="es-ES"/>
        </w:rPr>
        <w:t xml:space="preserve"> </w:t>
      </w:r>
      <w:proofErr w:type="spellStart"/>
      <w:r w:rsidRPr="00070012">
        <w:rPr>
          <w:i/>
        </w:rPr>
        <w:t>principios</w:t>
      </w:r>
      <w:proofErr w:type="spellEnd"/>
      <w:r w:rsidRPr="00070012">
        <w:rPr>
          <w:i/>
        </w:rPr>
        <w:t xml:space="preserve"> de la OIT</w:t>
      </w:r>
      <w:r w:rsidRPr="00070012">
        <w:rPr>
          <w:i/>
          <w:lang w:val="es-ES"/>
        </w:rPr>
        <w:t xml:space="preserve"> </w:t>
      </w:r>
      <w:r w:rsidRPr="00070012">
        <w:rPr>
          <w:i/>
        </w:rPr>
        <w:t>y</w:t>
      </w:r>
      <w:r w:rsidRPr="00070012">
        <w:rPr>
          <w:i/>
          <w:lang w:val="es-ES"/>
        </w:rPr>
        <w:t xml:space="preserve"> </w:t>
      </w:r>
      <w:r w:rsidRPr="00070012">
        <w:rPr>
          <w:i/>
        </w:rPr>
        <w:t>en</w:t>
      </w:r>
      <w:r w:rsidRPr="00070012">
        <w:rPr>
          <w:i/>
          <w:lang w:val="es-ES"/>
        </w:rPr>
        <w:t xml:space="preserve"> </w:t>
      </w:r>
      <w:r w:rsidRPr="00070012">
        <w:rPr>
          <w:i/>
        </w:rPr>
        <w:t>l</w:t>
      </w:r>
      <w:r>
        <w:rPr>
          <w:i/>
        </w:rPr>
        <w:t>os</w:t>
      </w:r>
      <w:r w:rsidRPr="00070012">
        <w:rPr>
          <w:i/>
          <w:lang w:val="es-ES"/>
        </w:rPr>
        <w:t xml:space="preserve"> </w:t>
      </w:r>
      <w:r w:rsidRPr="00070012">
        <w:rPr>
          <w:i/>
        </w:rPr>
        <w:t>C87</w:t>
      </w:r>
      <w:r w:rsidRPr="00070012">
        <w:rPr>
          <w:i/>
          <w:lang w:val="es-ES"/>
        </w:rPr>
        <w:t xml:space="preserve">, </w:t>
      </w:r>
      <w:r w:rsidRPr="00070012">
        <w:rPr>
          <w:i/>
        </w:rPr>
        <w:t>C98 y C144.</w:t>
      </w:r>
    </w:p>
    <w:p w:rsidR="00366864" w:rsidRPr="00D65FB5" w:rsidRDefault="00366864" w:rsidP="00366864">
      <w:pPr>
        <w:pStyle w:val="ListParagraph"/>
        <w:ind w:left="360"/>
        <w:rPr>
          <w:lang w:val="es-ES"/>
        </w:rPr>
      </w:pPr>
    </w:p>
    <w:p w:rsidR="00366864" w:rsidRPr="00514DC0" w:rsidRDefault="00366864" w:rsidP="00366864">
      <w:pPr>
        <w:pStyle w:val="ListParagraph"/>
        <w:numPr>
          <w:ilvl w:val="0"/>
          <w:numId w:val="7"/>
        </w:numPr>
        <w:ind w:left="360"/>
        <w:rPr>
          <w:b/>
          <w:lang w:val="es-ES"/>
        </w:rPr>
      </w:pPr>
      <w:r w:rsidRPr="00514DC0">
        <w:rPr>
          <w:b/>
          <w:lang w:val="es-ES"/>
        </w:rPr>
        <w:t>Transición pacífica y construcción del Estado/comunidad, capacidad de recuperaci</w:t>
      </w:r>
      <w:r>
        <w:rPr>
          <w:b/>
          <w:lang w:val="es-ES"/>
        </w:rPr>
        <w:t>ón</w:t>
      </w:r>
    </w:p>
    <w:p w:rsidR="00366864" w:rsidRDefault="00366864" w:rsidP="00366864">
      <w:pPr>
        <w:pStyle w:val="ListParagraph"/>
        <w:ind w:left="360"/>
        <w:rPr>
          <w:i/>
          <w:lang w:val="es-ES"/>
        </w:rPr>
      </w:pPr>
      <w:r w:rsidRPr="00514DC0">
        <w:rPr>
          <w:i/>
          <w:lang w:val="es-ES"/>
        </w:rPr>
        <w:t xml:space="preserve">En muchos países y regiones en conflicto, la reconstrucción y la reconciliación son claves para la </w:t>
      </w:r>
      <w:r>
        <w:rPr>
          <w:i/>
          <w:lang w:val="es-ES"/>
        </w:rPr>
        <w:t>construcción de la comunidad y el Estado</w:t>
      </w:r>
      <w:r w:rsidRPr="00514DC0">
        <w:rPr>
          <w:i/>
          <w:lang w:val="es-ES"/>
        </w:rPr>
        <w:t xml:space="preserve">. El diálogo social es una herramienta poderosa, como se ha visto en muchas situaciones posteriores a un conflicto y </w:t>
      </w:r>
      <w:r>
        <w:rPr>
          <w:i/>
          <w:lang w:val="es-ES"/>
        </w:rPr>
        <w:t xml:space="preserve">en </w:t>
      </w:r>
      <w:r w:rsidRPr="00514DC0">
        <w:rPr>
          <w:i/>
          <w:lang w:val="es-ES"/>
        </w:rPr>
        <w:t>pa</w:t>
      </w:r>
      <w:r>
        <w:rPr>
          <w:i/>
          <w:lang w:val="es-ES"/>
        </w:rPr>
        <w:t>íses que atraviesan una transición después de dictaduras</w:t>
      </w:r>
      <w:r w:rsidRPr="00514DC0">
        <w:rPr>
          <w:i/>
          <w:lang w:val="es-ES"/>
        </w:rPr>
        <w:t xml:space="preserve">, </w:t>
      </w:r>
      <w:r>
        <w:rPr>
          <w:i/>
          <w:lang w:val="es-ES"/>
        </w:rPr>
        <w:t>para estabilizar las relaciones sociales y establecer el camino a seguir</w:t>
      </w:r>
      <w:r w:rsidRPr="00514DC0">
        <w:rPr>
          <w:i/>
          <w:lang w:val="es-ES"/>
        </w:rPr>
        <w:t xml:space="preserve"> (Polonia</w:t>
      </w:r>
      <w:r>
        <w:rPr>
          <w:i/>
          <w:lang w:val="es-ES"/>
        </w:rPr>
        <w:t>, Túnez</w:t>
      </w:r>
      <w:r w:rsidRPr="00514DC0">
        <w:rPr>
          <w:i/>
          <w:lang w:val="es-ES"/>
        </w:rPr>
        <w:t xml:space="preserve">, </w:t>
      </w:r>
      <w:r>
        <w:rPr>
          <w:i/>
          <w:lang w:val="es-ES"/>
        </w:rPr>
        <w:t>Sudáfrica</w:t>
      </w:r>
      <w:r w:rsidRPr="00514DC0">
        <w:rPr>
          <w:i/>
          <w:lang w:val="es-ES"/>
        </w:rPr>
        <w:t>...)</w:t>
      </w:r>
      <w:r>
        <w:rPr>
          <w:i/>
          <w:lang w:val="es-ES"/>
        </w:rPr>
        <w:t>,</w:t>
      </w:r>
      <w:r w:rsidRPr="00514DC0">
        <w:rPr>
          <w:i/>
          <w:lang w:val="es-ES"/>
        </w:rPr>
        <w:t xml:space="preserve"> </w:t>
      </w:r>
      <w:r>
        <w:rPr>
          <w:i/>
          <w:lang w:val="es-ES"/>
        </w:rPr>
        <w:t>reuniendo en torno a la mesa a los actores de la vida económica</w:t>
      </w:r>
      <w:r w:rsidRPr="00514DC0">
        <w:rPr>
          <w:i/>
          <w:lang w:val="es-ES"/>
        </w:rPr>
        <w:t xml:space="preserve">. </w:t>
      </w:r>
      <w:r w:rsidRPr="00070012">
        <w:rPr>
          <w:i/>
          <w:lang w:val="es-ES"/>
        </w:rPr>
        <w:t>Los interlocutores sociales desempeñan también un papel clave en la prevención, remediación y mitigación de las catástrofes industriales y laborales (Rana Plaza</w:t>
      </w:r>
      <w:proofErr w:type="gramStart"/>
      <w:r w:rsidRPr="00070012">
        <w:rPr>
          <w:i/>
          <w:lang w:val="es-ES"/>
        </w:rPr>
        <w:t>; ...</w:t>
      </w:r>
      <w:proofErr w:type="gramEnd"/>
      <w:r w:rsidRPr="00070012">
        <w:rPr>
          <w:i/>
          <w:lang w:val="es-ES"/>
        </w:rPr>
        <w:t>).</w:t>
      </w:r>
    </w:p>
    <w:p w:rsidR="00366864" w:rsidRPr="00514DC0" w:rsidRDefault="00366864" w:rsidP="00366864">
      <w:pPr>
        <w:pStyle w:val="ListParagraph"/>
        <w:ind w:left="360"/>
        <w:rPr>
          <w:i/>
          <w:lang w:val="es-ES"/>
        </w:rPr>
      </w:pPr>
    </w:p>
    <w:p w:rsidR="00366864" w:rsidRPr="00C67D53" w:rsidRDefault="00366864" w:rsidP="00366864">
      <w:pPr>
        <w:pStyle w:val="ListParagraph"/>
        <w:numPr>
          <w:ilvl w:val="0"/>
          <w:numId w:val="7"/>
        </w:numPr>
        <w:ind w:left="360"/>
        <w:rPr>
          <w:b/>
          <w:lang w:val="es-ES"/>
        </w:rPr>
      </w:pPr>
      <w:r w:rsidRPr="00C67D53">
        <w:rPr>
          <w:b/>
          <w:lang w:val="es-ES"/>
        </w:rPr>
        <w:t xml:space="preserve">Facilitar la rendición de cuentas en la empresa y otros </w:t>
      </w:r>
      <w:r>
        <w:rPr>
          <w:b/>
          <w:lang w:val="es-ES"/>
        </w:rPr>
        <w:t>ámbitos</w:t>
      </w:r>
    </w:p>
    <w:p w:rsidR="00366864" w:rsidRDefault="00366864" w:rsidP="00366864">
      <w:pPr>
        <w:pStyle w:val="ListParagraph"/>
        <w:ind w:left="360"/>
        <w:rPr>
          <w:i/>
          <w:lang w:val="es-ES"/>
        </w:rPr>
      </w:pPr>
      <w:r w:rsidRPr="00C67D53">
        <w:rPr>
          <w:i/>
          <w:lang w:val="es-ES"/>
        </w:rPr>
        <w:t>Los derechos, la legislación y las políticas no llevan por sí mismas a la aplicaci</w:t>
      </w:r>
      <w:r>
        <w:rPr>
          <w:i/>
          <w:lang w:val="es-ES"/>
        </w:rPr>
        <w:t>ón y buenos resultados en materia de desarrollo</w:t>
      </w:r>
      <w:r w:rsidRPr="00C67D53">
        <w:rPr>
          <w:i/>
          <w:lang w:val="es-ES"/>
        </w:rPr>
        <w:t xml:space="preserve">. Deben establecerse mecanismos de rendición de cuentas para garantizar una aplicación eficaz y permitir </w:t>
      </w:r>
      <w:r>
        <w:rPr>
          <w:i/>
          <w:lang w:val="es-ES"/>
        </w:rPr>
        <w:t xml:space="preserve">la conciliación de diferentes intereses y el ajuste de estrategias para la mejora de los resultados de desarrollo. </w:t>
      </w:r>
      <w:r w:rsidRPr="00C67D53">
        <w:rPr>
          <w:i/>
          <w:lang w:val="es-ES"/>
        </w:rPr>
        <w:t>El diálogo social mejora la rendición de cuentas del ámbito nacional al local y de la empresa y facilita la supervisi</w:t>
      </w:r>
      <w:r>
        <w:rPr>
          <w:i/>
          <w:lang w:val="es-ES"/>
        </w:rPr>
        <w:t>ón y la adaptación con miras a mejorar la aplicación eficaz y adecuada de estrategias y medidas</w:t>
      </w:r>
      <w:r w:rsidRPr="00C67D53">
        <w:rPr>
          <w:i/>
          <w:lang w:val="es-ES"/>
        </w:rPr>
        <w:t xml:space="preserve">.  </w:t>
      </w:r>
      <w:r w:rsidRPr="00070012">
        <w:rPr>
          <w:i/>
          <w:lang w:val="es-ES"/>
        </w:rPr>
        <w:t xml:space="preserve">También a nivel internacional, los acuerdos marco internacionales/globales son pasos importantes hacia la rendición de cuentas en todo el mundo y </w:t>
      </w:r>
      <w:r>
        <w:rPr>
          <w:i/>
          <w:lang w:val="es-ES"/>
        </w:rPr>
        <w:t xml:space="preserve">para </w:t>
      </w:r>
      <w:r w:rsidRPr="00070012">
        <w:rPr>
          <w:i/>
          <w:lang w:val="es-ES"/>
        </w:rPr>
        <w:t xml:space="preserve">mejorar las condiciones de trabajo y de vida para </w:t>
      </w:r>
      <w:r>
        <w:rPr>
          <w:i/>
          <w:lang w:val="es-ES"/>
        </w:rPr>
        <w:t>la</w:t>
      </w:r>
      <w:r w:rsidRPr="00070012">
        <w:rPr>
          <w:i/>
          <w:lang w:val="es-ES"/>
        </w:rPr>
        <w:t xml:space="preserve"> </w:t>
      </w:r>
      <w:r>
        <w:rPr>
          <w:i/>
          <w:lang w:val="es-ES"/>
        </w:rPr>
        <w:t>gente</w:t>
      </w:r>
      <w:r w:rsidRPr="00070012">
        <w:rPr>
          <w:i/>
          <w:lang w:val="es-ES"/>
        </w:rPr>
        <w:t>.</w:t>
      </w:r>
    </w:p>
    <w:p w:rsidR="00366864" w:rsidRPr="00C67D53" w:rsidRDefault="00366864" w:rsidP="00366864">
      <w:pPr>
        <w:pStyle w:val="ListParagraph"/>
        <w:ind w:left="360"/>
        <w:rPr>
          <w:i/>
          <w:lang w:val="es-ES"/>
        </w:rPr>
      </w:pPr>
    </w:p>
    <w:p w:rsidR="00366864" w:rsidRPr="00520117" w:rsidRDefault="00366864" w:rsidP="00366864">
      <w:pPr>
        <w:pStyle w:val="ListParagraph"/>
        <w:numPr>
          <w:ilvl w:val="0"/>
          <w:numId w:val="7"/>
        </w:numPr>
        <w:ind w:left="360"/>
        <w:rPr>
          <w:b/>
          <w:lang w:val="es-ES"/>
        </w:rPr>
      </w:pPr>
      <w:r w:rsidRPr="00520117">
        <w:rPr>
          <w:b/>
          <w:lang w:val="es-ES"/>
        </w:rPr>
        <w:t xml:space="preserve">Permite </w:t>
      </w:r>
      <w:r>
        <w:rPr>
          <w:b/>
          <w:lang w:val="es-ES"/>
        </w:rPr>
        <w:t xml:space="preserve">el “cambio de poder” : </w:t>
      </w:r>
      <w:r w:rsidRPr="00520117">
        <w:rPr>
          <w:b/>
          <w:lang w:val="es-ES"/>
        </w:rPr>
        <w:t xml:space="preserve">mecanismos de redistribución y solidaridad y </w:t>
      </w:r>
      <w:r>
        <w:rPr>
          <w:b/>
          <w:lang w:val="es-ES"/>
        </w:rPr>
        <w:t>la lucha</w:t>
      </w:r>
      <w:r w:rsidRPr="00520117">
        <w:rPr>
          <w:b/>
          <w:lang w:val="es-ES"/>
        </w:rPr>
        <w:t xml:space="preserve"> contra la desigualdad</w:t>
      </w:r>
    </w:p>
    <w:p w:rsidR="00366864" w:rsidRPr="00520117" w:rsidRDefault="00366864" w:rsidP="00366864">
      <w:pPr>
        <w:pStyle w:val="ListParagraph"/>
        <w:ind w:left="360"/>
        <w:rPr>
          <w:i/>
          <w:lang w:val="es-ES"/>
        </w:rPr>
      </w:pPr>
      <w:r w:rsidRPr="00520117">
        <w:rPr>
          <w:i/>
          <w:lang w:val="es-ES"/>
        </w:rPr>
        <w:t xml:space="preserve">La negociación colectiva y el diálogo social permiten, a menudo de manera más adecuada que la legislación (por sí sola), abordar las desigualdades </w:t>
      </w:r>
      <w:r>
        <w:rPr>
          <w:i/>
          <w:lang w:val="es-ES"/>
        </w:rPr>
        <w:t>relativas a los</w:t>
      </w:r>
      <w:r w:rsidRPr="00520117">
        <w:rPr>
          <w:i/>
          <w:lang w:val="es-ES"/>
        </w:rPr>
        <w:t xml:space="preserve"> ingresos y </w:t>
      </w:r>
      <w:r>
        <w:rPr>
          <w:i/>
          <w:lang w:val="es-ES"/>
        </w:rPr>
        <w:t xml:space="preserve">la </w:t>
      </w:r>
      <w:r w:rsidRPr="00520117">
        <w:rPr>
          <w:i/>
          <w:lang w:val="es-ES"/>
        </w:rPr>
        <w:t>protecci</w:t>
      </w:r>
      <w:r>
        <w:rPr>
          <w:i/>
          <w:lang w:val="es-ES"/>
        </w:rPr>
        <w:t>ón social</w:t>
      </w:r>
      <w:r w:rsidRPr="00520117">
        <w:rPr>
          <w:i/>
          <w:lang w:val="es-ES"/>
        </w:rPr>
        <w:t xml:space="preserve"> </w:t>
      </w:r>
      <w:r>
        <w:rPr>
          <w:i/>
          <w:lang w:val="es-ES"/>
        </w:rPr>
        <w:t>y reducir la brecha creciente entre la productividad y los salarios</w:t>
      </w:r>
      <w:r w:rsidRPr="00520117">
        <w:rPr>
          <w:i/>
          <w:lang w:val="es-ES"/>
        </w:rPr>
        <w:t xml:space="preserve">, </w:t>
      </w:r>
      <w:r>
        <w:rPr>
          <w:i/>
          <w:lang w:val="es-ES"/>
        </w:rPr>
        <w:t>como la causa fundamental del empobrecimiento y la desigualdad económica y social creciente</w:t>
      </w:r>
      <w:r w:rsidRPr="00520117">
        <w:rPr>
          <w:i/>
          <w:lang w:val="es-ES"/>
        </w:rPr>
        <w:t xml:space="preserve">. El compromiso de los interlocutores sociales de promover el desarrollo social y económico para </w:t>
      </w:r>
      <w:r w:rsidRPr="00520117">
        <w:rPr>
          <w:i/>
          <w:lang w:val="es-ES"/>
        </w:rPr>
        <w:lastRenderedPageBreak/>
        <w:t xml:space="preserve">todos y luchar contra la desigualdad y el subdesarrollo es muy eficaz a la hora de establecer mecanismos de </w:t>
      </w:r>
      <w:r>
        <w:rPr>
          <w:i/>
          <w:lang w:val="es-ES"/>
        </w:rPr>
        <w:t>re</w:t>
      </w:r>
      <w:r w:rsidRPr="00520117">
        <w:rPr>
          <w:i/>
          <w:lang w:val="es-ES"/>
        </w:rPr>
        <w:t>distribuci</w:t>
      </w:r>
      <w:r>
        <w:rPr>
          <w:i/>
          <w:lang w:val="es-ES"/>
        </w:rPr>
        <w:t>ón y protección social apropiados y basados en los derechos que saquen a la gente de la pobreza y la informalidad</w:t>
      </w:r>
      <w:r w:rsidRPr="00520117">
        <w:rPr>
          <w:i/>
          <w:lang w:val="es-ES"/>
        </w:rPr>
        <w:t xml:space="preserve"> </w:t>
      </w:r>
      <w:r>
        <w:rPr>
          <w:i/>
          <w:lang w:val="es-ES"/>
        </w:rPr>
        <w:t>y prevengan el dumping</w:t>
      </w:r>
      <w:r w:rsidRPr="00520117">
        <w:rPr>
          <w:i/>
          <w:lang w:val="es-ES"/>
        </w:rPr>
        <w:t xml:space="preserve"> social. </w:t>
      </w:r>
    </w:p>
    <w:p w:rsidR="00366864" w:rsidRPr="009153B2" w:rsidRDefault="00366864" w:rsidP="00366864">
      <w:pPr>
        <w:pStyle w:val="ListParagraph"/>
        <w:ind w:left="0"/>
        <w:rPr>
          <w:b/>
          <w:u w:val="single"/>
          <w:lang w:val="es-ES"/>
        </w:rPr>
      </w:pPr>
      <w:r w:rsidRPr="009153B2">
        <w:rPr>
          <w:b/>
          <w:u w:val="single"/>
          <w:lang w:val="es-ES"/>
        </w:rPr>
        <w:t xml:space="preserve">DESTINATARIOS: </w:t>
      </w:r>
    </w:p>
    <w:p w:rsidR="00366864" w:rsidRPr="009153B2" w:rsidRDefault="00366864" w:rsidP="00366864">
      <w:pPr>
        <w:pStyle w:val="ListParagraph"/>
        <w:ind w:left="0"/>
        <w:rPr>
          <w:b/>
          <w:u w:val="single"/>
          <w:lang w:val="es-ES"/>
        </w:rPr>
      </w:pPr>
    </w:p>
    <w:p w:rsidR="00366864" w:rsidRPr="009153B2" w:rsidRDefault="00366864" w:rsidP="00366864">
      <w:pPr>
        <w:pStyle w:val="ListParagraph"/>
        <w:ind w:left="0"/>
        <w:rPr>
          <w:lang w:val="es-ES"/>
        </w:rPr>
      </w:pPr>
      <w:r w:rsidRPr="009153B2">
        <w:rPr>
          <w:lang w:val="es-ES"/>
        </w:rPr>
        <w:t>Los destinatarios de los resultados de la investigaci</w:t>
      </w:r>
      <w:r>
        <w:rPr>
          <w:lang w:val="es-ES"/>
        </w:rPr>
        <w:t>ón son</w:t>
      </w:r>
      <w:r w:rsidRPr="009153B2">
        <w:rPr>
          <w:lang w:val="es-ES"/>
        </w:rPr>
        <w:t xml:space="preserve"> </w:t>
      </w:r>
      <w:r>
        <w:rPr>
          <w:b/>
          <w:lang w:val="es-ES"/>
        </w:rPr>
        <w:t>responsables de la toma de decisiones en los planos nacional, regional e internacional:</w:t>
      </w:r>
      <w:r w:rsidRPr="009153B2">
        <w:rPr>
          <w:lang w:val="es-ES"/>
        </w:rPr>
        <w:t xml:space="preserve"> </w:t>
      </w:r>
    </w:p>
    <w:p w:rsidR="00366864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Actores y socios en las políticas de desarrollo (social) : ministros de cooperación/planificación; ministerios de trabajo/asuntos sociales</w:t>
      </w:r>
    </w:p>
    <w:p w:rsidR="00366864" w:rsidRPr="00316CE1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Responsables de los agencias nacionales de desarrollo</w:t>
      </w:r>
    </w:p>
    <w:p w:rsidR="00366864" w:rsidRPr="00316CE1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 w:rsidRPr="00316CE1">
        <w:rPr>
          <w:lang w:val="es-ES"/>
        </w:rPr>
        <w:t xml:space="preserve">Dirigentes </w:t>
      </w:r>
      <w:r>
        <w:rPr>
          <w:lang w:val="es-ES"/>
        </w:rPr>
        <w:t>e</w:t>
      </w:r>
      <w:r w:rsidRPr="00316CE1">
        <w:rPr>
          <w:lang w:val="es-ES"/>
        </w:rPr>
        <w:t xml:space="preserve"> interlocutor</w:t>
      </w:r>
      <w:r>
        <w:rPr>
          <w:lang w:val="es-ES"/>
        </w:rPr>
        <w:t>e</w:t>
      </w:r>
      <w:r w:rsidRPr="00316CE1">
        <w:rPr>
          <w:lang w:val="es-ES"/>
        </w:rPr>
        <w:t xml:space="preserve">s sociales </w:t>
      </w:r>
    </w:p>
    <w:p w:rsidR="00366864" w:rsidRPr="00316CE1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OIT, a nivel país y global</w:t>
      </w:r>
    </w:p>
    <w:p w:rsidR="00366864" w:rsidRPr="0059115C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 w:rsidRPr="0059115C">
        <w:rPr>
          <w:lang w:val="es-ES"/>
        </w:rPr>
        <w:t>Secciones de cooperación al desarrollo de embajadas y delegaciones (incluida la UE)</w:t>
      </w:r>
    </w:p>
    <w:p w:rsidR="00366864" w:rsidRPr="0059115C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 w:rsidRPr="0059115C">
        <w:rPr>
          <w:lang w:val="es-ES"/>
        </w:rPr>
        <w:t xml:space="preserve">Responsables de la toma de decisiones en </w:t>
      </w:r>
      <w:r>
        <w:rPr>
          <w:lang w:val="es-ES"/>
        </w:rPr>
        <w:t>la</w:t>
      </w:r>
      <w:r w:rsidRPr="0059115C">
        <w:rPr>
          <w:lang w:val="es-ES"/>
        </w:rPr>
        <w:t xml:space="preserve"> OCDE-CAD y los </w:t>
      </w:r>
      <w:r>
        <w:rPr>
          <w:lang w:val="es-ES"/>
        </w:rPr>
        <w:t>delegados del CAD</w:t>
      </w:r>
    </w:p>
    <w:p w:rsidR="00366864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 w:rsidRPr="0059115C">
        <w:rPr>
          <w:lang w:val="es-ES"/>
        </w:rPr>
        <w:t>Miembros de plataformas internacionales para la cooperaci</w:t>
      </w:r>
      <w:r>
        <w:rPr>
          <w:lang w:val="es-ES"/>
        </w:rPr>
        <w:t>ón al desarrollo</w:t>
      </w:r>
      <w:r w:rsidRPr="0059115C">
        <w:rPr>
          <w:lang w:val="es-ES"/>
        </w:rPr>
        <w:t xml:space="preserve"> (</w:t>
      </w:r>
      <w:r>
        <w:rPr>
          <w:lang w:val="es-ES"/>
        </w:rPr>
        <w:t>AGCED</w:t>
      </w:r>
      <w:r w:rsidRPr="0059115C">
        <w:rPr>
          <w:lang w:val="es-ES"/>
        </w:rPr>
        <w:t>)</w:t>
      </w:r>
    </w:p>
    <w:p w:rsidR="00366864" w:rsidRPr="00877EB7" w:rsidRDefault="00366864" w:rsidP="00366864">
      <w:pPr>
        <w:pStyle w:val="ListParagraph"/>
        <w:numPr>
          <w:ilvl w:val="0"/>
          <w:numId w:val="8"/>
        </w:numPr>
        <w:rPr>
          <w:lang w:val="es-ES"/>
        </w:rPr>
      </w:pPr>
      <w:r w:rsidRPr="00877EB7">
        <w:rPr>
          <w:lang w:val="es-ES"/>
        </w:rPr>
        <w:t>Organizaciones y plataformas de la sociedad civil</w:t>
      </w:r>
    </w:p>
    <w:p w:rsidR="00366864" w:rsidRPr="00957CF2" w:rsidRDefault="00366864" w:rsidP="00366864">
      <w:pPr>
        <w:pStyle w:val="ListParagraph"/>
        <w:ind w:left="0"/>
        <w:rPr>
          <w:b/>
          <w:u w:val="single"/>
          <w:lang w:val="es-ES"/>
        </w:rPr>
      </w:pPr>
      <w:r w:rsidRPr="00957CF2">
        <w:rPr>
          <w:b/>
          <w:u w:val="single"/>
          <w:lang w:val="es-ES"/>
        </w:rPr>
        <w:t>OBJETIVOS</w:t>
      </w:r>
    </w:p>
    <w:p w:rsidR="00366864" w:rsidRPr="00957CF2" w:rsidRDefault="00366864" w:rsidP="00366864">
      <w:pPr>
        <w:pStyle w:val="ListParagraph"/>
        <w:ind w:left="0"/>
        <w:rPr>
          <w:b/>
          <w:lang w:val="es-ES"/>
        </w:rPr>
      </w:pPr>
    </w:p>
    <w:p w:rsidR="00366864" w:rsidRPr="00C5445C" w:rsidRDefault="00366864" w:rsidP="00366864">
      <w:pPr>
        <w:pStyle w:val="ListParagraph"/>
        <w:ind w:left="0"/>
        <w:rPr>
          <w:lang w:val="es-ES"/>
        </w:rPr>
      </w:pPr>
      <w:r w:rsidRPr="0059115C">
        <w:rPr>
          <w:b/>
          <w:lang w:val="es-ES"/>
        </w:rPr>
        <w:t>El objetivo principal de la investigación</w:t>
      </w:r>
      <w:r w:rsidRPr="0059115C">
        <w:rPr>
          <w:lang w:val="es-ES"/>
        </w:rPr>
        <w:t xml:space="preserve"> es elaborar un </w:t>
      </w:r>
      <w:r w:rsidRPr="0059115C">
        <w:rPr>
          <w:b/>
          <w:lang w:val="es-ES"/>
        </w:rPr>
        <w:t xml:space="preserve">informe que reúna </w:t>
      </w:r>
      <w:r>
        <w:rPr>
          <w:b/>
          <w:lang w:val="es-ES"/>
        </w:rPr>
        <w:t>hechos en relación</w:t>
      </w:r>
      <w:r w:rsidRPr="0059115C">
        <w:rPr>
          <w:b/>
          <w:lang w:val="es-ES"/>
        </w:rPr>
        <w:t xml:space="preserve"> a la importancia del diálogo social en </w:t>
      </w:r>
      <w:r>
        <w:rPr>
          <w:b/>
          <w:lang w:val="es-ES"/>
        </w:rPr>
        <w:t>el</w:t>
      </w:r>
      <w:r w:rsidRPr="0059115C">
        <w:rPr>
          <w:b/>
          <w:lang w:val="es-ES"/>
        </w:rPr>
        <w:t xml:space="preserve"> desar</w:t>
      </w:r>
      <w:r>
        <w:rPr>
          <w:b/>
          <w:lang w:val="es-ES"/>
        </w:rPr>
        <w:t>r</w:t>
      </w:r>
      <w:r w:rsidRPr="0059115C">
        <w:rPr>
          <w:b/>
          <w:lang w:val="es-ES"/>
        </w:rPr>
        <w:t>ollo</w:t>
      </w:r>
      <w:r w:rsidRPr="0059115C">
        <w:rPr>
          <w:lang w:val="es-ES"/>
        </w:rPr>
        <w:t>, tal y como se demuestra en muchos pa</w:t>
      </w:r>
      <w:r>
        <w:rPr>
          <w:lang w:val="es-ES"/>
        </w:rPr>
        <w:t>íses y situaciones en todo el mundo</w:t>
      </w:r>
      <w:r w:rsidRPr="0059115C">
        <w:rPr>
          <w:lang w:val="es-ES"/>
        </w:rPr>
        <w:t xml:space="preserve">. </w:t>
      </w:r>
      <w:r w:rsidRPr="00C5445C">
        <w:rPr>
          <w:lang w:val="es-ES"/>
        </w:rPr>
        <w:t>Las lecciones aprendidas y las conclusiones extraídas deberían contribuir a la orientación de futuras pol</w:t>
      </w:r>
      <w:r>
        <w:rPr>
          <w:lang w:val="es-ES"/>
        </w:rPr>
        <w:t>íticas y enfoques de desarrollo y permitir una implementación más eficaz del diálogo social como instrumento de gobernanza y desarrollo socioeconómico</w:t>
      </w:r>
      <w:r w:rsidRPr="00C5445C">
        <w:rPr>
          <w:lang w:val="es-ES"/>
        </w:rPr>
        <w:t>. Se elaborarán notas informativas y documentos políticos a partir de las conclusiones del informe para respaldar el debate,</w:t>
      </w:r>
      <w:r>
        <w:rPr>
          <w:lang w:val="es-ES"/>
        </w:rPr>
        <w:t xml:space="preserve"> las actividades y acciones de lobby político  y las propuestas de implementación. </w:t>
      </w:r>
      <w:r w:rsidRPr="00C5445C">
        <w:rPr>
          <w:lang w:val="es-ES"/>
        </w:rPr>
        <w:t xml:space="preserve"> </w:t>
      </w:r>
    </w:p>
    <w:p w:rsidR="00366864" w:rsidRPr="00C5445C" w:rsidRDefault="00366864" w:rsidP="00366864">
      <w:pPr>
        <w:pStyle w:val="ListParagraph"/>
        <w:ind w:left="0"/>
        <w:rPr>
          <w:lang w:val="es-ES"/>
        </w:rPr>
      </w:pPr>
    </w:p>
    <w:p w:rsidR="00366864" w:rsidRPr="00B43F42" w:rsidRDefault="00366864" w:rsidP="00366864">
      <w:pPr>
        <w:pStyle w:val="ListParagraph"/>
        <w:ind w:left="0"/>
        <w:rPr>
          <w:lang w:val="es-ES"/>
        </w:rPr>
      </w:pPr>
      <w:r w:rsidRPr="00C5445C">
        <w:rPr>
          <w:lang w:val="es-ES"/>
        </w:rPr>
        <w:t xml:space="preserve">Tras los resultados del informe, se podrían diseñar más iniciativas para promover el diálogo social como una estrategia pertinente y clave </w:t>
      </w:r>
      <w:r>
        <w:rPr>
          <w:lang w:val="es-ES"/>
        </w:rPr>
        <w:t>que promueva</w:t>
      </w:r>
      <w:r w:rsidRPr="00C5445C">
        <w:rPr>
          <w:lang w:val="es-ES"/>
        </w:rPr>
        <w:t xml:space="preserve"> la sostenibilidad del desarrollo econ</w:t>
      </w:r>
      <w:r>
        <w:rPr>
          <w:lang w:val="es-ES"/>
        </w:rPr>
        <w:t>ómico y social</w:t>
      </w:r>
      <w:r w:rsidRPr="00C5445C">
        <w:rPr>
          <w:lang w:val="es-ES"/>
        </w:rPr>
        <w:t xml:space="preserve">. Para ello, el informe identificará experiencias nacionales pertinentes que podrían formar la base de una </w:t>
      </w:r>
      <w:r w:rsidRPr="00B43F42">
        <w:rPr>
          <w:b/>
          <w:lang w:val="es-ES"/>
        </w:rPr>
        <w:t>Alianza sobre el Diálogo Social para el Desarrollo</w:t>
      </w:r>
      <w:r w:rsidRPr="00C5445C">
        <w:rPr>
          <w:lang w:val="es-ES"/>
        </w:rPr>
        <w:t xml:space="preserve">. </w:t>
      </w:r>
      <w:r w:rsidRPr="00B43F42">
        <w:rPr>
          <w:lang w:val="es-ES"/>
        </w:rPr>
        <w:t xml:space="preserve">El informe también identificará posibles socios y actores para la Alianza.   </w:t>
      </w:r>
    </w:p>
    <w:p w:rsidR="00366864" w:rsidRPr="00B43F42" w:rsidRDefault="00366864" w:rsidP="00366864">
      <w:pPr>
        <w:pStyle w:val="ListParagraph"/>
        <w:ind w:left="0"/>
        <w:rPr>
          <w:lang w:val="es-ES"/>
        </w:rPr>
      </w:pPr>
      <w:r w:rsidRPr="00B43F42">
        <w:rPr>
          <w:lang w:val="es-ES"/>
        </w:rPr>
        <w:t>La Alianza, como iniciativa con múltiples partes interesadas, abordará retos políticos nacionales, regionales e internacionales y propondr</w:t>
      </w:r>
      <w:r>
        <w:rPr>
          <w:lang w:val="es-ES"/>
        </w:rPr>
        <w:t>á acciones innovadoras para abordar la apropiación, la rendición de cuentas y los resultados sostenibles en materia de desarrollo económico y social</w:t>
      </w:r>
      <w:r w:rsidRPr="00B43F42">
        <w:rPr>
          <w:lang w:val="es-ES"/>
        </w:rPr>
        <w:t xml:space="preserve">. </w:t>
      </w:r>
    </w:p>
    <w:p w:rsidR="00366864" w:rsidRPr="00B43F42" w:rsidRDefault="00366864" w:rsidP="00366864">
      <w:pPr>
        <w:pStyle w:val="ListParagraph"/>
        <w:ind w:left="0"/>
        <w:rPr>
          <w:lang w:val="es-ES"/>
        </w:rPr>
      </w:pPr>
    </w:p>
    <w:p w:rsidR="00366864" w:rsidRPr="00957CF2" w:rsidRDefault="00366864" w:rsidP="00366864">
      <w:pPr>
        <w:pStyle w:val="ListParagraph"/>
        <w:ind w:left="0"/>
        <w:rPr>
          <w:b/>
          <w:u w:val="single"/>
          <w:lang w:val="es-ES"/>
        </w:rPr>
      </w:pPr>
      <w:r w:rsidRPr="00957CF2">
        <w:rPr>
          <w:b/>
          <w:u w:val="single"/>
          <w:lang w:val="es-ES"/>
        </w:rPr>
        <w:t>CUESTIONES A TRATAR</w:t>
      </w:r>
    </w:p>
    <w:p w:rsidR="00366864" w:rsidRPr="00957CF2" w:rsidRDefault="00366864" w:rsidP="00366864">
      <w:pPr>
        <w:pStyle w:val="ListParagraph"/>
        <w:ind w:left="0"/>
        <w:rPr>
          <w:lang w:val="es-ES"/>
        </w:rPr>
      </w:pPr>
    </w:p>
    <w:p w:rsidR="00366864" w:rsidRPr="00B43F42" w:rsidRDefault="00366864" w:rsidP="00366864">
      <w:pPr>
        <w:pStyle w:val="ListParagraph"/>
        <w:ind w:left="0"/>
        <w:rPr>
          <w:lang w:val="es-ES"/>
        </w:rPr>
      </w:pPr>
      <w:r w:rsidRPr="00B43F42">
        <w:rPr>
          <w:lang w:val="es-ES"/>
        </w:rPr>
        <w:lastRenderedPageBreak/>
        <w:t xml:space="preserve">El informe debería </w:t>
      </w:r>
      <w:r>
        <w:rPr>
          <w:lang w:val="es-ES"/>
        </w:rPr>
        <w:t>demostrar</w:t>
      </w:r>
      <w:r w:rsidRPr="00B43F42">
        <w:rPr>
          <w:lang w:val="es-ES"/>
        </w:rPr>
        <w:t xml:space="preserve"> que el diálogo social es pertinente </w:t>
      </w:r>
      <w:r>
        <w:rPr>
          <w:lang w:val="es-ES"/>
        </w:rPr>
        <w:t>en relación a</w:t>
      </w:r>
      <w:r w:rsidRPr="00B43F42">
        <w:rPr>
          <w:lang w:val="es-ES"/>
        </w:rPr>
        <w:t xml:space="preserve"> las </w:t>
      </w:r>
      <w:r>
        <w:rPr>
          <w:lang w:val="es-ES"/>
        </w:rPr>
        <w:t xml:space="preserve">siguientes </w:t>
      </w:r>
      <w:r w:rsidRPr="00B43F42">
        <w:rPr>
          <w:lang w:val="es-ES"/>
        </w:rPr>
        <w:t xml:space="preserve">cuestiones de desarrollo: </w:t>
      </w:r>
    </w:p>
    <w:p w:rsidR="00366864" w:rsidRPr="00B43F42" w:rsidRDefault="00366864" w:rsidP="00366864">
      <w:pPr>
        <w:pStyle w:val="ListParagraph"/>
        <w:ind w:left="0"/>
        <w:rPr>
          <w:lang w:val="es-ES"/>
        </w:rPr>
      </w:pPr>
    </w:p>
    <w:p w:rsidR="00366864" w:rsidRPr="00B43F42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 w:rsidRPr="00B43F42">
        <w:rPr>
          <w:lang w:val="es-ES"/>
        </w:rPr>
        <w:t>¿De qué manera ha contribuido el diálogo social (DS) al programa de gobernanza y la apropiaci</w:t>
      </w:r>
      <w:r>
        <w:rPr>
          <w:lang w:val="es-ES"/>
        </w:rPr>
        <w:t>ón democrática del desarrollo económico y social?</w:t>
      </w:r>
    </w:p>
    <w:p w:rsidR="00366864" w:rsidRPr="00B43F42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 w:rsidRPr="00B43F42">
        <w:rPr>
          <w:lang w:val="es-ES"/>
        </w:rPr>
        <w:t xml:space="preserve">¿Cómo ha contribuido el DS </w:t>
      </w:r>
      <w:r>
        <w:rPr>
          <w:lang w:val="es-ES"/>
        </w:rPr>
        <w:t>a la</w:t>
      </w:r>
      <w:r w:rsidRPr="00B43F42">
        <w:rPr>
          <w:lang w:val="es-ES"/>
        </w:rPr>
        <w:t xml:space="preserve"> “</w:t>
      </w:r>
      <w:r>
        <w:rPr>
          <w:lang w:val="es-ES"/>
        </w:rPr>
        <w:t>agenda</w:t>
      </w:r>
      <w:r w:rsidRPr="00B43F42">
        <w:rPr>
          <w:lang w:val="es-ES"/>
        </w:rPr>
        <w:t xml:space="preserve"> de crecimiento”: consolidación del </w:t>
      </w:r>
      <w:r>
        <w:rPr>
          <w:lang w:val="es-ES"/>
        </w:rPr>
        <w:t>m</w:t>
      </w:r>
      <w:r w:rsidRPr="00B43F42">
        <w:rPr>
          <w:lang w:val="es-ES"/>
        </w:rPr>
        <w:t xml:space="preserve">ercado </w:t>
      </w:r>
      <w:r>
        <w:rPr>
          <w:lang w:val="es-ES"/>
        </w:rPr>
        <w:t>de tr</w:t>
      </w:r>
      <w:r w:rsidRPr="00B43F42">
        <w:rPr>
          <w:lang w:val="es-ES"/>
        </w:rPr>
        <w:t>abajo, establ</w:t>
      </w:r>
      <w:r>
        <w:rPr>
          <w:lang w:val="es-ES"/>
        </w:rPr>
        <w:t>ecimiento de políticas sociales y económicas?</w:t>
      </w:r>
      <w:r w:rsidRPr="00B43F42">
        <w:rPr>
          <w:lang w:val="es-ES"/>
        </w:rPr>
        <w:t xml:space="preserve">; </w:t>
      </w:r>
      <w:r>
        <w:rPr>
          <w:lang w:val="es-ES"/>
        </w:rPr>
        <w:t>¿H</w:t>
      </w:r>
      <w:r w:rsidRPr="00B43F42">
        <w:rPr>
          <w:lang w:val="es-ES"/>
        </w:rPr>
        <w:t>a</w:t>
      </w:r>
      <w:r>
        <w:rPr>
          <w:lang w:val="es-ES"/>
        </w:rPr>
        <w:t xml:space="preserve"> sido útil para abordar los retos de la economía informal</w:t>
      </w:r>
      <w:r w:rsidRPr="00B43F42">
        <w:rPr>
          <w:lang w:val="es-ES"/>
        </w:rPr>
        <w:t xml:space="preserve">? </w:t>
      </w:r>
    </w:p>
    <w:p w:rsidR="00366864" w:rsidRPr="00957CF2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 w:rsidRPr="00957CF2">
        <w:rPr>
          <w:lang w:val="es-ES"/>
        </w:rPr>
        <w:t xml:space="preserve">¿Cuál ha sido el efecto del DS a la hora de establecer estructuras de diálogo </w:t>
      </w:r>
      <w:r>
        <w:rPr>
          <w:lang w:val="es-ES"/>
        </w:rPr>
        <w:t xml:space="preserve">en el ámbito de la empresa y de la comunidad? </w:t>
      </w:r>
      <w:r w:rsidRPr="00957CF2">
        <w:rPr>
          <w:lang w:val="es-ES"/>
        </w:rPr>
        <w:t>¿Ha contribuido a la toma de decisiones democrática</w:t>
      </w:r>
      <w:r>
        <w:rPr>
          <w:lang w:val="es-ES"/>
        </w:rPr>
        <w:t xml:space="preserve"> en el ámbito </w:t>
      </w:r>
      <w:r w:rsidRPr="00957CF2">
        <w:rPr>
          <w:lang w:val="es-ES"/>
        </w:rPr>
        <w:t xml:space="preserve">nacional </w:t>
      </w:r>
      <w:r>
        <w:rPr>
          <w:lang w:val="es-ES"/>
        </w:rPr>
        <w:t>en lo que concierne al desarrollo socioeconómico?</w:t>
      </w:r>
    </w:p>
    <w:p w:rsidR="00366864" w:rsidRPr="00957CF2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 w:rsidRPr="00957CF2">
        <w:rPr>
          <w:lang w:val="es-ES"/>
        </w:rPr>
        <w:t xml:space="preserve">¿Cómo ha contribuido el DS a la solución de conflictos en el </w:t>
      </w:r>
      <w:r>
        <w:rPr>
          <w:lang w:val="es-ES"/>
        </w:rPr>
        <w:t>área socioeconómica y otras áreas</w:t>
      </w:r>
      <w:r w:rsidRPr="00957CF2">
        <w:rPr>
          <w:lang w:val="es-ES"/>
        </w:rPr>
        <w:t>?</w:t>
      </w:r>
    </w:p>
    <w:p w:rsidR="00366864" w:rsidRPr="00957CF2" w:rsidRDefault="00366864" w:rsidP="00366864">
      <w:pPr>
        <w:pStyle w:val="ListParagraph"/>
        <w:numPr>
          <w:ilvl w:val="0"/>
          <w:numId w:val="7"/>
        </w:numPr>
        <w:ind w:left="360"/>
        <w:rPr>
          <w:lang w:val="es-ES"/>
        </w:rPr>
      </w:pPr>
      <w:r w:rsidRPr="00957CF2">
        <w:rPr>
          <w:lang w:val="es-ES"/>
        </w:rPr>
        <w:t xml:space="preserve">¿Ha abordado el DS los mecanismos de redistribución y solidaridad? ¿Cuál </w:t>
      </w:r>
      <w:r>
        <w:rPr>
          <w:lang w:val="es-ES"/>
        </w:rPr>
        <w:t>ha sido</w:t>
      </w:r>
      <w:r w:rsidRPr="00957CF2">
        <w:rPr>
          <w:lang w:val="es-ES"/>
        </w:rPr>
        <w:t xml:space="preserve"> su papel en la lucha contra la desigualdad y la promoción de los derechos?</w:t>
      </w:r>
    </w:p>
    <w:p w:rsidR="00366864" w:rsidRPr="005C55D9" w:rsidRDefault="00366864" w:rsidP="00366864">
      <w:pPr>
        <w:pStyle w:val="ListParagraph"/>
        <w:numPr>
          <w:ilvl w:val="0"/>
          <w:numId w:val="7"/>
        </w:numPr>
        <w:ind w:left="360"/>
        <w:rPr>
          <w:b/>
          <w:lang w:val="es-ES"/>
        </w:rPr>
      </w:pPr>
      <w:r>
        <w:rPr>
          <w:lang w:val="es-ES"/>
        </w:rPr>
        <w:t>¿Ha f</w:t>
      </w:r>
      <w:r w:rsidRPr="00957CF2">
        <w:rPr>
          <w:lang w:val="es-ES"/>
        </w:rPr>
        <w:t>acilita</w:t>
      </w:r>
      <w:r>
        <w:rPr>
          <w:lang w:val="es-ES"/>
        </w:rPr>
        <w:t xml:space="preserve">do el DS </w:t>
      </w:r>
      <w:r w:rsidRPr="00957CF2">
        <w:rPr>
          <w:lang w:val="es-ES"/>
        </w:rPr>
        <w:t xml:space="preserve"> la rendición de cuentas en la empresa y otros </w:t>
      </w:r>
      <w:r>
        <w:rPr>
          <w:lang w:val="es-ES"/>
        </w:rPr>
        <w:t>ámbitos?</w:t>
      </w:r>
    </w:p>
    <w:p w:rsidR="00366864" w:rsidRPr="00957CF2" w:rsidRDefault="00366864" w:rsidP="00366864">
      <w:pPr>
        <w:pStyle w:val="ListParagraph"/>
        <w:numPr>
          <w:ilvl w:val="0"/>
          <w:numId w:val="7"/>
        </w:numPr>
        <w:ind w:left="360"/>
        <w:rPr>
          <w:b/>
          <w:lang w:val="es-ES"/>
        </w:rPr>
      </w:pPr>
      <w:r>
        <w:rPr>
          <w:lang w:val="es-ES"/>
        </w:rPr>
        <w:t>¿Ha contribuido el DS al “cambio de poder” para el desarrollo socio-</w:t>
      </w:r>
      <w:proofErr w:type="spellStart"/>
      <w:r>
        <w:rPr>
          <w:lang w:val="es-ES"/>
        </w:rPr>
        <w:t>economico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equitable</w:t>
      </w:r>
      <w:proofErr w:type="spellEnd"/>
      <w:r>
        <w:rPr>
          <w:lang w:val="es-ES"/>
        </w:rPr>
        <w:t xml:space="preserve"> y sustentable? ¿De qué forma y bajo qué condiciones? </w:t>
      </w:r>
    </w:p>
    <w:p w:rsidR="00366864" w:rsidRPr="00957CF2" w:rsidRDefault="00366864" w:rsidP="00366864">
      <w:pPr>
        <w:pStyle w:val="ListParagraph"/>
        <w:ind w:left="0"/>
        <w:rPr>
          <w:lang w:val="es-ES"/>
        </w:rPr>
      </w:pPr>
    </w:p>
    <w:p w:rsidR="00366864" w:rsidRPr="00957CF2" w:rsidRDefault="00366864" w:rsidP="00366864">
      <w:pPr>
        <w:pStyle w:val="ListParagraph"/>
        <w:ind w:left="0"/>
        <w:rPr>
          <w:lang w:val="es-ES"/>
        </w:rPr>
      </w:pPr>
      <w:r w:rsidRPr="00957CF2">
        <w:rPr>
          <w:lang w:val="es-ES"/>
        </w:rPr>
        <w:t xml:space="preserve">En la fase </w:t>
      </w:r>
      <w:r>
        <w:rPr>
          <w:lang w:val="es-ES"/>
        </w:rPr>
        <w:t>preliminar</w:t>
      </w:r>
      <w:r w:rsidRPr="00957CF2">
        <w:rPr>
          <w:lang w:val="es-ES"/>
        </w:rPr>
        <w:t xml:space="preserve">, la investigación examinará estudios existentes sobre el tema y </w:t>
      </w:r>
      <w:r>
        <w:rPr>
          <w:lang w:val="es-ES"/>
        </w:rPr>
        <w:t>buscará hechos (OIT</w:t>
      </w:r>
      <w:r w:rsidRPr="00957CF2">
        <w:rPr>
          <w:lang w:val="es-ES"/>
        </w:rPr>
        <w:t xml:space="preserve">, </w:t>
      </w:r>
      <w:r>
        <w:rPr>
          <w:lang w:val="es-ES"/>
        </w:rPr>
        <w:t>alianzas sindicales, programas nacionales de cooperación</w:t>
      </w:r>
      <w:r w:rsidRPr="00957CF2">
        <w:rPr>
          <w:lang w:val="es-ES"/>
        </w:rPr>
        <w:t xml:space="preserve">...). </w:t>
      </w:r>
    </w:p>
    <w:p w:rsidR="00366864" w:rsidRPr="00957CF2" w:rsidRDefault="00366864" w:rsidP="00366864">
      <w:pPr>
        <w:pStyle w:val="ListParagraph"/>
        <w:ind w:left="0"/>
        <w:rPr>
          <w:lang w:val="es-ES"/>
        </w:rPr>
      </w:pPr>
    </w:p>
    <w:p w:rsidR="00366864" w:rsidRDefault="00366864" w:rsidP="00366864">
      <w:pPr>
        <w:pStyle w:val="ListParagraph"/>
        <w:ind w:left="0"/>
        <w:rPr>
          <w:lang w:val="es-ES"/>
        </w:rPr>
        <w:sectPr w:rsidR="00366864" w:rsidSect="003A0D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77" w:right="1466" w:bottom="2516" w:left="1620" w:header="720" w:footer="720" w:gutter="0"/>
          <w:cols w:space="720"/>
          <w:docGrid w:linePitch="360"/>
        </w:sectPr>
      </w:pPr>
      <w:r w:rsidRPr="00957CF2">
        <w:rPr>
          <w:lang w:val="es-ES"/>
        </w:rPr>
        <w:t>Para poder abordar las cuestiones enumeradas arriba, se debe elaborar un breve resumen de la experiencia en materia de DS que cubra la estructura, el contenido, los m</w:t>
      </w:r>
      <w:r>
        <w:rPr>
          <w:lang w:val="es-ES"/>
        </w:rPr>
        <w:t>étodos y los resultados/retos</w:t>
      </w:r>
      <w:r w:rsidRPr="00957CF2">
        <w:rPr>
          <w:lang w:val="es-ES"/>
        </w:rPr>
        <w:t xml:space="preserve">. La investigación actual no aborda los formatos de diálogo social per se, sino que se concentra en la </w:t>
      </w:r>
      <w:r>
        <w:rPr>
          <w:lang w:val="es-ES"/>
        </w:rPr>
        <w:t xml:space="preserve">posible </w:t>
      </w:r>
      <w:r w:rsidRPr="00957CF2">
        <w:rPr>
          <w:lang w:val="es-ES"/>
        </w:rPr>
        <w:t xml:space="preserve">contribución </w:t>
      </w:r>
      <w:r>
        <w:rPr>
          <w:lang w:val="es-ES"/>
        </w:rPr>
        <w:t>d</w:t>
      </w:r>
      <w:r w:rsidRPr="00957CF2">
        <w:rPr>
          <w:lang w:val="es-ES"/>
        </w:rPr>
        <w:t xml:space="preserve">el DS </w:t>
      </w:r>
      <w:r>
        <w:rPr>
          <w:lang w:val="es-ES"/>
        </w:rPr>
        <w:t>y su importancia para el desarrollo</w:t>
      </w:r>
      <w:r w:rsidRPr="00957CF2">
        <w:rPr>
          <w:lang w:val="es-ES"/>
        </w:rPr>
        <w:t xml:space="preserve"> (socio</w:t>
      </w:r>
      <w:r>
        <w:rPr>
          <w:lang w:val="es-ES"/>
        </w:rPr>
        <w:t>econó</w:t>
      </w:r>
      <w:r w:rsidRPr="00957CF2">
        <w:rPr>
          <w:lang w:val="es-ES"/>
        </w:rPr>
        <w:t>mic</w:t>
      </w:r>
      <w:r>
        <w:rPr>
          <w:lang w:val="es-ES"/>
        </w:rPr>
        <w:t>o</w:t>
      </w:r>
      <w:r w:rsidRPr="00957CF2">
        <w:rPr>
          <w:lang w:val="es-ES"/>
        </w:rPr>
        <w:t xml:space="preserve">) </w:t>
      </w:r>
      <w:r>
        <w:rPr>
          <w:lang w:val="es-ES"/>
        </w:rPr>
        <w:t>y su sostenibilidad</w:t>
      </w:r>
      <w:r w:rsidRPr="00957CF2">
        <w:rPr>
          <w:lang w:val="es-ES"/>
        </w:rPr>
        <w:t>.</w:t>
      </w:r>
    </w:p>
    <w:p w:rsidR="00366864" w:rsidRPr="005C55D9" w:rsidRDefault="00366864" w:rsidP="00366864">
      <w:pPr>
        <w:pStyle w:val="ListParagraph"/>
        <w:ind w:left="0"/>
        <w:rPr>
          <w:b/>
          <w:u w:val="single"/>
          <w:lang w:val="es-ES"/>
        </w:rPr>
      </w:pPr>
      <w:r w:rsidRPr="005C55D9">
        <w:rPr>
          <w:b/>
          <w:u w:val="single"/>
          <w:lang w:val="es-ES"/>
        </w:rPr>
        <w:lastRenderedPageBreak/>
        <w:t xml:space="preserve">Métodos de </w:t>
      </w:r>
      <w:proofErr w:type="gramStart"/>
      <w:r w:rsidRPr="005C55D9">
        <w:rPr>
          <w:b/>
          <w:u w:val="single"/>
          <w:lang w:val="es-ES"/>
        </w:rPr>
        <w:t>investigación ,</w:t>
      </w:r>
      <w:proofErr w:type="gramEnd"/>
      <w:r w:rsidRPr="005C55D9">
        <w:rPr>
          <w:b/>
          <w:u w:val="single"/>
          <w:lang w:val="es-ES"/>
        </w:rPr>
        <w:t xml:space="preserve"> calendario y productos/resultados</w:t>
      </w:r>
    </w:p>
    <w:p w:rsidR="00366864" w:rsidRPr="005C55D9" w:rsidRDefault="00366864" w:rsidP="00366864">
      <w:pPr>
        <w:pStyle w:val="ListParagraph"/>
        <w:ind w:left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889"/>
        <w:gridCol w:w="3061"/>
        <w:gridCol w:w="2176"/>
        <w:gridCol w:w="2015"/>
      </w:tblGrid>
      <w:tr w:rsidR="00366864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2889" w:type="dxa"/>
          </w:tcPr>
          <w:p w:rsidR="00366864" w:rsidRPr="00957CF2" w:rsidRDefault="00366864" w:rsidP="00A8474C">
            <w:pPr>
              <w:pStyle w:val="Header"/>
              <w:tabs>
                <w:tab w:val="clear" w:pos="4513"/>
                <w:tab w:val="clear" w:pos="9026"/>
              </w:tabs>
              <w:contextualSpacing/>
              <w:rPr>
                <w:lang w:val="es-ES"/>
              </w:rPr>
            </w:pPr>
            <w:r w:rsidRPr="00957CF2">
              <w:rPr>
                <w:lang w:val="es-ES"/>
              </w:rPr>
              <w:t xml:space="preserve">Investigación sobre proyectos, </w:t>
            </w:r>
            <w:r>
              <w:rPr>
                <w:lang w:val="es-ES"/>
              </w:rPr>
              <w:t>práctica</w:t>
            </w:r>
            <w:r w:rsidRPr="00957CF2">
              <w:rPr>
                <w:lang w:val="es-ES"/>
              </w:rPr>
              <w:t xml:space="preserve">s y </w:t>
            </w:r>
            <w:r>
              <w:rPr>
                <w:lang w:val="es-ES"/>
              </w:rPr>
              <w:t>hechos</w:t>
            </w:r>
            <w:r w:rsidRPr="00957CF2">
              <w:rPr>
                <w:lang w:val="es-ES"/>
              </w:rPr>
              <w:t xml:space="preserve"> </w:t>
            </w:r>
          </w:p>
        </w:tc>
        <w:tc>
          <w:tcPr>
            <w:tcW w:w="3061" w:type="dxa"/>
          </w:tcPr>
          <w:p w:rsidR="00366864" w:rsidRPr="00957CF2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957CF2">
              <w:rPr>
                <w:lang w:val="es-ES"/>
              </w:rPr>
              <w:t xml:space="preserve">Fuentes: OIT, proyectos </w:t>
            </w:r>
            <w:r>
              <w:rPr>
                <w:lang w:val="es-ES"/>
              </w:rPr>
              <w:t>de sindicatos</w:t>
            </w:r>
            <w:r w:rsidRPr="00957CF2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957CF2">
              <w:rPr>
                <w:lang w:val="es-ES"/>
              </w:rPr>
              <w:t xml:space="preserve"> interlocutor</w:t>
            </w:r>
            <w:r>
              <w:rPr>
                <w:lang w:val="es-ES"/>
              </w:rPr>
              <w:t>e</w:t>
            </w:r>
            <w:r w:rsidRPr="00957CF2">
              <w:rPr>
                <w:lang w:val="es-ES"/>
              </w:rPr>
              <w:t xml:space="preserve">s sociales </w:t>
            </w:r>
            <w:r>
              <w:rPr>
                <w:lang w:val="es-ES"/>
              </w:rPr>
              <w:t>nacionales existentes centrados en el desarrollo</w:t>
            </w:r>
            <w:r w:rsidRPr="00957CF2">
              <w:rPr>
                <w:lang w:val="es-ES"/>
              </w:rPr>
              <w:t xml:space="preserve"> </w:t>
            </w:r>
          </w:p>
        </w:tc>
        <w:tc>
          <w:tcPr>
            <w:tcW w:w="2176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Septiembre</w:t>
            </w:r>
            <w:proofErr w:type="spellEnd"/>
            <w:r>
              <w:rPr>
                <w:lang w:val="en-GB"/>
              </w:rPr>
              <w:t xml:space="preserve"> de 2015</w:t>
            </w:r>
          </w:p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015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investigación</w:t>
            </w:r>
            <w:proofErr w:type="spellEnd"/>
          </w:p>
        </w:tc>
      </w:tr>
      <w:tr w:rsidR="00366864" w:rsidRPr="005C55D9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89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Reunión con el equipo de investigación para evaluar los términos de referencia y escoger los m</w:t>
            </w:r>
            <w:r>
              <w:rPr>
                <w:lang w:val="es-ES"/>
              </w:rPr>
              <w:t>étodos de investigación</w:t>
            </w:r>
          </w:p>
        </w:tc>
        <w:tc>
          <w:tcPr>
            <w:tcW w:w="3061" w:type="dxa"/>
          </w:tcPr>
          <w:p w:rsidR="00366864" w:rsidRPr="00613D20" w:rsidRDefault="00366864" w:rsidP="00A8474C">
            <w:pPr>
              <w:pStyle w:val="Header"/>
              <w:tabs>
                <w:tab w:val="clear" w:pos="4513"/>
                <w:tab w:val="clear" w:pos="9026"/>
              </w:tabs>
              <w:contextualSpacing/>
              <w:rPr>
                <w:lang w:val="es-ES"/>
              </w:rPr>
            </w:pPr>
            <w:r w:rsidRPr="00613D20">
              <w:rPr>
                <w:lang w:val="es-ES"/>
              </w:rPr>
              <w:t>Se recabarán l</w:t>
            </w:r>
            <w:r>
              <w:rPr>
                <w:lang w:val="es-ES"/>
              </w:rPr>
              <w:t>o</w:t>
            </w:r>
            <w:r w:rsidRPr="00613D20">
              <w:rPr>
                <w:lang w:val="es-ES"/>
              </w:rPr>
              <w:t xml:space="preserve">s </w:t>
            </w:r>
            <w:r>
              <w:rPr>
                <w:lang w:val="es-ES"/>
              </w:rPr>
              <w:t xml:space="preserve">“hechos” </w:t>
            </w:r>
            <w:r w:rsidRPr="00613D20">
              <w:rPr>
                <w:lang w:val="es-ES"/>
              </w:rPr>
              <w:t>nacionales y regionales en cooperaci</w:t>
            </w:r>
            <w:r>
              <w:rPr>
                <w:lang w:val="es-ES"/>
              </w:rPr>
              <w:t>ón con los institutos regionales de investigación</w:t>
            </w:r>
            <w:r w:rsidRPr="00613D20">
              <w:rPr>
                <w:lang w:val="es-ES"/>
              </w:rPr>
              <w:t xml:space="preserve"> (IDEAM, ALRN, AP...)</w:t>
            </w:r>
          </w:p>
        </w:tc>
        <w:tc>
          <w:tcPr>
            <w:tcW w:w="2176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Junio-julio 2015</w:t>
            </w:r>
          </w:p>
        </w:tc>
        <w:tc>
          <w:tcPr>
            <w:tcW w:w="2015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Acuerdo sobre objetivos, metodología y calendario por </w:t>
            </w:r>
            <w:proofErr w:type="spellStart"/>
            <w:r>
              <w:rPr>
                <w:lang w:val="es-ES"/>
              </w:rPr>
              <w:t>region</w:t>
            </w:r>
            <w:proofErr w:type="spellEnd"/>
          </w:p>
        </w:tc>
      </w:tr>
      <w:tr w:rsidR="00366864" w:rsidRPr="00123F18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2 </w:t>
            </w:r>
          </w:p>
        </w:tc>
        <w:tc>
          <w:tcPr>
            <w:tcW w:w="2889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 xml:space="preserve">Identificar y estudiar experiencias nacionales pertinentes  </w:t>
            </w:r>
          </w:p>
        </w:tc>
        <w:tc>
          <w:tcPr>
            <w:tcW w:w="3061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 xml:space="preserve">Muestra de experiencias nacionales representativas por continente </w:t>
            </w:r>
          </w:p>
        </w:tc>
        <w:tc>
          <w:tcPr>
            <w:tcW w:w="2176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Junio-septiembre</w:t>
            </w:r>
            <w:proofErr w:type="spellEnd"/>
            <w:r>
              <w:rPr>
                <w:lang w:val="en-GB"/>
              </w:rPr>
              <w:t xml:space="preserve"> de 2015</w:t>
            </w:r>
          </w:p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015" w:type="dxa"/>
          </w:tcPr>
          <w:p w:rsidR="00366864" w:rsidRPr="00123F18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123F18">
              <w:rPr>
                <w:lang w:val="es-ES"/>
              </w:rPr>
              <w:t>Informes nacionales finalizados por las regionales</w:t>
            </w:r>
          </w:p>
        </w:tc>
      </w:tr>
      <w:tr w:rsidR="00366864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3</w:t>
            </w:r>
          </w:p>
        </w:tc>
        <w:tc>
          <w:tcPr>
            <w:tcW w:w="2889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 xml:space="preserve">Formular conclusiones sobre la importancias del diálogo social en el desarrollo </w:t>
            </w:r>
          </w:p>
        </w:tc>
        <w:tc>
          <w:tcPr>
            <w:tcW w:w="306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Primer </w:t>
            </w:r>
            <w:proofErr w:type="spellStart"/>
            <w:r>
              <w:rPr>
                <w:lang w:val="en-GB"/>
              </w:rPr>
              <w:t>borrador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conclusiones</w:t>
            </w:r>
            <w:proofErr w:type="spellEnd"/>
          </w:p>
        </w:tc>
        <w:tc>
          <w:tcPr>
            <w:tcW w:w="2176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Septiembre</w:t>
            </w:r>
            <w:proofErr w:type="spellEnd"/>
            <w:r>
              <w:rPr>
                <w:lang w:val="en-GB"/>
              </w:rPr>
              <w:t xml:space="preserve"> de 2015</w:t>
            </w:r>
          </w:p>
        </w:tc>
        <w:tc>
          <w:tcPr>
            <w:tcW w:w="2015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Borrador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366864" w:rsidRPr="00901C27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4</w:t>
            </w:r>
          </w:p>
        </w:tc>
        <w:tc>
          <w:tcPr>
            <w:tcW w:w="2889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Hacia prácticas e iniciativas innovadoras (seminario)</w:t>
            </w:r>
          </w:p>
        </w:tc>
        <w:tc>
          <w:tcPr>
            <w:tcW w:w="3061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Seminario con el grupo de trabajo específico de la</w:t>
            </w:r>
            <w:r>
              <w:rPr>
                <w:lang w:val="es-ES"/>
              </w:rPr>
              <w:t xml:space="preserve"> </w:t>
            </w:r>
            <w:r w:rsidRPr="00613D20">
              <w:rPr>
                <w:lang w:val="es-ES"/>
              </w:rPr>
              <w:t>RSCD</w:t>
            </w:r>
            <w:r>
              <w:rPr>
                <w:lang w:val="es-ES"/>
              </w:rPr>
              <w:t xml:space="preserve"> y socios para debatir el primer borrador</w:t>
            </w:r>
          </w:p>
        </w:tc>
        <w:tc>
          <w:tcPr>
            <w:tcW w:w="2176" w:type="dxa"/>
          </w:tcPr>
          <w:p w:rsidR="00366864" w:rsidRPr="00901C27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901C27">
              <w:rPr>
                <w:lang w:val="es-ES"/>
              </w:rPr>
              <w:t>Octubre de 2015; junto al Foro Sindical con el OCDE/CAD</w:t>
            </w:r>
          </w:p>
        </w:tc>
        <w:tc>
          <w:tcPr>
            <w:tcW w:w="2015" w:type="dxa"/>
          </w:tcPr>
          <w:p w:rsidR="00366864" w:rsidRPr="00901C27" w:rsidRDefault="00366864" w:rsidP="00A8474C">
            <w:pPr>
              <w:pStyle w:val="Header"/>
              <w:tabs>
                <w:tab w:val="clear" w:pos="4513"/>
                <w:tab w:val="clear" w:pos="9026"/>
              </w:tabs>
              <w:contextualSpacing/>
              <w:rPr>
                <w:lang w:val="es-ES"/>
              </w:rPr>
            </w:pPr>
            <w:r w:rsidRPr="00901C27">
              <w:rPr>
                <w:lang w:val="es-ES"/>
              </w:rPr>
              <w:t xml:space="preserve">Conclusiones </w:t>
            </w:r>
            <w:r>
              <w:rPr>
                <w:lang w:val="es-ES"/>
              </w:rPr>
              <w:t>e</w:t>
            </w:r>
            <w:r w:rsidRPr="00901C27">
              <w:rPr>
                <w:lang w:val="es-ES"/>
              </w:rPr>
              <w:t xml:space="preserve"> informe del seminario</w:t>
            </w:r>
          </w:p>
        </w:tc>
      </w:tr>
      <w:tr w:rsidR="00366864" w:rsidRPr="00D3406E" w:rsidTr="00DB52AA">
        <w:tc>
          <w:tcPr>
            <w:tcW w:w="821" w:type="dxa"/>
          </w:tcPr>
          <w:p w:rsidR="00366864" w:rsidRPr="00901C27" w:rsidRDefault="00366864" w:rsidP="00DB52AA">
            <w:pPr>
              <w:pStyle w:val="ListParagraph"/>
              <w:ind w:left="0"/>
              <w:rPr>
                <w:lang w:val="es-ES"/>
              </w:rPr>
            </w:pPr>
          </w:p>
        </w:tc>
        <w:tc>
          <w:tcPr>
            <w:tcW w:w="2889" w:type="dxa"/>
          </w:tcPr>
          <w:p w:rsidR="00366864" w:rsidRPr="00613D20" w:rsidRDefault="00366864" w:rsidP="00DB52AA">
            <w:pPr>
              <w:pStyle w:val="ListParagraph"/>
              <w:ind w:left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Interaccion</w:t>
            </w:r>
            <w:proofErr w:type="spellEnd"/>
            <w:r>
              <w:rPr>
                <w:lang w:val="es-ES"/>
              </w:rPr>
              <w:t xml:space="preserve"> con gobiernos sobre los resultados </w:t>
            </w:r>
          </w:p>
        </w:tc>
        <w:tc>
          <w:tcPr>
            <w:tcW w:w="3061" w:type="dxa"/>
          </w:tcPr>
          <w:p w:rsidR="00366864" w:rsidRPr="00613D20" w:rsidRDefault="00366864" w:rsidP="00A8474C">
            <w:pPr>
              <w:pStyle w:val="Header"/>
              <w:tabs>
                <w:tab w:val="clear" w:pos="4513"/>
                <w:tab w:val="clear" w:pos="9026"/>
              </w:tabs>
              <w:contextualSpacing/>
              <w:rPr>
                <w:lang w:val="es-ES"/>
              </w:rPr>
            </w:pPr>
            <w:r>
              <w:rPr>
                <w:lang w:val="es-ES"/>
              </w:rPr>
              <w:t xml:space="preserve">2º </w:t>
            </w:r>
            <w:r w:rsidRPr="00901C27">
              <w:rPr>
                <w:lang w:val="es-ES"/>
              </w:rPr>
              <w:t xml:space="preserve">Foro Sindical con </w:t>
            </w:r>
            <w:r>
              <w:rPr>
                <w:lang w:val="es-ES"/>
              </w:rPr>
              <w:t>la</w:t>
            </w:r>
            <w:r w:rsidRPr="00901C27">
              <w:rPr>
                <w:lang w:val="es-ES"/>
              </w:rPr>
              <w:t xml:space="preserve"> OCDE/CAD</w:t>
            </w:r>
          </w:p>
        </w:tc>
        <w:tc>
          <w:tcPr>
            <w:tcW w:w="2176" w:type="dxa"/>
          </w:tcPr>
          <w:p w:rsidR="00366864" w:rsidRPr="00901C27" w:rsidRDefault="00366864" w:rsidP="00DB52A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Octubre de 2015</w:t>
            </w:r>
          </w:p>
        </w:tc>
        <w:tc>
          <w:tcPr>
            <w:tcW w:w="2015" w:type="dxa"/>
          </w:tcPr>
          <w:p w:rsidR="00366864" w:rsidRPr="00901C27" w:rsidRDefault="00366864" w:rsidP="00DB52A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Resumen de discusiones</w:t>
            </w:r>
          </w:p>
        </w:tc>
      </w:tr>
      <w:tr w:rsidR="00366864" w:rsidRPr="00BB7903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5</w:t>
            </w:r>
          </w:p>
        </w:tc>
        <w:tc>
          <w:tcPr>
            <w:tcW w:w="2889" w:type="dxa"/>
          </w:tcPr>
          <w:p w:rsidR="00366864" w:rsidRPr="00C5445C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C5445C">
              <w:rPr>
                <w:lang w:val="es-ES"/>
              </w:rPr>
              <w:t>Redactar informe y formular recomendaciones/propuestas</w:t>
            </w:r>
          </w:p>
        </w:tc>
        <w:tc>
          <w:tcPr>
            <w:tcW w:w="306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Informe</w:t>
            </w:r>
            <w:proofErr w:type="spellEnd"/>
            <w:r>
              <w:rPr>
                <w:lang w:val="en-GB"/>
              </w:rPr>
              <w:t xml:space="preserve"> final </w:t>
            </w:r>
          </w:p>
        </w:tc>
        <w:tc>
          <w:tcPr>
            <w:tcW w:w="2176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Diciembre</w:t>
            </w:r>
            <w:proofErr w:type="spellEnd"/>
            <w:r>
              <w:rPr>
                <w:lang w:val="en-GB"/>
              </w:rPr>
              <w:t xml:space="preserve"> de 2015</w:t>
            </w:r>
          </w:p>
        </w:tc>
        <w:tc>
          <w:tcPr>
            <w:tcW w:w="2015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preliminar</w:t>
            </w:r>
            <w:proofErr w:type="spellEnd"/>
          </w:p>
        </w:tc>
      </w:tr>
      <w:tr w:rsidR="00366864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89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Lanzamiento</w:t>
            </w:r>
            <w:proofErr w:type="spellEnd"/>
            <w:r>
              <w:rPr>
                <w:lang w:val="en-GB"/>
              </w:rPr>
              <w:t xml:space="preserve"> de la </w:t>
            </w:r>
            <w:proofErr w:type="spellStart"/>
            <w:r>
              <w:rPr>
                <w:lang w:val="en-GB"/>
              </w:rPr>
              <w:t>Alianza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061" w:type="dxa"/>
          </w:tcPr>
          <w:p w:rsidR="00366864" w:rsidRPr="0059115C" w:rsidRDefault="00366864" w:rsidP="00DB52AA">
            <w:pPr>
              <w:pStyle w:val="ListParagraph"/>
              <w:ind w:left="0"/>
              <w:rPr>
                <w:lang w:val="es-ES"/>
              </w:rPr>
            </w:pPr>
            <w:r w:rsidRPr="0059115C">
              <w:rPr>
                <w:lang w:val="es-ES"/>
              </w:rPr>
              <w:t xml:space="preserve">Conferencia con socios de la UE + </w:t>
            </w:r>
            <w:r>
              <w:rPr>
                <w:lang w:val="es-ES"/>
              </w:rPr>
              <w:t>socios del CAD</w:t>
            </w:r>
            <w:r w:rsidRPr="0059115C">
              <w:rPr>
                <w:lang w:val="es-ES"/>
              </w:rPr>
              <w:t xml:space="preserve"> </w:t>
            </w:r>
          </w:p>
        </w:tc>
        <w:tc>
          <w:tcPr>
            <w:tcW w:w="2176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Diciembre</w:t>
            </w:r>
            <w:proofErr w:type="spellEnd"/>
            <w:r>
              <w:rPr>
                <w:lang w:val="en-GB"/>
              </w:rPr>
              <w:t xml:space="preserve"> de 2015</w:t>
            </w:r>
          </w:p>
        </w:tc>
        <w:tc>
          <w:tcPr>
            <w:tcW w:w="2015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Informe</w:t>
            </w:r>
            <w:proofErr w:type="spellEnd"/>
            <w:r>
              <w:rPr>
                <w:lang w:val="en-GB"/>
              </w:rPr>
              <w:t xml:space="preserve"> final</w:t>
            </w:r>
          </w:p>
        </w:tc>
      </w:tr>
      <w:tr w:rsidR="00366864" w:rsidTr="00DB52AA">
        <w:tc>
          <w:tcPr>
            <w:tcW w:w="82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6</w:t>
            </w:r>
          </w:p>
        </w:tc>
        <w:tc>
          <w:tcPr>
            <w:tcW w:w="2889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Difusión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apoyo</w:t>
            </w:r>
            <w:proofErr w:type="spellEnd"/>
          </w:p>
        </w:tc>
        <w:tc>
          <w:tcPr>
            <w:tcW w:w="3061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Traducciones</w:t>
            </w:r>
            <w:proofErr w:type="spellEnd"/>
            <w:r>
              <w:rPr>
                <w:lang w:val="en-GB"/>
              </w:rPr>
              <w:t xml:space="preserve"> y material</w:t>
            </w:r>
          </w:p>
        </w:tc>
        <w:tc>
          <w:tcPr>
            <w:tcW w:w="2176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Diciembre</w:t>
            </w:r>
            <w:proofErr w:type="spellEnd"/>
            <w:r>
              <w:rPr>
                <w:lang w:val="en-GB"/>
              </w:rPr>
              <w:t xml:space="preserve"> de 2015</w:t>
            </w:r>
          </w:p>
        </w:tc>
        <w:tc>
          <w:tcPr>
            <w:tcW w:w="2015" w:type="dxa"/>
          </w:tcPr>
          <w:p w:rsidR="00366864" w:rsidRDefault="00366864" w:rsidP="00DB52AA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B76939" w:rsidRPr="00F36DD3" w:rsidRDefault="00B76939" w:rsidP="00366864">
      <w:pPr>
        <w:pStyle w:val="ListParagraph"/>
        <w:ind w:left="0"/>
        <w:rPr>
          <w:lang w:val="en-GB"/>
        </w:rPr>
      </w:pPr>
    </w:p>
    <w:sectPr w:rsidR="00B76939" w:rsidRPr="00F36DD3" w:rsidSect="004A4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E9" w:rsidRDefault="005517E9" w:rsidP="00B76939">
      <w:pPr>
        <w:spacing w:after="0" w:line="240" w:lineRule="auto"/>
      </w:pPr>
      <w:r>
        <w:separator/>
      </w:r>
    </w:p>
  </w:endnote>
  <w:endnote w:type="continuationSeparator" w:id="0">
    <w:p w:rsidR="005517E9" w:rsidRDefault="005517E9" w:rsidP="00B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4" w:rsidRDefault="00366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4" w:rsidRDefault="003668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4" w:rsidRDefault="00366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E9" w:rsidRDefault="005517E9" w:rsidP="00B76939">
      <w:pPr>
        <w:spacing w:after="0" w:line="240" w:lineRule="auto"/>
      </w:pPr>
      <w:r>
        <w:separator/>
      </w:r>
    </w:p>
  </w:footnote>
  <w:footnote w:type="continuationSeparator" w:id="0">
    <w:p w:rsidR="005517E9" w:rsidRDefault="005517E9" w:rsidP="00B76939">
      <w:pPr>
        <w:spacing w:after="0" w:line="240" w:lineRule="auto"/>
      </w:pPr>
      <w:r>
        <w:continuationSeparator/>
      </w:r>
    </w:p>
  </w:footnote>
  <w:footnote w:id="1">
    <w:p w:rsidR="00366864" w:rsidRPr="00FF2515" w:rsidRDefault="00366864" w:rsidP="0036686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F2515">
        <w:rPr>
          <w:lang w:val="en-GB"/>
        </w:rPr>
        <w:t xml:space="preserve"> </w:t>
      </w:r>
      <w:r w:rsidRPr="001C7F0B">
        <w:t>http://ilo.org/global/standards/introduction-to-international-labour-standards/conventions-and-recommendations/lan</w:t>
      </w:r>
      <w:proofErr w:type="gramStart"/>
      <w:r w:rsidRPr="001C7F0B">
        <w:t>g--</w:t>
      </w:r>
      <w:proofErr w:type="gramEnd"/>
      <w:r w:rsidRPr="001C7F0B">
        <w:t>es/index.htm</w:t>
      </w:r>
      <w:r>
        <w:rPr>
          <w:lang w:val="en-GB"/>
        </w:rPr>
        <w:t xml:space="preserve"> </w:t>
      </w:r>
    </w:p>
  </w:footnote>
  <w:footnote w:id="2">
    <w:p w:rsidR="00366864" w:rsidRDefault="00366864" w:rsidP="00366864">
      <w:pPr>
        <w:pStyle w:val="Heading5"/>
        <w:spacing w:before="0" w:beforeAutospacing="0" w:after="0" w:afterAutospacing="0"/>
        <w:rPr>
          <w:b w:val="0"/>
          <w:sz w:val="16"/>
          <w:lang w:val="es-ES"/>
        </w:rPr>
      </w:pPr>
      <w:r>
        <w:rPr>
          <w:rStyle w:val="FootnoteReference"/>
        </w:rPr>
        <w:footnoteRef/>
      </w:r>
      <w:r w:rsidRPr="00D25972">
        <w:rPr>
          <w:lang w:val="es-ES"/>
        </w:rPr>
        <w:t xml:space="preserve"> </w:t>
      </w:r>
      <w:r w:rsidRPr="00D25972">
        <w:rPr>
          <w:sz w:val="16"/>
          <w:lang w:val="es-ES"/>
        </w:rPr>
        <w:t>32.</w:t>
      </w:r>
      <w:r w:rsidRPr="00351DE0">
        <w:rPr>
          <w:lang w:val="es-ES"/>
        </w:rPr>
        <w:t xml:space="preserve"> </w:t>
      </w:r>
      <w:r w:rsidRPr="00D25972">
        <w:rPr>
          <w:b w:val="0"/>
          <w:sz w:val="16"/>
          <w:lang w:val="es-ES"/>
        </w:rPr>
        <w:t>Reconocemos la función esencial del sector privado en la promoción de la innovación; la</w:t>
      </w:r>
      <w:r>
        <w:rPr>
          <w:b w:val="0"/>
          <w:sz w:val="16"/>
          <w:lang w:val="es-ES"/>
        </w:rPr>
        <w:t xml:space="preserve"> </w:t>
      </w:r>
      <w:r w:rsidRPr="00D25972">
        <w:rPr>
          <w:b w:val="0"/>
          <w:sz w:val="16"/>
          <w:lang w:val="es-ES"/>
        </w:rPr>
        <w:t>creación de riqueza, ingresos y empleos; y en la movilización de recursos nacionales contribuyendo así a la reducción de la pobreza. Por consiguiente, nosotros:</w:t>
      </w:r>
      <w:r>
        <w:rPr>
          <w:b w:val="0"/>
          <w:sz w:val="16"/>
          <w:lang w:val="es-ES"/>
        </w:rPr>
        <w:t xml:space="preserve"> </w:t>
      </w:r>
    </w:p>
    <w:p w:rsidR="00366864" w:rsidRPr="00D25972" w:rsidRDefault="00366864" w:rsidP="00366864">
      <w:pPr>
        <w:pStyle w:val="Heading5"/>
        <w:spacing w:before="0" w:beforeAutospacing="0" w:after="0" w:afterAutospacing="0"/>
        <w:rPr>
          <w:rFonts w:ascii="Arial" w:hAnsi="Arial" w:cs="Arial"/>
          <w:sz w:val="16"/>
          <w:lang w:val="es-ES"/>
        </w:rPr>
      </w:pPr>
      <w:r w:rsidRPr="00D25972">
        <w:rPr>
          <w:b w:val="0"/>
          <w:sz w:val="16"/>
          <w:lang w:val="es-ES"/>
        </w:rPr>
        <w:t>a</w:t>
      </w:r>
      <w:r>
        <w:rPr>
          <w:b w:val="0"/>
          <w:sz w:val="16"/>
          <w:lang w:val="es-ES"/>
        </w:rPr>
        <w:t>)</w:t>
      </w:r>
      <w:r w:rsidRPr="00D25972">
        <w:rPr>
          <w:b w:val="0"/>
          <w:sz w:val="16"/>
          <w:lang w:val="es-ES"/>
        </w:rPr>
        <w:t xml:space="preserve"> colaboramos con las asociaciones profesionales, los sindicatos y otras entidades representativas con el fin de mejorar el entorno legal, reglamentario y administrativo para la inversión privada y también para asegurar políticas firmes y un contexto reglamentario conveniente para favorecer el desarrollo del sector privado, el incremento de la inversión extranjera directa, las asociaciones público-privadas, el fortalecimiento de las cadenas de valor de manera equitativa, con especial consideración a las dimensiones nacionales y regionales y la intensificación de los esfuerzos en favor de las metas de desarrollo</w:t>
      </w:r>
      <w:r w:rsidRPr="00D25972">
        <w:rPr>
          <w:rFonts w:ascii="Arial" w:hAnsi="Arial" w:cs="Arial"/>
          <w:b w:val="0"/>
          <w:sz w:val="16"/>
          <w:lang w:val="es-ES"/>
        </w:rPr>
        <w:t>.</w:t>
      </w:r>
    </w:p>
  </w:footnote>
  <w:footnote w:id="3">
    <w:p w:rsidR="00366864" w:rsidRPr="00520117" w:rsidRDefault="00366864" w:rsidP="00366864">
      <w:pPr>
        <w:pStyle w:val="Heading5"/>
        <w:spacing w:before="120" w:beforeAutospacing="0" w:after="0" w:afterAutospacing="0"/>
        <w:rPr>
          <w:b w:val="0"/>
          <w:sz w:val="16"/>
          <w:lang w:val="es-ES"/>
        </w:rPr>
      </w:pPr>
      <w:r w:rsidRPr="00DC4542">
        <w:rPr>
          <w:rStyle w:val="FootnoteReference"/>
          <w:b w:val="0"/>
        </w:rPr>
        <w:footnoteRef/>
      </w:r>
      <w:r w:rsidRPr="00520117">
        <w:rPr>
          <w:lang w:val="es-ES"/>
        </w:rPr>
        <w:t xml:space="preserve"> </w:t>
      </w:r>
      <w:r>
        <w:rPr>
          <w:sz w:val="16"/>
          <w:lang w:val="es-ES"/>
        </w:rPr>
        <w:t>Artículo</w:t>
      </w:r>
      <w:r w:rsidRPr="00520117">
        <w:rPr>
          <w:sz w:val="16"/>
          <w:lang w:val="es-ES"/>
        </w:rPr>
        <w:t xml:space="preserve"> 3 </w:t>
      </w:r>
      <w:r w:rsidRPr="00520117">
        <w:rPr>
          <w:b w:val="0"/>
          <w:sz w:val="16"/>
          <w:lang w:val="es-ES"/>
        </w:rPr>
        <w:t>Deberán crearse organismos adecuados a las condiciones nacionales, cuando ello sea necesario, para garantizar el respeto al derecho de sindicación definido en los artículos precedentes.</w:t>
      </w:r>
    </w:p>
    <w:p w:rsidR="00366864" w:rsidRPr="00520117" w:rsidRDefault="00366864" w:rsidP="00366864">
      <w:pPr>
        <w:pStyle w:val="Heading5"/>
        <w:spacing w:before="0" w:beforeAutospacing="0" w:after="0" w:afterAutospacing="0"/>
        <w:rPr>
          <w:b w:val="0"/>
          <w:sz w:val="16"/>
          <w:lang w:val="es-ES"/>
        </w:rPr>
      </w:pPr>
      <w:bookmarkStart w:id="1" w:name="A4"/>
      <w:bookmarkEnd w:id="1"/>
      <w:r w:rsidRPr="00520117">
        <w:rPr>
          <w:sz w:val="16"/>
          <w:lang w:val="es-ES"/>
        </w:rPr>
        <w:t xml:space="preserve">Artículo 4 </w:t>
      </w:r>
      <w:r w:rsidRPr="00520117">
        <w:rPr>
          <w:b w:val="0"/>
          <w:sz w:val="16"/>
          <w:lang w:val="es-ES"/>
        </w:rPr>
        <w:t>Deberán adoptarse medidas adecuadas a las condiciones nacionales, cuando ello sea necesario, para estimular y fomentar entre los empleadores y las organizaciones de empleadores, por una parte, y las organizaciones de trabajadores, por otra, el pleno desarrollo y uso de procedimientos de negociación voluntaria, con objeto de reglamentar, por medio de contratos colectivos, las condiciones de empleo.</w:t>
      </w:r>
    </w:p>
    <w:p w:rsidR="00366864" w:rsidRPr="00520117" w:rsidRDefault="00366864" w:rsidP="00366864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4" w:rsidRDefault="005517E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4" w:rsidRDefault="005517E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64" w:rsidRDefault="005517E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C0D"/>
    <w:multiLevelType w:val="hybridMultilevel"/>
    <w:tmpl w:val="AD5E5B54"/>
    <w:lvl w:ilvl="0" w:tplc="34203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A3E"/>
    <w:multiLevelType w:val="hybridMultilevel"/>
    <w:tmpl w:val="154A06A2"/>
    <w:lvl w:ilvl="0" w:tplc="43F09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43F"/>
    <w:multiLevelType w:val="hybridMultilevel"/>
    <w:tmpl w:val="0E86659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72BE7"/>
    <w:multiLevelType w:val="hybridMultilevel"/>
    <w:tmpl w:val="D916B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34A"/>
    <w:multiLevelType w:val="hybridMultilevel"/>
    <w:tmpl w:val="65420DD4"/>
    <w:lvl w:ilvl="0" w:tplc="08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A36E13"/>
    <w:multiLevelType w:val="hybridMultilevel"/>
    <w:tmpl w:val="268C44F0"/>
    <w:lvl w:ilvl="0" w:tplc="34203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95A04"/>
    <w:multiLevelType w:val="hybridMultilevel"/>
    <w:tmpl w:val="3E48AA40"/>
    <w:lvl w:ilvl="0" w:tplc="342035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075D4"/>
    <w:multiLevelType w:val="hybridMultilevel"/>
    <w:tmpl w:val="5316F0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95407"/>
    <w:multiLevelType w:val="hybridMultilevel"/>
    <w:tmpl w:val="7534C240"/>
    <w:lvl w:ilvl="0" w:tplc="34203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57380"/>
    <w:multiLevelType w:val="hybridMultilevel"/>
    <w:tmpl w:val="A8AEB4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2"/>
    <w:rsid w:val="0001377A"/>
    <w:rsid w:val="00026B8E"/>
    <w:rsid w:val="000533A9"/>
    <w:rsid w:val="00053D51"/>
    <w:rsid w:val="000A6CEB"/>
    <w:rsid w:val="000F465D"/>
    <w:rsid w:val="0012779E"/>
    <w:rsid w:val="00146BFC"/>
    <w:rsid w:val="001C2900"/>
    <w:rsid w:val="001E202E"/>
    <w:rsid w:val="0020409A"/>
    <w:rsid w:val="00204143"/>
    <w:rsid w:val="0021071B"/>
    <w:rsid w:val="00291D97"/>
    <w:rsid w:val="00293D59"/>
    <w:rsid w:val="002D0E0A"/>
    <w:rsid w:val="00340AAC"/>
    <w:rsid w:val="00366864"/>
    <w:rsid w:val="003B7610"/>
    <w:rsid w:val="003C7522"/>
    <w:rsid w:val="00487F1D"/>
    <w:rsid w:val="004A46B4"/>
    <w:rsid w:val="004E15C3"/>
    <w:rsid w:val="005021DC"/>
    <w:rsid w:val="005517E9"/>
    <w:rsid w:val="0056152D"/>
    <w:rsid w:val="005D79E9"/>
    <w:rsid w:val="005E01C2"/>
    <w:rsid w:val="005F20B9"/>
    <w:rsid w:val="005F4FBA"/>
    <w:rsid w:val="00716623"/>
    <w:rsid w:val="00726F71"/>
    <w:rsid w:val="007462A9"/>
    <w:rsid w:val="007D55AD"/>
    <w:rsid w:val="007F5FC0"/>
    <w:rsid w:val="00865B9A"/>
    <w:rsid w:val="008C08E1"/>
    <w:rsid w:val="009501D1"/>
    <w:rsid w:val="009927C4"/>
    <w:rsid w:val="009B3DDC"/>
    <w:rsid w:val="00A34C03"/>
    <w:rsid w:val="00A8474C"/>
    <w:rsid w:val="00B253D0"/>
    <w:rsid w:val="00B30E55"/>
    <w:rsid w:val="00B76939"/>
    <w:rsid w:val="00BC376D"/>
    <w:rsid w:val="00C252CD"/>
    <w:rsid w:val="00CF5262"/>
    <w:rsid w:val="00D43548"/>
    <w:rsid w:val="00DB09A2"/>
    <w:rsid w:val="00DB174B"/>
    <w:rsid w:val="00E750D2"/>
    <w:rsid w:val="00EC0262"/>
    <w:rsid w:val="00EF6043"/>
    <w:rsid w:val="00F073E0"/>
    <w:rsid w:val="00F36848"/>
    <w:rsid w:val="00F36DD3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2D"/>
  </w:style>
  <w:style w:type="paragraph" w:styleId="Heading5">
    <w:name w:val="heading 5"/>
    <w:basedOn w:val="Normal"/>
    <w:link w:val="Heading5Char"/>
    <w:uiPriority w:val="9"/>
    <w:qFormat/>
    <w:rsid w:val="00B769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C2"/>
    <w:pPr>
      <w:ind w:left="720"/>
      <w:contextualSpacing/>
    </w:pPr>
  </w:style>
  <w:style w:type="table" w:styleId="TableGrid">
    <w:name w:val="Table Grid"/>
    <w:basedOn w:val="TableNormal"/>
    <w:uiPriority w:val="59"/>
    <w:rsid w:val="00F3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76939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9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9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6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864"/>
    <w:pPr>
      <w:tabs>
        <w:tab w:val="center" w:pos="4513"/>
        <w:tab w:val="right" w:pos="9026"/>
      </w:tabs>
      <w:spacing w:after="0" w:line="240" w:lineRule="auto"/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36686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66864"/>
    <w:pPr>
      <w:tabs>
        <w:tab w:val="center" w:pos="4513"/>
        <w:tab w:val="right" w:pos="9026"/>
      </w:tabs>
      <w:spacing w:after="0" w:line="240" w:lineRule="auto"/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366864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2D"/>
  </w:style>
  <w:style w:type="paragraph" w:styleId="Heading5">
    <w:name w:val="heading 5"/>
    <w:basedOn w:val="Normal"/>
    <w:link w:val="Heading5Char"/>
    <w:uiPriority w:val="9"/>
    <w:qFormat/>
    <w:rsid w:val="00B769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C2"/>
    <w:pPr>
      <w:ind w:left="720"/>
      <w:contextualSpacing/>
    </w:pPr>
  </w:style>
  <w:style w:type="table" w:styleId="TableGrid">
    <w:name w:val="Table Grid"/>
    <w:basedOn w:val="TableNormal"/>
    <w:uiPriority w:val="59"/>
    <w:rsid w:val="00F3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76939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9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9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6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864"/>
    <w:pPr>
      <w:tabs>
        <w:tab w:val="center" w:pos="4513"/>
        <w:tab w:val="right" w:pos="9026"/>
      </w:tabs>
      <w:spacing w:after="0" w:line="240" w:lineRule="auto"/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36686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66864"/>
    <w:pPr>
      <w:tabs>
        <w:tab w:val="center" w:pos="4513"/>
        <w:tab w:val="right" w:pos="9026"/>
      </w:tabs>
      <w:spacing w:after="0" w:line="240" w:lineRule="auto"/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36686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2629</Words>
  <Characters>14465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150423 document</vt:lpstr>
      <vt:lpstr/>
    </vt:vector>
  </TitlesOfParts>
  <Company>Hewlett-Packard Company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150423 document</dc:title>
  <dc:creator>Jan</dc:creator>
  <cp:lastModifiedBy>Marion Levillain</cp:lastModifiedBy>
  <cp:revision>2</cp:revision>
  <dcterms:created xsi:type="dcterms:W3CDTF">2015-04-23T08:25:00Z</dcterms:created>
  <dcterms:modified xsi:type="dcterms:W3CDTF">2015-04-23T08:25:00Z</dcterms:modified>
</cp:coreProperties>
</file>