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66" w:rsidRPr="00B31688" w:rsidRDefault="0069704F" w:rsidP="00B338F3">
      <w:pPr>
        <w:jc w:val="center"/>
      </w:pPr>
      <w:r w:rsidRPr="00B31688">
        <w:rPr>
          <w:noProof/>
          <w:lang w:val="fr-BE" w:eastAsia="fr-BE"/>
        </w:rPr>
        <w:drawing>
          <wp:inline distT="0" distB="0" distL="0" distR="0">
            <wp:extent cx="2191110" cy="836763"/>
            <wp:effectExtent l="0" t="0" r="0" b="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9" cstate="print"/>
                    <a:stretch>
                      <a:fillRect/>
                    </a:stretch>
                  </pic:blipFill>
                  <pic:spPr>
                    <a:xfrm>
                      <a:off x="0" y="0"/>
                      <a:ext cx="2210710" cy="844248"/>
                    </a:xfrm>
                    <a:prstGeom prst="rect">
                      <a:avLst/>
                    </a:prstGeom>
                  </pic:spPr>
                </pic:pic>
              </a:graphicData>
            </a:graphic>
          </wp:inline>
        </w:drawing>
      </w:r>
    </w:p>
    <w:p w:rsidR="00312322" w:rsidRPr="00B31688" w:rsidRDefault="00312322" w:rsidP="00CE2738">
      <w:pPr>
        <w:pStyle w:val="Title"/>
        <w:spacing w:after="120"/>
        <w:jc w:val="center"/>
        <w:rPr>
          <w:b/>
          <w:bCs/>
          <w:sz w:val="36"/>
          <w:szCs w:val="36"/>
        </w:rPr>
      </w:pPr>
    </w:p>
    <w:p w:rsidR="00280C02" w:rsidRPr="00B31688" w:rsidRDefault="00280C02" w:rsidP="000E5730">
      <w:pPr>
        <w:pStyle w:val="Title"/>
        <w:spacing w:after="120"/>
        <w:jc w:val="center"/>
        <w:rPr>
          <w:b/>
          <w:bCs/>
          <w:sz w:val="36"/>
          <w:szCs w:val="36"/>
        </w:rPr>
      </w:pPr>
    </w:p>
    <w:p w:rsidR="00280C02" w:rsidRPr="00B31688" w:rsidRDefault="00280C02" w:rsidP="000E5730">
      <w:pPr>
        <w:pStyle w:val="Title"/>
        <w:spacing w:after="120"/>
        <w:jc w:val="center"/>
        <w:rPr>
          <w:b/>
          <w:bCs/>
          <w:sz w:val="36"/>
          <w:szCs w:val="36"/>
        </w:rPr>
      </w:pPr>
    </w:p>
    <w:p w:rsidR="000E5730" w:rsidRPr="00B31688" w:rsidRDefault="00557966" w:rsidP="000E5730">
      <w:pPr>
        <w:pStyle w:val="Title"/>
        <w:spacing w:after="120"/>
        <w:jc w:val="center"/>
        <w:rPr>
          <w:b/>
          <w:bCs/>
          <w:sz w:val="36"/>
          <w:szCs w:val="36"/>
        </w:rPr>
      </w:pPr>
      <w:r w:rsidRPr="00B31688">
        <w:rPr>
          <w:b/>
          <w:bCs/>
          <w:sz w:val="36"/>
          <w:szCs w:val="36"/>
        </w:rPr>
        <w:t>Compte-rendu de l'atelier du RSCD sur l'éducation au développement</w:t>
      </w:r>
    </w:p>
    <w:p w:rsidR="0069704F" w:rsidRPr="00B31688" w:rsidRDefault="00B31688" w:rsidP="000E5730">
      <w:pPr>
        <w:pStyle w:val="Title"/>
        <w:spacing w:after="120"/>
        <w:jc w:val="center"/>
        <w:rPr>
          <w:b/>
          <w:bCs/>
          <w:sz w:val="36"/>
          <w:szCs w:val="36"/>
        </w:rPr>
      </w:pPr>
      <w:r>
        <w:rPr>
          <w:b/>
          <w:bCs/>
          <w:sz w:val="36"/>
          <w:szCs w:val="36"/>
        </w:rPr>
        <w:t>« </w:t>
      </w:r>
      <w:r w:rsidR="000E5730" w:rsidRPr="00B31688">
        <w:rPr>
          <w:b/>
          <w:bCs/>
          <w:sz w:val="36"/>
          <w:szCs w:val="36"/>
        </w:rPr>
        <w:t>Ve</w:t>
      </w:r>
      <w:r>
        <w:rPr>
          <w:b/>
          <w:bCs/>
          <w:sz w:val="36"/>
          <w:szCs w:val="36"/>
        </w:rPr>
        <w:t>rs un programme syndical commun »</w:t>
      </w:r>
    </w:p>
    <w:p w:rsidR="000E5730" w:rsidRPr="00B31688" w:rsidRDefault="000E5730" w:rsidP="006A395B">
      <w:pPr>
        <w:spacing w:after="0"/>
        <w:jc w:val="center"/>
        <w:rPr>
          <w:rFonts w:ascii="Arial" w:hAnsi="Arial" w:cs="Arial"/>
          <w:sz w:val="28"/>
          <w:szCs w:val="28"/>
        </w:rPr>
      </w:pPr>
      <w:r w:rsidRPr="00B31688">
        <w:rPr>
          <w:rFonts w:ascii="Arial" w:hAnsi="Arial"/>
          <w:sz w:val="28"/>
          <w:szCs w:val="28"/>
        </w:rPr>
        <w:t>12-13 septembre 2013</w:t>
      </w:r>
    </w:p>
    <w:p w:rsidR="000E5730" w:rsidRPr="00B31688" w:rsidRDefault="000E5730" w:rsidP="006A395B">
      <w:pPr>
        <w:spacing w:after="0"/>
        <w:jc w:val="center"/>
        <w:rPr>
          <w:rFonts w:ascii="Arial" w:hAnsi="Arial" w:cs="Arial"/>
          <w:sz w:val="28"/>
          <w:szCs w:val="28"/>
        </w:rPr>
      </w:pPr>
      <w:r w:rsidRPr="00B31688">
        <w:rPr>
          <w:rFonts w:ascii="Arial" w:hAnsi="Arial"/>
          <w:sz w:val="28"/>
          <w:szCs w:val="28"/>
        </w:rPr>
        <w:t xml:space="preserve">Centro Studi CISL </w:t>
      </w:r>
    </w:p>
    <w:p w:rsidR="000E5730" w:rsidRPr="00B31688" w:rsidRDefault="000E5730" w:rsidP="00381C4F">
      <w:pPr>
        <w:spacing w:after="0"/>
        <w:jc w:val="center"/>
        <w:rPr>
          <w:rFonts w:asciiTheme="majorHAnsi" w:eastAsiaTheme="majorEastAsia" w:hAnsiTheme="majorHAnsi" w:cstheme="majorBidi"/>
          <w:smallCaps/>
          <w:color w:val="17365D" w:themeColor="text2" w:themeShade="BF"/>
          <w:kern w:val="28"/>
          <w:sz w:val="28"/>
          <w:szCs w:val="28"/>
        </w:rPr>
      </w:pPr>
      <w:r w:rsidRPr="00B31688">
        <w:rPr>
          <w:rFonts w:ascii="Arial" w:hAnsi="Arial"/>
          <w:sz w:val="28"/>
          <w:szCs w:val="28"/>
        </w:rPr>
        <w:t>Florence, Italie</w:t>
      </w:r>
    </w:p>
    <w:p w:rsidR="00381C4F" w:rsidRPr="00B31688" w:rsidRDefault="00381C4F" w:rsidP="00381C4F">
      <w:pPr>
        <w:spacing w:after="0"/>
        <w:jc w:val="center"/>
        <w:rPr>
          <w:rFonts w:asciiTheme="majorHAnsi" w:eastAsiaTheme="majorEastAsia" w:hAnsiTheme="majorHAnsi" w:cstheme="majorBidi"/>
          <w:smallCaps/>
          <w:color w:val="17365D" w:themeColor="text2" w:themeShade="BF"/>
          <w:kern w:val="28"/>
          <w:sz w:val="24"/>
          <w:szCs w:val="24"/>
        </w:rPr>
      </w:pPr>
    </w:p>
    <w:p w:rsidR="00280C02" w:rsidRPr="00B31688" w:rsidRDefault="00280C02" w:rsidP="000F3EFF">
      <w:pPr>
        <w:spacing w:after="0"/>
        <w:jc w:val="center"/>
        <w:rPr>
          <w:rFonts w:asciiTheme="majorHAnsi" w:eastAsiaTheme="majorEastAsia" w:hAnsiTheme="majorHAnsi" w:cstheme="majorBidi"/>
          <w:smallCaps/>
          <w:color w:val="17365D" w:themeColor="text2" w:themeShade="BF"/>
          <w:kern w:val="28"/>
          <w:sz w:val="32"/>
          <w:szCs w:val="32"/>
        </w:rPr>
      </w:pPr>
    </w:p>
    <w:p w:rsidR="00280C02" w:rsidRPr="00B31688" w:rsidRDefault="00280C02" w:rsidP="000F3EFF">
      <w:pPr>
        <w:spacing w:after="0"/>
        <w:jc w:val="center"/>
        <w:rPr>
          <w:rFonts w:asciiTheme="majorHAnsi" w:eastAsiaTheme="majorEastAsia" w:hAnsiTheme="majorHAnsi" w:cstheme="majorBidi"/>
          <w:smallCaps/>
          <w:color w:val="17365D" w:themeColor="text2" w:themeShade="BF"/>
          <w:kern w:val="28"/>
          <w:sz w:val="32"/>
          <w:szCs w:val="32"/>
        </w:rPr>
      </w:pPr>
    </w:p>
    <w:p w:rsidR="00280C02" w:rsidRPr="00B31688" w:rsidRDefault="00280C02" w:rsidP="000F3EFF">
      <w:pPr>
        <w:spacing w:after="0"/>
        <w:jc w:val="center"/>
        <w:rPr>
          <w:rFonts w:asciiTheme="majorHAnsi" w:eastAsiaTheme="majorEastAsia" w:hAnsiTheme="majorHAnsi" w:cstheme="majorBidi"/>
          <w:smallCaps/>
          <w:color w:val="17365D" w:themeColor="text2" w:themeShade="BF"/>
          <w:kern w:val="28"/>
          <w:sz w:val="32"/>
          <w:szCs w:val="32"/>
        </w:rPr>
      </w:pPr>
    </w:p>
    <w:p w:rsidR="000F3EFF" w:rsidRPr="00B31688" w:rsidRDefault="00C51386" w:rsidP="000F3EFF">
      <w:pPr>
        <w:spacing w:after="0"/>
        <w:jc w:val="center"/>
        <w:rPr>
          <w:rFonts w:asciiTheme="majorHAnsi" w:eastAsiaTheme="majorEastAsia" w:hAnsiTheme="majorHAnsi" w:cstheme="majorBidi"/>
          <w:b/>
          <w:smallCaps/>
          <w:color w:val="17365D" w:themeColor="text2" w:themeShade="BF"/>
          <w:kern w:val="28"/>
          <w:sz w:val="32"/>
          <w:szCs w:val="32"/>
        </w:rPr>
      </w:pPr>
      <w:r w:rsidRPr="00B31688">
        <w:rPr>
          <w:rFonts w:asciiTheme="majorHAnsi" w:eastAsiaTheme="majorEastAsia" w:hAnsiTheme="majorHAnsi" w:cstheme="majorBidi"/>
          <w:b/>
          <w:smallCaps/>
          <w:color w:val="17365D" w:themeColor="text2" w:themeShade="BF"/>
          <w:kern w:val="28"/>
          <w:sz w:val="32"/>
          <w:szCs w:val="32"/>
        </w:rPr>
        <w:t>Compte-rendu de l'atelier</w:t>
      </w:r>
    </w:p>
    <w:p w:rsidR="00BD4DEE" w:rsidRPr="00B31688" w:rsidRDefault="00BD4DEE" w:rsidP="000F3EFF">
      <w:pPr>
        <w:rPr>
          <w:b/>
          <w:i/>
        </w:rPr>
      </w:pPr>
    </w:p>
    <w:p w:rsidR="00280C02" w:rsidRPr="00B31688" w:rsidRDefault="00280C02" w:rsidP="000F3EFF">
      <w:pPr>
        <w:rPr>
          <w:b/>
          <w:i/>
        </w:rPr>
      </w:pPr>
    </w:p>
    <w:p w:rsidR="00280C02" w:rsidRPr="00B31688" w:rsidRDefault="00280C02" w:rsidP="000F3EFF">
      <w:pPr>
        <w:rPr>
          <w:b/>
          <w:i/>
        </w:rPr>
      </w:pPr>
    </w:p>
    <w:sdt>
      <w:sdtPr>
        <w:rPr>
          <w:rFonts w:asciiTheme="minorHAnsi" w:eastAsiaTheme="minorEastAsia" w:hAnsiTheme="minorHAnsi" w:cstheme="minorBidi"/>
          <w:b w:val="0"/>
          <w:bCs w:val="0"/>
          <w:color w:val="auto"/>
          <w:sz w:val="22"/>
          <w:szCs w:val="22"/>
          <w:lang w:eastAsia="en-GB"/>
        </w:rPr>
        <w:id w:val="-1627158528"/>
        <w:docPartObj>
          <w:docPartGallery w:val="Table of Contents"/>
          <w:docPartUnique/>
        </w:docPartObj>
      </w:sdtPr>
      <w:sdtEndPr>
        <w:rPr>
          <w:noProof/>
          <w:lang w:val="en-GB"/>
        </w:rPr>
      </w:sdtEndPr>
      <w:sdtContent>
        <w:p w:rsidR="00214B82" w:rsidRPr="00B31688" w:rsidRDefault="00214B82">
          <w:pPr>
            <w:pStyle w:val="TOCHeading"/>
          </w:pPr>
          <w:r w:rsidRPr="00B31688">
            <w:t>Table des matières</w:t>
          </w:r>
        </w:p>
        <w:p w:rsidR="009C49BB" w:rsidRDefault="00E82C30">
          <w:pPr>
            <w:pStyle w:val="TOC2"/>
            <w:tabs>
              <w:tab w:val="right" w:leader="dot" w:pos="7906"/>
            </w:tabs>
            <w:rPr>
              <w:noProof/>
            </w:rPr>
          </w:pPr>
          <w:r w:rsidRPr="00B31688">
            <w:fldChar w:fldCharType="begin"/>
          </w:r>
          <w:r w:rsidR="00214B82" w:rsidRPr="00B31688">
            <w:instrText xml:space="preserve"> TOC \o "1-3" \h \z \u </w:instrText>
          </w:r>
          <w:r w:rsidRPr="00B31688">
            <w:fldChar w:fldCharType="separate"/>
          </w:r>
          <w:hyperlink w:anchor="_Toc369209753" w:history="1">
            <w:r w:rsidR="009C49BB" w:rsidRPr="009A0EEE">
              <w:rPr>
                <w:rStyle w:val="Hyperlink"/>
                <w:noProof/>
              </w:rPr>
              <w:t>Participants</w:t>
            </w:r>
            <w:r w:rsidR="009C49BB">
              <w:rPr>
                <w:noProof/>
                <w:webHidden/>
              </w:rPr>
              <w:tab/>
            </w:r>
            <w:r>
              <w:rPr>
                <w:noProof/>
                <w:webHidden/>
              </w:rPr>
              <w:fldChar w:fldCharType="begin"/>
            </w:r>
            <w:r w:rsidR="009C49BB">
              <w:rPr>
                <w:noProof/>
                <w:webHidden/>
              </w:rPr>
              <w:instrText xml:space="preserve"> PAGEREF _Toc369209753 \h </w:instrText>
            </w:r>
            <w:r>
              <w:rPr>
                <w:noProof/>
                <w:webHidden/>
              </w:rPr>
            </w:r>
            <w:r>
              <w:rPr>
                <w:noProof/>
                <w:webHidden/>
              </w:rPr>
              <w:fldChar w:fldCharType="separate"/>
            </w:r>
            <w:r w:rsidR="009C49BB">
              <w:rPr>
                <w:noProof/>
                <w:webHidden/>
              </w:rPr>
              <w:t>2</w:t>
            </w:r>
            <w:r>
              <w:rPr>
                <w:noProof/>
                <w:webHidden/>
              </w:rPr>
              <w:fldChar w:fldCharType="end"/>
            </w:r>
          </w:hyperlink>
        </w:p>
        <w:p w:rsidR="009C49BB" w:rsidRDefault="008A094C">
          <w:pPr>
            <w:pStyle w:val="TOC1"/>
            <w:tabs>
              <w:tab w:val="right" w:leader="dot" w:pos="7906"/>
            </w:tabs>
            <w:rPr>
              <w:noProof/>
            </w:rPr>
          </w:pPr>
          <w:hyperlink w:anchor="_Toc369209754" w:history="1">
            <w:r w:rsidR="009C49BB" w:rsidRPr="009A0EEE">
              <w:rPr>
                <w:rStyle w:val="Hyperlink"/>
                <w:noProof/>
              </w:rPr>
              <w:t>OUVERTURE</w:t>
            </w:r>
            <w:r w:rsidR="009C49BB">
              <w:rPr>
                <w:noProof/>
                <w:webHidden/>
              </w:rPr>
              <w:tab/>
            </w:r>
            <w:r w:rsidR="00E82C30">
              <w:rPr>
                <w:noProof/>
                <w:webHidden/>
              </w:rPr>
              <w:fldChar w:fldCharType="begin"/>
            </w:r>
            <w:r w:rsidR="009C49BB">
              <w:rPr>
                <w:noProof/>
                <w:webHidden/>
              </w:rPr>
              <w:instrText xml:space="preserve"> PAGEREF _Toc369209754 \h </w:instrText>
            </w:r>
            <w:r w:rsidR="00E82C30">
              <w:rPr>
                <w:noProof/>
                <w:webHidden/>
              </w:rPr>
            </w:r>
            <w:r w:rsidR="00E82C30">
              <w:rPr>
                <w:noProof/>
                <w:webHidden/>
              </w:rPr>
              <w:fldChar w:fldCharType="separate"/>
            </w:r>
            <w:r w:rsidR="009C49BB">
              <w:rPr>
                <w:noProof/>
                <w:webHidden/>
              </w:rPr>
              <w:t>2</w:t>
            </w:r>
            <w:r w:rsidR="00E82C30">
              <w:rPr>
                <w:noProof/>
                <w:webHidden/>
              </w:rPr>
              <w:fldChar w:fldCharType="end"/>
            </w:r>
          </w:hyperlink>
        </w:p>
        <w:p w:rsidR="009C49BB" w:rsidRDefault="008A094C">
          <w:pPr>
            <w:pStyle w:val="TOC3"/>
            <w:tabs>
              <w:tab w:val="right" w:leader="dot" w:pos="7906"/>
            </w:tabs>
            <w:rPr>
              <w:noProof/>
            </w:rPr>
          </w:pPr>
          <w:hyperlink w:anchor="_Toc369209755" w:history="1">
            <w:r w:rsidR="009C49BB" w:rsidRPr="009A0EEE">
              <w:rPr>
                <w:rStyle w:val="Hyperlink"/>
                <w:noProof/>
              </w:rPr>
              <w:t>Session 1 : CONTEXTE &amp; ATTENTES</w:t>
            </w:r>
            <w:r w:rsidR="009C49BB">
              <w:rPr>
                <w:noProof/>
                <w:webHidden/>
              </w:rPr>
              <w:tab/>
            </w:r>
            <w:r w:rsidR="00E82C30">
              <w:rPr>
                <w:noProof/>
                <w:webHidden/>
              </w:rPr>
              <w:fldChar w:fldCharType="begin"/>
            </w:r>
            <w:r w:rsidR="009C49BB">
              <w:rPr>
                <w:noProof/>
                <w:webHidden/>
              </w:rPr>
              <w:instrText xml:space="preserve"> PAGEREF _Toc369209755 \h </w:instrText>
            </w:r>
            <w:r w:rsidR="00E82C30">
              <w:rPr>
                <w:noProof/>
                <w:webHidden/>
              </w:rPr>
            </w:r>
            <w:r w:rsidR="00E82C30">
              <w:rPr>
                <w:noProof/>
                <w:webHidden/>
              </w:rPr>
              <w:fldChar w:fldCharType="separate"/>
            </w:r>
            <w:r w:rsidR="009C49BB">
              <w:rPr>
                <w:noProof/>
                <w:webHidden/>
              </w:rPr>
              <w:t>3</w:t>
            </w:r>
            <w:r w:rsidR="00E82C30">
              <w:rPr>
                <w:noProof/>
                <w:webHidden/>
              </w:rPr>
              <w:fldChar w:fldCharType="end"/>
            </w:r>
          </w:hyperlink>
        </w:p>
        <w:p w:rsidR="009C49BB" w:rsidRDefault="008A094C">
          <w:pPr>
            <w:pStyle w:val="TOC3"/>
            <w:tabs>
              <w:tab w:val="right" w:leader="dot" w:pos="7906"/>
            </w:tabs>
            <w:rPr>
              <w:noProof/>
            </w:rPr>
          </w:pPr>
          <w:hyperlink w:anchor="_Toc369209756" w:history="1">
            <w:r w:rsidR="009C49BB" w:rsidRPr="009A0EEE">
              <w:rPr>
                <w:rStyle w:val="Hyperlink"/>
                <w:noProof/>
              </w:rPr>
              <w:t>Session 2 : Présentation du programme DEAR par la Commission européenne</w:t>
            </w:r>
            <w:r w:rsidR="009C49BB">
              <w:rPr>
                <w:noProof/>
                <w:webHidden/>
              </w:rPr>
              <w:tab/>
            </w:r>
            <w:r w:rsidR="00E82C30">
              <w:rPr>
                <w:noProof/>
                <w:webHidden/>
              </w:rPr>
              <w:fldChar w:fldCharType="begin"/>
            </w:r>
            <w:r w:rsidR="009C49BB">
              <w:rPr>
                <w:noProof/>
                <w:webHidden/>
              </w:rPr>
              <w:instrText xml:space="preserve"> PAGEREF _Toc369209756 \h </w:instrText>
            </w:r>
            <w:r w:rsidR="00E82C30">
              <w:rPr>
                <w:noProof/>
                <w:webHidden/>
              </w:rPr>
            </w:r>
            <w:r w:rsidR="00E82C30">
              <w:rPr>
                <w:noProof/>
                <w:webHidden/>
              </w:rPr>
              <w:fldChar w:fldCharType="separate"/>
            </w:r>
            <w:r w:rsidR="009C49BB">
              <w:rPr>
                <w:noProof/>
                <w:webHidden/>
              </w:rPr>
              <w:t>4</w:t>
            </w:r>
            <w:r w:rsidR="00E82C30">
              <w:rPr>
                <w:noProof/>
                <w:webHidden/>
              </w:rPr>
              <w:fldChar w:fldCharType="end"/>
            </w:r>
          </w:hyperlink>
        </w:p>
        <w:p w:rsidR="009C49BB" w:rsidRDefault="008A094C">
          <w:pPr>
            <w:pStyle w:val="TOC3"/>
            <w:tabs>
              <w:tab w:val="right" w:leader="dot" w:pos="7906"/>
            </w:tabs>
            <w:rPr>
              <w:noProof/>
            </w:rPr>
          </w:pPr>
          <w:hyperlink w:anchor="_Toc369209757" w:history="1">
            <w:r w:rsidR="009C49BB" w:rsidRPr="009A0EEE">
              <w:rPr>
                <w:rStyle w:val="Hyperlink"/>
                <w:noProof/>
              </w:rPr>
              <w:t>Session 3 : ANALYSE &amp; COMPRÉHENSION</w:t>
            </w:r>
            <w:r w:rsidR="009C49BB">
              <w:rPr>
                <w:noProof/>
                <w:webHidden/>
              </w:rPr>
              <w:tab/>
            </w:r>
            <w:r w:rsidR="00E82C30">
              <w:rPr>
                <w:noProof/>
                <w:webHidden/>
              </w:rPr>
              <w:fldChar w:fldCharType="begin"/>
            </w:r>
            <w:r w:rsidR="009C49BB">
              <w:rPr>
                <w:noProof/>
                <w:webHidden/>
              </w:rPr>
              <w:instrText xml:space="preserve"> PAGEREF _Toc369209757 \h </w:instrText>
            </w:r>
            <w:r w:rsidR="00E82C30">
              <w:rPr>
                <w:noProof/>
                <w:webHidden/>
              </w:rPr>
            </w:r>
            <w:r w:rsidR="00E82C30">
              <w:rPr>
                <w:noProof/>
                <w:webHidden/>
              </w:rPr>
              <w:fldChar w:fldCharType="separate"/>
            </w:r>
            <w:r w:rsidR="009C49BB">
              <w:rPr>
                <w:noProof/>
                <w:webHidden/>
              </w:rPr>
              <w:t>5</w:t>
            </w:r>
            <w:r w:rsidR="00E82C30">
              <w:rPr>
                <w:noProof/>
                <w:webHidden/>
              </w:rPr>
              <w:fldChar w:fldCharType="end"/>
            </w:r>
          </w:hyperlink>
        </w:p>
        <w:p w:rsidR="009C49BB" w:rsidRDefault="008A094C">
          <w:pPr>
            <w:pStyle w:val="TOC3"/>
            <w:tabs>
              <w:tab w:val="right" w:leader="dot" w:pos="7906"/>
            </w:tabs>
            <w:rPr>
              <w:noProof/>
            </w:rPr>
          </w:pPr>
          <w:hyperlink w:anchor="_Toc369209758" w:history="1">
            <w:r w:rsidR="009C49BB" w:rsidRPr="009A0EEE">
              <w:rPr>
                <w:rStyle w:val="Hyperlink"/>
                <w:noProof/>
              </w:rPr>
              <w:t>Session 4 : IDENTIFICATION DES STRATÉGIES - Cadre du programme</w:t>
            </w:r>
            <w:r w:rsidR="009C49BB">
              <w:rPr>
                <w:noProof/>
                <w:webHidden/>
              </w:rPr>
              <w:tab/>
            </w:r>
            <w:r w:rsidR="00E82C30">
              <w:rPr>
                <w:noProof/>
                <w:webHidden/>
              </w:rPr>
              <w:fldChar w:fldCharType="begin"/>
            </w:r>
            <w:r w:rsidR="009C49BB">
              <w:rPr>
                <w:noProof/>
                <w:webHidden/>
              </w:rPr>
              <w:instrText xml:space="preserve"> PAGEREF _Toc369209758 \h </w:instrText>
            </w:r>
            <w:r w:rsidR="00E82C30">
              <w:rPr>
                <w:noProof/>
                <w:webHidden/>
              </w:rPr>
            </w:r>
            <w:r w:rsidR="00E82C30">
              <w:rPr>
                <w:noProof/>
                <w:webHidden/>
              </w:rPr>
              <w:fldChar w:fldCharType="separate"/>
            </w:r>
            <w:r w:rsidR="009C49BB">
              <w:rPr>
                <w:noProof/>
                <w:webHidden/>
              </w:rPr>
              <w:t>7</w:t>
            </w:r>
            <w:r w:rsidR="00E82C30">
              <w:rPr>
                <w:noProof/>
                <w:webHidden/>
              </w:rPr>
              <w:fldChar w:fldCharType="end"/>
            </w:r>
          </w:hyperlink>
        </w:p>
        <w:p w:rsidR="009C49BB" w:rsidRDefault="008A094C">
          <w:pPr>
            <w:pStyle w:val="TOC3"/>
            <w:tabs>
              <w:tab w:val="right" w:leader="dot" w:pos="7906"/>
            </w:tabs>
            <w:rPr>
              <w:noProof/>
            </w:rPr>
          </w:pPr>
          <w:hyperlink w:anchor="_Toc369209759" w:history="1">
            <w:r w:rsidR="009C49BB" w:rsidRPr="009A0EEE">
              <w:rPr>
                <w:rStyle w:val="Hyperlink"/>
                <w:noProof/>
              </w:rPr>
              <w:t>Session 5 : ARCHITECTURE &amp; GOUVERNANCE DU PROGRAMME</w:t>
            </w:r>
            <w:r w:rsidR="009C49BB">
              <w:rPr>
                <w:noProof/>
                <w:webHidden/>
              </w:rPr>
              <w:tab/>
            </w:r>
            <w:r w:rsidR="00E82C30">
              <w:rPr>
                <w:noProof/>
                <w:webHidden/>
              </w:rPr>
              <w:fldChar w:fldCharType="begin"/>
            </w:r>
            <w:r w:rsidR="009C49BB">
              <w:rPr>
                <w:noProof/>
                <w:webHidden/>
              </w:rPr>
              <w:instrText xml:space="preserve"> PAGEREF _Toc369209759 \h </w:instrText>
            </w:r>
            <w:r w:rsidR="00E82C30">
              <w:rPr>
                <w:noProof/>
                <w:webHidden/>
              </w:rPr>
            </w:r>
            <w:r w:rsidR="00E82C30">
              <w:rPr>
                <w:noProof/>
                <w:webHidden/>
              </w:rPr>
              <w:fldChar w:fldCharType="separate"/>
            </w:r>
            <w:r w:rsidR="009C49BB">
              <w:rPr>
                <w:noProof/>
                <w:webHidden/>
              </w:rPr>
              <w:t>8</w:t>
            </w:r>
            <w:r w:rsidR="00E82C30">
              <w:rPr>
                <w:noProof/>
                <w:webHidden/>
              </w:rPr>
              <w:fldChar w:fldCharType="end"/>
            </w:r>
          </w:hyperlink>
        </w:p>
        <w:p w:rsidR="009C49BB" w:rsidRDefault="008A094C">
          <w:pPr>
            <w:pStyle w:val="TOC3"/>
            <w:tabs>
              <w:tab w:val="right" w:leader="dot" w:pos="7906"/>
            </w:tabs>
            <w:rPr>
              <w:noProof/>
            </w:rPr>
          </w:pPr>
          <w:hyperlink w:anchor="_Toc369209760" w:history="1">
            <w:r w:rsidR="009C49BB" w:rsidRPr="009A0EEE">
              <w:rPr>
                <w:rStyle w:val="Hyperlink"/>
                <w:noProof/>
              </w:rPr>
              <w:t>Session 6 : VOIE A SUIVRE</w:t>
            </w:r>
            <w:r w:rsidR="009C49BB">
              <w:rPr>
                <w:noProof/>
                <w:webHidden/>
              </w:rPr>
              <w:tab/>
            </w:r>
            <w:r w:rsidR="00E82C30">
              <w:rPr>
                <w:noProof/>
                <w:webHidden/>
              </w:rPr>
              <w:fldChar w:fldCharType="begin"/>
            </w:r>
            <w:r w:rsidR="009C49BB">
              <w:rPr>
                <w:noProof/>
                <w:webHidden/>
              </w:rPr>
              <w:instrText xml:space="preserve"> PAGEREF _Toc369209760 \h </w:instrText>
            </w:r>
            <w:r w:rsidR="00E82C30">
              <w:rPr>
                <w:noProof/>
                <w:webHidden/>
              </w:rPr>
            </w:r>
            <w:r w:rsidR="00E82C30">
              <w:rPr>
                <w:noProof/>
                <w:webHidden/>
              </w:rPr>
              <w:fldChar w:fldCharType="separate"/>
            </w:r>
            <w:r w:rsidR="009C49BB">
              <w:rPr>
                <w:noProof/>
                <w:webHidden/>
              </w:rPr>
              <w:t>9</w:t>
            </w:r>
            <w:r w:rsidR="00E82C30">
              <w:rPr>
                <w:noProof/>
                <w:webHidden/>
              </w:rPr>
              <w:fldChar w:fldCharType="end"/>
            </w:r>
          </w:hyperlink>
        </w:p>
        <w:p w:rsidR="00834F4F" w:rsidRPr="00B31688" w:rsidRDefault="00E82C30">
          <w:pPr>
            <w:pStyle w:val="TOC2"/>
            <w:tabs>
              <w:tab w:val="right" w:leader="dot" w:pos="7906"/>
            </w:tabs>
            <w:rPr>
              <w:noProof/>
            </w:rPr>
          </w:pPr>
          <w:r w:rsidRPr="00B31688">
            <w:rPr>
              <w:b/>
              <w:bCs/>
              <w:noProof/>
            </w:rPr>
            <w:fldChar w:fldCharType="end"/>
          </w:r>
        </w:p>
      </w:sdtContent>
    </w:sdt>
    <w:p w:rsidR="00280C02" w:rsidRPr="00B31688" w:rsidRDefault="00280C02" w:rsidP="000F3EFF">
      <w:pPr>
        <w:rPr>
          <w:b/>
          <w:i/>
        </w:rPr>
      </w:pPr>
    </w:p>
    <w:p w:rsidR="00280C02" w:rsidRPr="00B31688" w:rsidRDefault="00280C02" w:rsidP="000F3EFF">
      <w:pPr>
        <w:rPr>
          <w:b/>
          <w:i/>
        </w:rPr>
      </w:pPr>
    </w:p>
    <w:p w:rsidR="002E0E48" w:rsidRPr="00B31688" w:rsidRDefault="002E0E48" w:rsidP="002E0E48">
      <w:pPr>
        <w:rPr>
          <w:b/>
          <w:i/>
        </w:rPr>
      </w:pPr>
      <w:bookmarkStart w:id="0" w:name="_Toc368324228"/>
      <w:bookmarkStart w:id="1" w:name="_Toc369209753"/>
      <w:r w:rsidRPr="00B31688">
        <w:rPr>
          <w:rStyle w:val="Heading2Char"/>
        </w:rPr>
        <w:t>Participants</w:t>
      </w:r>
      <w:bookmarkEnd w:id="0"/>
      <w:bookmarkEnd w:id="1"/>
      <w:r w:rsidRPr="00B31688">
        <w:rPr>
          <w:rStyle w:val="Heading2Char"/>
        </w:rPr>
        <w:t xml:space="preserve"> </w:t>
      </w:r>
    </w:p>
    <w:tbl>
      <w:tblPr>
        <w:tblW w:w="86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268"/>
        <w:gridCol w:w="2127"/>
        <w:gridCol w:w="1984"/>
      </w:tblGrid>
      <w:tr w:rsidR="00AB42D4" w:rsidRPr="00B31688" w:rsidTr="00834F4F">
        <w:trPr>
          <w:trHeight w:val="282"/>
          <w:jc w:val="center"/>
        </w:trPr>
        <w:tc>
          <w:tcPr>
            <w:tcW w:w="2283" w:type="dxa"/>
            <w:shd w:val="clear" w:color="auto" w:fill="auto"/>
            <w:noWrap/>
            <w:vAlign w:val="center"/>
            <w:hideMark/>
          </w:tcPr>
          <w:p w:rsidR="002E0E48" w:rsidRPr="00B31688" w:rsidRDefault="002E0E48">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ESPAGNE</w:t>
            </w: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ISCOD UGT</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Javier</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Vaquero</w:t>
            </w:r>
          </w:p>
        </w:tc>
      </w:tr>
      <w:tr w:rsidR="00AB42D4" w:rsidRPr="00B31688" w:rsidTr="00834F4F">
        <w:trPr>
          <w:trHeight w:val="285"/>
          <w:jc w:val="center"/>
        </w:trPr>
        <w:tc>
          <w:tcPr>
            <w:tcW w:w="2283" w:type="dxa"/>
            <w:shd w:val="clear" w:color="auto" w:fill="auto"/>
            <w:noWrap/>
            <w:vAlign w:val="center"/>
            <w:hideMark/>
          </w:tcPr>
          <w:p w:rsidR="002E0E48" w:rsidRPr="00B31688" w:rsidRDefault="002E0E48">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ESPAGNE</w:t>
            </w: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USO</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Santiago</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Gonzalez Vallejo</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CHYPRE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DEOK</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Flora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Giagkou</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ITALIE</w:t>
            </w:r>
          </w:p>
          <w:p w:rsidR="00150F8C" w:rsidRPr="00B31688" w:rsidRDefault="00150F8C">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ISCOS</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Gemma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Arpaia</w:t>
            </w:r>
          </w:p>
        </w:tc>
      </w:tr>
      <w:tr w:rsidR="00AB42D4" w:rsidRPr="00B31688" w:rsidTr="00834F4F">
        <w:trPr>
          <w:trHeight w:val="555"/>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ITALIE</w:t>
            </w: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ISCOS</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Elisa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Bucchi</w:t>
            </w:r>
          </w:p>
        </w:tc>
      </w:tr>
      <w:tr w:rsidR="00AB42D4" w:rsidRPr="00B31688" w:rsidTr="00834F4F">
        <w:trPr>
          <w:trHeight w:val="555"/>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ITALIE</w:t>
            </w:r>
          </w:p>
          <w:p w:rsidR="00280C02" w:rsidRPr="00B31688" w:rsidRDefault="00280C02">
            <w:pPr>
              <w:spacing w:after="0" w:line="240" w:lineRule="auto"/>
              <w:jc w:val="center"/>
              <w:rPr>
                <w:rFonts w:ascii="Helvetica" w:eastAsia="Times New Roman" w:hAnsi="Helvetica" w:cs="Helvetica"/>
                <w:color w:val="000000"/>
                <w:sz w:val="20"/>
                <w:szCs w:val="20"/>
              </w:rPr>
            </w:pPr>
          </w:p>
          <w:p w:rsidR="00280C02" w:rsidRPr="00B31688" w:rsidRDefault="00280C02">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ISCOS</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Vincenzo</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Russo</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ITALIE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CGIL</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Rita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Tassoni</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ITALIE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CGIL</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Sergio</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Bassoli</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PAYS-BAS</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CNV</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Eugène</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Litamahuputty</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PAYS-BAS</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CNV</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Klaaske</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Zwart</w:t>
            </w:r>
          </w:p>
        </w:tc>
      </w:tr>
      <w:tr w:rsidR="00AB42D4" w:rsidRPr="00B31688" w:rsidTr="00834F4F">
        <w:trPr>
          <w:trHeight w:val="300"/>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PAYS-BAS</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FNV</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Mario</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Van de Luijtgaarden</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BELGIQUE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ABVV/FGTB</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Thierry</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Aerts</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BELGIQUE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CSC/SM</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Arnaud</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Gorgemans</w:t>
            </w:r>
          </w:p>
        </w:tc>
      </w:tr>
      <w:tr w:rsidR="00AB42D4" w:rsidRPr="00B31688" w:rsidTr="00834F4F">
        <w:trPr>
          <w:trHeight w:val="480"/>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IRLANDE</w:t>
            </w: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ICTU</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Fiona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Dunne</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SUEDE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LO-TCO</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Carina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Söderbjörn</w:t>
            </w:r>
          </w:p>
        </w:tc>
      </w:tr>
      <w:tr w:rsidR="00AB42D4" w:rsidRPr="00B31688" w:rsidTr="00834F4F">
        <w:trPr>
          <w:trHeight w:val="282"/>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ROUMANIE</w:t>
            </w:r>
          </w:p>
          <w:p w:rsidR="002E0E48" w:rsidRPr="00B31688" w:rsidRDefault="002E0E48">
            <w:pPr>
              <w:spacing w:after="0" w:line="240" w:lineRule="auto"/>
              <w:jc w:val="center"/>
              <w:rPr>
                <w:rFonts w:ascii="Helvetica" w:eastAsia="Times New Roman" w:hAnsi="Helvetica" w:cs="Helvetica"/>
                <w:color w:val="000000"/>
                <w:sz w:val="20"/>
                <w:szCs w:val="20"/>
              </w:rPr>
            </w:pP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Cartel Alfa</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Catalin</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Toscuta</w:t>
            </w:r>
          </w:p>
        </w:tc>
      </w:tr>
      <w:tr w:rsidR="00AB42D4" w:rsidRPr="00B31688" w:rsidTr="00834F4F">
        <w:trPr>
          <w:trHeight w:val="480"/>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ROUMANIE</w:t>
            </w: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BNS</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Mariana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Kniesner</w:t>
            </w:r>
          </w:p>
        </w:tc>
      </w:tr>
      <w:tr w:rsidR="00AB42D4" w:rsidRPr="00B31688" w:rsidTr="00834F4F">
        <w:trPr>
          <w:trHeight w:val="495"/>
          <w:jc w:val="center"/>
        </w:trPr>
        <w:tc>
          <w:tcPr>
            <w:tcW w:w="2283" w:type="dxa"/>
            <w:shd w:val="clear" w:color="auto" w:fill="auto"/>
            <w:noWrap/>
            <w:vAlign w:val="center"/>
            <w:hideMark/>
          </w:tcPr>
          <w:p w:rsidR="002E0E48" w:rsidRPr="00B31688" w:rsidRDefault="002E0E48" w:rsidP="00633320">
            <w:pPr>
              <w:spacing w:after="0" w:line="240" w:lineRule="auto"/>
              <w:jc w:val="center"/>
              <w:rPr>
                <w:rFonts w:ascii="Helvetica" w:eastAsia="Times New Roman" w:hAnsi="Helvetica" w:cs="Helvetica"/>
                <w:color w:val="000000"/>
                <w:sz w:val="20"/>
                <w:szCs w:val="20"/>
              </w:rPr>
            </w:pPr>
            <w:r w:rsidRPr="00B31688">
              <w:rPr>
                <w:rFonts w:ascii="Helvetica" w:hAnsi="Helvetica"/>
                <w:color w:val="000000"/>
                <w:sz w:val="20"/>
                <w:szCs w:val="20"/>
              </w:rPr>
              <w:t>FINLANDE</w:t>
            </w:r>
          </w:p>
        </w:tc>
        <w:tc>
          <w:tcPr>
            <w:tcW w:w="2268"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SASK</w:t>
            </w:r>
          </w:p>
        </w:tc>
        <w:tc>
          <w:tcPr>
            <w:tcW w:w="2127"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Jukka</w:t>
            </w:r>
          </w:p>
        </w:tc>
        <w:tc>
          <w:tcPr>
            <w:tcW w:w="1984" w:type="dxa"/>
            <w:shd w:val="clear" w:color="auto" w:fill="auto"/>
            <w:vAlign w:val="center"/>
            <w:hideMark/>
          </w:tcPr>
          <w:p w:rsidR="002E0E48" w:rsidRPr="00B31688" w:rsidRDefault="002E0E48">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Pääkkönen</w:t>
            </w:r>
          </w:p>
        </w:tc>
      </w:tr>
      <w:tr w:rsidR="006611AD" w:rsidRPr="00B31688" w:rsidTr="00834F4F">
        <w:trPr>
          <w:gridAfter w:val="1"/>
          <w:wAfter w:w="1984" w:type="dxa"/>
          <w:trHeight w:val="460"/>
          <w:jc w:val="cent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11AD" w:rsidRPr="00B31688" w:rsidRDefault="006611AD"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SouthResearch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1AD" w:rsidRPr="00B31688" w:rsidRDefault="006611AD" w:rsidP="00CC69D3">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Bob</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611AD" w:rsidRPr="00B31688" w:rsidRDefault="006611AD" w:rsidP="00CC69D3">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Peeters</w:t>
            </w:r>
          </w:p>
        </w:tc>
      </w:tr>
      <w:tr w:rsidR="00AB42D4" w:rsidRPr="00B31688" w:rsidTr="00834F4F">
        <w:trPr>
          <w:gridAfter w:val="1"/>
          <w:wAfter w:w="1984" w:type="dxa"/>
          <w:trHeight w:val="460"/>
          <w:jc w:val="center"/>
        </w:trPr>
        <w:tc>
          <w:tcPr>
            <w:tcW w:w="2283"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CSI</w:t>
            </w:r>
          </w:p>
          <w:p w:rsidR="002E0E48" w:rsidRPr="00B31688" w:rsidRDefault="002E0E48">
            <w:pPr>
              <w:spacing w:after="0" w:line="240" w:lineRule="auto"/>
              <w:jc w:val="center"/>
              <w:rPr>
                <w:rFonts w:ascii="Helvetica" w:eastAsia="Times New Roman" w:hAnsi="Helvetica" w:cs="Helvetica"/>
                <w:color w:val="333333"/>
                <w:sz w:val="20"/>
                <w:szCs w:val="20"/>
              </w:rPr>
            </w:pPr>
          </w:p>
        </w:tc>
        <w:tc>
          <w:tcPr>
            <w:tcW w:w="2268" w:type="dxa"/>
            <w:shd w:val="clear" w:color="auto" w:fill="auto"/>
            <w:vAlign w:val="center"/>
            <w:hideMark/>
          </w:tcPr>
          <w:p w:rsidR="002E0E48" w:rsidRPr="00B31688" w:rsidRDefault="000F0FFC" w:rsidP="00CC69D3">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Jan</w:t>
            </w:r>
          </w:p>
        </w:tc>
        <w:tc>
          <w:tcPr>
            <w:tcW w:w="2127" w:type="dxa"/>
            <w:shd w:val="clear" w:color="auto" w:fill="auto"/>
            <w:vAlign w:val="center"/>
            <w:hideMark/>
          </w:tcPr>
          <w:p w:rsidR="002E0E48" w:rsidRPr="00B31688" w:rsidRDefault="000F0FFC" w:rsidP="00CC69D3">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Dereymaeker</w:t>
            </w:r>
          </w:p>
        </w:tc>
      </w:tr>
      <w:tr w:rsidR="00AB42D4" w:rsidRPr="00B31688" w:rsidTr="00834F4F">
        <w:trPr>
          <w:gridAfter w:val="1"/>
          <w:wAfter w:w="1984" w:type="dxa"/>
          <w:trHeight w:val="460"/>
          <w:jc w:val="center"/>
        </w:trPr>
        <w:tc>
          <w:tcPr>
            <w:tcW w:w="2283" w:type="dxa"/>
            <w:shd w:val="clear" w:color="auto" w:fill="auto"/>
            <w:vAlign w:val="center"/>
            <w:hideMark/>
          </w:tcPr>
          <w:p w:rsidR="002E0E48" w:rsidRPr="00B31688" w:rsidRDefault="002E0E48" w:rsidP="00633320">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CSI</w:t>
            </w:r>
          </w:p>
          <w:p w:rsidR="002E0E48" w:rsidRPr="00B31688" w:rsidRDefault="002E0E48">
            <w:pPr>
              <w:spacing w:after="0" w:line="240" w:lineRule="auto"/>
              <w:jc w:val="center"/>
              <w:rPr>
                <w:rFonts w:ascii="Helvetica" w:eastAsia="Times New Roman" w:hAnsi="Helvetica" w:cs="Helvetica"/>
                <w:color w:val="333333"/>
                <w:sz w:val="20"/>
                <w:szCs w:val="20"/>
              </w:rPr>
            </w:pPr>
          </w:p>
        </w:tc>
        <w:tc>
          <w:tcPr>
            <w:tcW w:w="2268" w:type="dxa"/>
            <w:shd w:val="clear" w:color="auto" w:fill="auto"/>
            <w:vAlign w:val="center"/>
            <w:hideMark/>
          </w:tcPr>
          <w:p w:rsidR="002E0E48" w:rsidRPr="00B31688" w:rsidRDefault="000F0FFC" w:rsidP="00CC69D3">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Paola</w:t>
            </w:r>
          </w:p>
        </w:tc>
        <w:tc>
          <w:tcPr>
            <w:tcW w:w="2127" w:type="dxa"/>
            <w:shd w:val="clear" w:color="auto" w:fill="auto"/>
            <w:vAlign w:val="center"/>
            <w:hideMark/>
          </w:tcPr>
          <w:p w:rsidR="002E0E48" w:rsidRPr="00B31688" w:rsidRDefault="000F0FFC" w:rsidP="00CC69D3">
            <w:pPr>
              <w:spacing w:after="0" w:line="240" w:lineRule="auto"/>
              <w:jc w:val="center"/>
              <w:rPr>
                <w:rFonts w:ascii="Helvetica" w:eastAsia="Times New Roman" w:hAnsi="Helvetica" w:cs="Helvetica"/>
                <w:color w:val="333333"/>
                <w:sz w:val="20"/>
                <w:szCs w:val="20"/>
              </w:rPr>
            </w:pPr>
            <w:r w:rsidRPr="00B31688">
              <w:rPr>
                <w:rFonts w:ascii="Helvetica" w:hAnsi="Helvetica"/>
                <w:color w:val="333333"/>
                <w:sz w:val="20"/>
                <w:szCs w:val="20"/>
              </w:rPr>
              <w:t>Simonetti</w:t>
            </w:r>
          </w:p>
        </w:tc>
      </w:tr>
    </w:tbl>
    <w:p w:rsidR="003E0316" w:rsidRPr="00B31688" w:rsidRDefault="003E0316" w:rsidP="003E0316">
      <w:pPr>
        <w:pStyle w:val="Heading1"/>
        <w:spacing w:before="0" w:line="240" w:lineRule="auto"/>
      </w:pPr>
    </w:p>
    <w:p w:rsidR="00214B82" w:rsidRPr="00B31688" w:rsidRDefault="00214B82" w:rsidP="003E0316">
      <w:pPr>
        <w:pStyle w:val="Heading1"/>
        <w:spacing w:before="0" w:line="240" w:lineRule="auto"/>
      </w:pPr>
      <w:bookmarkStart w:id="2" w:name="_Toc368324229"/>
      <w:bookmarkStart w:id="3" w:name="_Toc369209754"/>
      <w:r w:rsidRPr="00B31688">
        <w:t>OUVERTURE</w:t>
      </w:r>
      <w:bookmarkEnd w:id="2"/>
      <w:bookmarkEnd w:id="3"/>
    </w:p>
    <w:p w:rsidR="00834F4F" w:rsidRPr="00B31688" w:rsidRDefault="00834F4F" w:rsidP="00834F4F"/>
    <w:p w:rsidR="00214B82" w:rsidRPr="00B31688" w:rsidRDefault="00214B82" w:rsidP="003E0316">
      <w:pPr>
        <w:spacing w:line="240" w:lineRule="auto"/>
        <w:ind w:right="-731"/>
        <w:jc w:val="both"/>
      </w:pPr>
      <w:r w:rsidRPr="00B31688">
        <w:t>L'</w:t>
      </w:r>
      <w:r w:rsidR="00B31688" w:rsidRPr="00B31688">
        <w:t>Éducation</w:t>
      </w:r>
      <w:r w:rsidRPr="00B31688">
        <w:t xml:space="preserve"> au développement est un thème familier pour le RSCD dans la mesure où un nombre important de ses membres mettent en œuvre des programmes nationaux d'éducation au développement. Un séminaire a par ailleurs déjà été organisé sur ce thème </w:t>
      </w:r>
      <w:r w:rsidR="009C49BB" w:rsidRPr="00B31688">
        <w:t>à Vienne</w:t>
      </w:r>
      <w:r w:rsidR="009C49BB">
        <w:t xml:space="preserve"> </w:t>
      </w:r>
      <w:r w:rsidRPr="00B31688">
        <w:t xml:space="preserve">l'an dernier. Alors que le séminaire de Vienne avait comme objectif de partager l'information et les bonnes pratiques entre syndicats </w:t>
      </w:r>
      <w:r w:rsidR="009C49BB">
        <w:t>vis-à-vis d</w:t>
      </w:r>
      <w:r w:rsidRPr="00B31688">
        <w:t xml:space="preserve">es initiatives d'éducation au développement, le </w:t>
      </w:r>
      <w:r w:rsidRPr="00B31688">
        <w:lastRenderedPageBreak/>
        <w:t xml:space="preserve">présent atelier a </w:t>
      </w:r>
      <w:r w:rsidR="009C49BB">
        <w:t>suivi une démarche</w:t>
      </w:r>
      <w:r w:rsidRPr="00B31688">
        <w:t xml:space="preserve"> opérationnelle et orientée vers l'avenir, essentielle pour répondre conjointement au futur appel à propositions de la Commission européenne (programme DEAR). </w:t>
      </w:r>
    </w:p>
    <w:p w:rsidR="00214B82" w:rsidRPr="00B31688" w:rsidRDefault="00214B82" w:rsidP="00214B82">
      <w:pPr>
        <w:ind w:right="-731"/>
        <w:jc w:val="both"/>
      </w:pPr>
      <w:r w:rsidRPr="00B31688">
        <w:t xml:space="preserve">Toute avancée </w:t>
      </w:r>
      <w:r w:rsidR="009C49BB">
        <w:t xml:space="preserve">à cet égard </w:t>
      </w:r>
      <w:r w:rsidRPr="00B31688">
        <w:t xml:space="preserve">serait bien évidemment impossible sans </w:t>
      </w:r>
      <w:r w:rsidR="009C49BB">
        <w:t xml:space="preserve">la </w:t>
      </w:r>
      <w:r w:rsidRPr="00B31688">
        <w:t xml:space="preserve">volonté commune de soutenir cette initiative. </w:t>
      </w:r>
      <w:r w:rsidR="009C49BB">
        <w:t>L’un des</w:t>
      </w:r>
      <w:r w:rsidRPr="00B31688">
        <w:t xml:space="preserve"> principa</w:t>
      </w:r>
      <w:r w:rsidR="009C49BB">
        <w:t xml:space="preserve">ux </w:t>
      </w:r>
      <w:r w:rsidRPr="00B31688">
        <w:t>objectif</w:t>
      </w:r>
      <w:r w:rsidR="009C49BB">
        <w:t>s de l’atelier est par conséquent</w:t>
      </w:r>
      <w:r w:rsidRPr="00B31688">
        <w:t xml:space="preserve"> d'</w:t>
      </w:r>
      <w:r w:rsidR="009C49BB">
        <w:t>évaluer</w:t>
      </w:r>
      <w:r w:rsidRPr="00B31688">
        <w:t xml:space="preserve"> l'intérêt des organisations participantes à adhérer à l'initiative, à essayer de définir conjointement les objectifs, le contenu et </w:t>
      </w:r>
      <w:r w:rsidR="009C49BB">
        <w:t>enfin</w:t>
      </w:r>
      <w:r w:rsidRPr="00B31688">
        <w:t xml:space="preserve"> les modalités de gestion opérationnelle de la future proposition de programme.</w:t>
      </w:r>
    </w:p>
    <w:p w:rsidR="00214B82" w:rsidRPr="00B31688" w:rsidRDefault="00214B82" w:rsidP="00214B82">
      <w:pPr>
        <w:ind w:right="-731"/>
        <w:jc w:val="both"/>
      </w:pPr>
      <w:r w:rsidRPr="00B31688">
        <w:t xml:space="preserve">La valeur ajoutée d'un </w:t>
      </w:r>
      <w:r w:rsidR="009C49BB">
        <w:t>éventuel</w:t>
      </w:r>
      <w:r w:rsidRPr="00B31688">
        <w:t xml:space="preserve"> programme co</w:t>
      </w:r>
      <w:r w:rsidR="00093D97">
        <w:t xml:space="preserve">njoint </w:t>
      </w:r>
      <w:r w:rsidRPr="00B31688">
        <w:t>en matière d'éducation au développement réside dans :</w:t>
      </w:r>
    </w:p>
    <w:p w:rsidR="00214B82" w:rsidRPr="00B31688" w:rsidRDefault="00214B82" w:rsidP="00214B82">
      <w:pPr>
        <w:pStyle w:val="ListParagraph"/>
        <w:numPr>
          <w:ilvl w:val="0"/>
          <w:numId w:val="15"/>
        </w:numPr>
        <w:ind w:right="-731"/>
        <w:jc w:val="both"/>
      </w:pPr>
      <w:r w:rsidRPr="00B31688">
        <w:t>le renforcement de la participation critique et active des membres des syndicats vis-à-vis des modèles d</w:t>
      </w:r>
      <w:r w:rsidR="00093D97">
        <w:t>u</w:t>
      </w:r>
      <w:r w:rsidRPr="00B31688">
        <w:t xml:space="preserve"> développement </w:t>
      </w:r>
      <w:r w:rsidR="00093D97">
        <w:t>international</w:t>
      </w:r>
    </w:p>
    <w:p w:rsidR="00214B82" w:rsidRPr="00B31688" w:rsidRDefault="00214B82" w:rsidP="00214B82">
      <w:pPr>
        <w:pStyle w:val="ListParagraph"/>
        <w:numPr>
          <w:ilvl w:val="0"/>
          <w:numId w:val="15"/>
        </w:numPr>
        <w:ind w:right="-731"/>
        <w:jc w:val="both"/>
      </w:pPr>
      <w:r w:rsidRPr="00B31688">
        <w:t xml:space="preserve">la définition d'un cadre commun reposant sur des approches et objectifs </w:t>
      </w:r>
      <w:r w:rsidR="00093D97">
        <w:t xml:space="preserve">partagés par les </w:t>
      </w:r>
      <w:r w:rsidRPr="00B31688">
        <w:t xml:space="preserve">syndicats européens </w:t>
      </w:r>
    </w:p>
    <w:p w:rsidR="00214B82" w:rsidRPr="00B31688" w:rsidRDefault="00214B82" w:rsidP="00214B82">
      <w:pPr>
        <w:pStyle w:val="ListParagraph"/>
        <w:numPr>
          <w:ilvl w:val="0"/>
          <w:numId w:val="15"/>
        </w:numPr>
        <w:ind w:right="-731"/>
        <w:jc w:val="both"/>
      </w:pPr>
      <w:r w:rsidRPr="00B31688">
        <w:t xml:space="preserve">le renforcement de l'impact des initiatives </w:t>
      </w:r>
      <w:r w:rsidR="00093D97">
        <w:t xml:space="preserve">de </w:t>
      </w:r>
      <w:r w:rsidRPr="00B31688">
        <w:t>solida</w:t>
      </w:r>
      <w:r w:rsidR="00093D97">
        <w:t>r</w:t>
      </w:r>
      <w:r w:rsidRPr="00B31688">
        <w:t>i</w:t>
      </w:r>
      <w:r w:rsidR="00093D97">
        <w:t>té internationale</w:t>
      </w:r>
      <w:r w:rsidRPr="00B31688">
        <w:t xml:space="preserve"> </w:t>
      </w:r>
      <w:r w:rsidR="00093D97">
        <w:t>menées par l</w:t>
      </w:r>
      <w:r w:rsidRPr="00B31688">
        <w:t>es syndicats sur la base de stratégies communes</w:t>
      </w:r>
    </w:p>
    <w:p w:rsidR="004075A8" w:rsidRPr="00B31688" w:rsidRDefault="00093D97" w:rsidP="00214B82">
      <w:pPr>
        <w:pStyle w:val="ListParagraph"/>
        <w:numPr>
          <w:ilvl w:val="0"/>
          <w:numId w:val="15"/>
        </w:numPr>
        <w:ind w:right="-731"/>
        <w:jc w:val="both"/>
      </w:pPr>
      <w:r>
        <w:t xml:space="preserve">la possibilité donnée </w:t>
      </w:r>
      <w:r w:rsidR="004075A8" w:rsidRPr="00B31688">
        <w:t>aux syndicats de répondre aux exigences minimales relatives à la participation et au champ d'application de l'appel à propositions de l'UE (minimum 10 pays associés et montant du budget compris entre 3 et 5 millions d'euros sur une période de 3 ans)</w:t>
      </w:r>
      <w:r w:rsidR="00D03DBC">
        <w:t>.</w:t>
      </w:r>
    </w:p>
    <w:p w:rsidR="00214B82" w:rsidRPr="00B31688" w:rsidRDefault="00214B82" w:rsidP="00214B82">
      <w:pPr>
        <w:ind w:right="-731"/>
        <w:jc w:val="both"/>
      </w:pPr>
      <w:r w:rsidRPr="00B31688">
        <w:t xml:space="preserve">Le séminaire a été animé </w:t>
      </w:r>
      <w:r w:rsidR="00D03DBC">
        <w:t>de manière</w:t>
      </w:r>
      <w:r w:rsidRPr="00B31688">
        <w:t xml:space="preserve"> </w:t>
      </w:r>
      <w:r w:rsidR="00D03DBC">
        <w:t>interactive</w:t>
      </w:r>
      <w:r w:rsidRPr="00B31688">
        <w:t xml:space="preserve"> avec l'aide de Bob Peeters de South Research, agence spécialisée dans les méthodologies de planification, de suivi et d'évaluation. </w:t>
      </w:r>
    </w:p>
    <w:p w:rsidR="00214B82" w:rsidRPr="00B31688" w:rsidRDefault="00214B82" w:rsidP="00214B82">
      <w:pPr>
        <w:ind w:right="-731"/>
        <w:jc w:val="both"/>
      </w:pPr>
      <w:r w:rsidRPr="00B31688">
        <w:t xml:space="preserve">La première journée a été consacrée à l'échange d'idées sur la pertinence, les objectifs, les groupes cibles et les stratégies que nous voulons réaliser. </w:t>
      </w:r>
      <w:r w:rsidR="00D03DBC">
        <w:t>L</w:t>
      </w:r>
      <w:r w:rsidRPr="00B31688">
        <w:t>es caractéristiques opérationnelles</w:t>
      </w:r>
      <w:r w:rsidR="00B31688">
        <w:t xml:space="preserve"> et les modalités de gestion de l’éventuel </w:t>
      </w:r>
      <w:r w:rsidRPr="00B31688">
        <w:t>programme conjoint</w:t>
      </w:r>
      <w:r w:rsidR="00D03DBC">
        <w:t xml:space="preserve"> ont également été abordées le lendemain</w:t>
      </w:r>
      <w:r w:rsidRPr="00B31688">
        <w:t xml:space="preserve">. </w:t>
      </w:r>
    </w:p>
    <w:p w:rsidR="00C71351" w:rsidRPr="00B31688" w:rsidRDefault="00D03DBC" w:rsidP="001E5753">
      <w:pPr>
        <w:ind w:right="-731"/>
        <w:jc w:val="both"/>
      </w:pPr>
      <w:r>
        <w:t>L</w:t>
      </w:r>
      <w:r w:rsidR="00214B82" w:rsidRPr="00B31688">
        <w:t>es participants ont défini</w:t>
      </w:r>
      <w:r>
        <w:t>, pour finir,</w:t>
      </w:r>
      <w:r w:rsidR="00214B82" w:rsidRPr="00B31688">
        <w:t xml:space="preserve"> les mesures concrètes de suivi ainsi que les échéances.</w:t>
      </w:r>
    </w:p>
    <w:p w:rsidR="005C6B3C" w:rsidRPr="00B31688" w:rsidRDefault="005C6B3C" w:rsidP="005C6B3C">
      <w:pPr>
        <w:pStyle w:val="Heading3"/>
        <w:spacing w:before="0"/>
        <w:rPr>
          <w:sz w:val="28"/>
          <w:szCs w:val="28"/>
        </w:rPr>
      </w:pPr>
    </w:p>
    <w:p w:rsidR="005C6B3C" w:rsidRPr="00B31688" w:rsidRDefault="002E0E48" w:rsidP="005C6B3C">
      <w:pPr>
        <w:pStyle w:val="Heading3"/>
        <w:spacing w:before="0"/>
        <w:rPr>
          <w:sz w:val="28"/>
          <w:szCs w:val="28"/>
        </w:rPr>
      </w:pPr>
      <w:bookmarkStart w:id="4" w:name="_Toc368324230"/>
      <w:bookmarkStart w:id="5" w:name="_Toc369209755"/>
      <w:r w:rsidRPr="00B31688">
        <w:rPr>
          <w:sz w:val="28"/>
          <w:szCs w:val="28"/>
        </w:rPr>
        <w:t>Session 1 : CONTEXTE &amp; ATTENTES</w:t>
      </w:r>
      <w:bookmarkEnd w:id="4"/>
      <w:bookmarkEnd w:id="5"/>
    </w:p>
    <w:p w:rsidR="00A6224B" w:rsidRPr="00B31688" w:rsidRDefault="00A6224B" w:rsidP="005C6B3C">
      <w:pPr>
        <w:ind w:right="-731"/>
        <w:jc w:val="both"/>
        <w:rPr>
          <w:i/>
        </w:rPr>
      </w:pPr>
    </w:p>
    <w:p w:rsidR="004F61F5" w:rsidRPr="00B31688" w:rsidRDefault="00C9214C" w:rsidP="002E0E48">
      <w:pPr>
        <w:ind w:right="-731"/>
        <w:jc w:val="both"/>
      </w:pPr>
      <w:r w:rsidRPr="00B31688">
        <w:t>Les participants</w:t>
      </w:r>
      <w:r w:rsidR="00D03DBC">
        <w:t>,</w:t>
      </w:r>
      <w:r w:rsidRPr="00B31688">
        <w:t xml:space="preserve"> répartis en 3 groupes de travail (GT)</w:t>
      </w:r>
      <w:r w:rsidR="00D03DBC">
        <w:t>,</w:t>
      </w:r>
      <w:r w:rsidRPr="00B31688">
        <w:t xml:space="preserve"> ont été priés de souligner les thèmes majeurs abordés et leurs expériences positives </w:t>
      </w:r>
      <w:r w:rsidR="00D03DBC">
        <w:t>vis-à-vis des</w:t>
      </w:r>
      <w:r w:rsidRPr="00B31688">
        <w:t xml:space="preserve"> initiatives d'éducation au développement qu'ils ont menées à l'échelle nationale. </w:t>
      </w:r>
    </w:p>
    <w:p w:rsidR="004D06DA" w:rsidRPr="00B31688" w:rsidRDefault="007233EF" w:rsidP="002E0E48">
      <w:pPr>
        <w:ind w:right="-731"/>
        <w:jc w:val="both"/>
      </w:pPr>
      <w:r w:rsidRPr="00B31688">
        <w:t>Principales questions soulevées :</w:t>
      </w:r>
    </w:p>
    <w:p w:rsidR="00DC4513" w:rsidRPr="00B31688" w:rsidRDefault="00EC6641" w:rsidP="00DC4513">
      <w:pPr>
        <w:pStyle w:val="ListParagraph"/>
        <w:numPr>
          <w:ilvl w:val="0"/>
          <w:numId w:val="17"/>
        </w:numPr>
        <w:ind w:right="-731"/>
        <w:jc w:val="both"/>
      </w:pPr>
      <w:r>
        <w:t>l</w:t>
      </w:r>
      <w:r w:rsidR="004D06DA" w:rsidRPr="00B31688">
        <w:t>'</w:t>
      </w:r>
      <w:r w:rsidR="00B31688" w:rsidRPr="00B31688">
        <w:t>Éducation</w:t>
      </w:r>
      <w:r w:rsidR="004D06DA" w:rsidRPr="00B31688">
        <w:t xml:space="preserve"> au développement sert à mobiliser les travailleurs sur le thème du développement international, </w:t>
      </w:r>
      <w:r w:rsidR="00D03DBC">
        <w:t>par le biais d</w:t>
      </w:r>
      <w:r w:rsidR="004D06DA" w:rsidRPr="00B31688">
        <w:t>es conventions collectives - clauses des conventions collectives soutenant les projets de solidarité internationale</w:t>
      </w:r>
      <w:r>
        <w:t xml:space="preserve"> </w:t>
      </w:r>
      <w:r w:rsidR="004D06DA" w:rsidRPr="00B31688">
        <w:t>;</w:t>
      </w:r>
    </w:p>
    <w:p w:rsidR="003E0355" w:rsidRPr="00B31688" w:rsidRDefault="00EC6641" w:rsidP="00DC4513">
      <w:pPr>
        <w:pStyle w:val="ListParagraph"/>
        <w:numPr>
          <w:ilvl w:val="0"/>
          <w:numId w:val="17"/>
        </w:numPr>
        <w:ind w:right="-731"/>
        <w:jc w:val="both"/>
      </w:pPr>
      <w:r>
        <w:lastRenderedPageBreak/>
        <w:t>v</w:t>
      </w:r>
      <w:r w:rsidR="003E0355" w:rsidRPr="00B31688">
        <w:t>isites de sensibilisation organisées en Europe auprès des syndicats et des entreprises : témoignages de syndicats de pays en développement sur les conditions de travail et les sujets liés au travail</w:t>
      </w:r>
      <w:r>
        <w:t xml:space="preserve"> </w:t>
      </w:r>
      <w:r w:rsidR="003E0355" w:rsidRPr="00B31688">
        <w:t>;</w:t>
      </w:r>
    </w:p>
    <w:p w:rsidR="00515646" w:rsidRPr="00B31688" w:rsidRDefault="00EC6641" w:rsidP="00DC4513">
      <w:pPr>
        <w:pStyle w:val="ListParagraph"/>
        <w:numPr>
          <w:ilvl w:val="0"/>
          <w:numId w:val="17"/>
        </w:numPr>
        <w:ind w:right="-731"/>
        <w:jc w:val="both"/>
      </w:pPr>
      <w:r>
        <w:t>s</w:t>
      </w:r>
      <w:r w:rsidR="00515646" w:rsidRPr="00B31688">
        <w:t>ensibilisation des multinationales - chaînes d'approvisionnement et accords cadres</w:t>
      </w:r>
      <w:r>
        <w:t>,</w:t>
      </w:r>
      <w:r w:rsidR="00515646" w:rsidRPr="00B31688">
        <w:t xml:space="preserve"> </w:t>
      </w:r>
    </w:p>
    <w:p w:rsidR="004D06DA" w:rsidRPr="00B31688" w:rsidRDefault="00EC6641" w:rsidP="00DC4513">
      <w:pPr>
        <w:pStyle w:val="ListParagraph"/>
        <w:numPr>
          <w:ilvl w:val="0"/>
          <w:numId w:val="17"/>
        </w:numPr>
        <w:ind w:right="-731"/>
        <w:jc w:val="both"/>
      </w:pPr>
      <w:r>
        <w:t>c</w:t>
      </w:r>
      <w:r w:rsidR="004D06DA" w:rsidRPr="00B31688">
        <w:t>oalitions / campagnes menées par les syndicats conjointement avec d'autres OSC sur le thème du travail décent (voir l'exemple belge)</w:t>
      </w:r>
      <w:r>
        <w:t xml:space="preserve"> </w:t>
      </w:r>
      <w:r w:rsidR="004D06DA" w:rsidRPr="00B31688">
        <w:t>;</w:t>
      </w:r>
    </w:p>
    <w:p w:rsidR="007233EF" w:rsidRPr="00B31688" w:rsidRDefault="00EC6641" w:rsidP="00DC4513">
      <w:pPr>
        <w:pStyle w:val="ListParagraph"/>
        <w:numPr>
          <w:ilvl w:val="0"/>
          <w:numId w:val="17"/>
        </w:numPr>
        <w:ind w:right="-731"/>
        <w:jc w:val="both"/>
      </w:pPr>
      <w:r>
        <w:t>c</w:t>
      </w:r>
      <w:r w:rsidR="007233EF" w:rsidRPr="00B31688">
        <w:t>ampagnes sur le thème de la protection sociale</w:t>
      </w:r>
      <w:r>
        <w:t xml:space="preserve"> </w:t>
      </w:r>
      <w:r w:rsidR="007233EF" w:rsidRPr="00B31688">
        <w:t>;</w:t>
      </w:r>
    </w:p>
    <w:p w:rsidR="00515646" w:rsidRPr="00B31688" w:rsidRDefault="00EC6641" w:rsidP="00515646">
      <w:pPr>
        <w:pStyle w:val="ListParagraph"/>
        <w:numPr>
          <w:ilvl w:val="0"/>
          <w:numId w:val="17"/>
        </w:numPr>
        <w:ind w:right="-731"/>
        <w:jc w:val="both"/>
      </w:pPr>
      <w:r>
        <w:t>c</w:t>
      </w:r>
      <w:r w:rsidR="007233EF" w:rsidRPr="00B31688">
        <w:t>ampagnes ciblant le consommateur en faveur de la consommation éthique et  sensibilisation sur les conditions de travail dans le pays d'origine</w:t>
      </w:r>
      <w:r>
        <w:t> ;</w:t>
      </w:r>
    </w:p>
    <w:p w:rsidR="002E0E48" w:rsidRPr="00B31688" w:rsidRDefault="00EC6641" w:rsidP="002E0E48">
      <w:pPr>
        <w:pStyle w:val="ListParagraph"/>
        <w:numPr>
          <w:ilvl w:val="0"/>
          <w:numId w:val="17"/>
        </w:numPr>
        <w:ind w:right="-731"/>
        <w:jc w:val="both"/>
      </w:pPr>
      <w:r>
        <w:t>c</w:t>
      </w:r>
      <w:r w:rsidR="007233EF" w:rsidRPr="00B31688">
        <w:t>ampagnes en faveur de l'engagement à consacrer 0,7% du PIB à l'APD</w:t>
      </w:r>
      <w:r>
        <w:t> ;</w:t>
      </w:r>
    </w:p>
    <w:p w:rsidR="00515646" w:rsidRPr="00B31688" w:rsidRDefault="00EC6641" w:rsidP="00515646">
      <w:pPr>
        <w:pStyle w:val="ListParagraph"/>
        <w:numPr>
          <w:ilvl w:val="0"/>
          <w:numId w:val="17"/>
        </w:numPr>
        <w:ind w:right="-731"/>
        <w:jc w:val="both"/>
      </w:pPr>
      <w:r>
        <w:t>l</w:t>
      </w:r>
      <w:r w:rsidR="00515646" w:rsidRPr="00B31688">
        <w:t>es initiatives d'éducation au développement renforcent le lien entre le lobbying, la mobilisation des financement</w:t>
      </w:r>
      <w:r>
        <w:t>s, l'éducation et la visibilité ;</w:t>
      </w:r>
    </w:p>
    <w:p w:rsidR="00B24AC2" w:rsidRPr="00B31688" w:rsidRDefault="00EC6641" w:rsidP="002E0E48">
      <w:pPr>
        <w:pStyle w:val="ListParagraph"/>
        <w:numPr>
          <w:ilvl w:val="0"/>
          <w:numId w:val="17"/>
        </w:numPr>
        <w:ind w:right="-731"/>
        <w:jc w:val="both"/>
      </w:pPr>
      <w:r>
        <w:t>l</w:t>
      </w:r>
      <w:r w:rsidR="00515646" w:rsidRPr="00B31688">
        <w:t xml:space="preserve">es initiatives d'éducation au développement </w:t>
      </w:r>
      <w:r>
        <w:t>appuient</w:t>
      </w:r>
      <w:r w:rsidR="00515646" w:rsidRPr="00B31688">
        <w:t xml:space="preserve"> l'unité d'action des syndicats à l'échelle nationale</w:t>
      </w:r>
      <w:r>
        <w:t>.</w:t>
      </w:r>
    </w:p>
    <w:p w:rsidR="00B24AC2" w:rsidRPr="00B31688" w:rsidRDefault="00B24AC2" w:rsidP="002E0E48">
      <w:pPr>
        <w:ind w:right="-731"/>
        <w:jc w:val="both"/>
      </w:pPr>
      <w:r w:rsidRPr="00B31688">
        <w:t>Les participants ont ensuite souligné les opportunités et les défis majeurs liés à l'éventuel programme conjoint sur l'éducation au développement. Principales questions soulevées :</w:t>
      </w:r>
    </w:p>
    <w:tbl>
      <w:tblPr>
        <w:tblStyle w:val="TableGrid"/>
        <w:tblW w:w="8755" w:type="dxa"/>
        <w:tblLook w:val="04A0" w:firstRow="1" w:lastRow="0" w:firstColumn="1" w:lastColumn="0" w:noHBand="0" w:noVBand="1"/>
      </w:tblPr>
      <w:tblGrid>
        <w:gridCol w:w="4503"/>
        <w:gridCol w:w="4252"/>
      </w:tblGrid>
      <w:tr w:rsidR="007233EF" w:rsidRPr="00B31688" w:rsidTr="007233EF">
        <w:tc>
          <w:tcPr>
            <w:tcW w:w="4503" w:type="dxa"/>
          </w:tcPr>
          <w:p w:rsidR="004F61F5" w:rsidRPr="00B31688" w:rsidRDefault="00B31688" w:rsidP="00633320">
            <w:pPr>
              <w:ind w:right="-731"/>
              <w:jc w:val="center"/>
            </w:pPr>
            <w:r w:rsidRPr="00B31688">
              <w:t>OPPORTUNITÉS</w:t>
            </w:r>
          </w:p>
        </w:tc>
        <w:tc>
          <w:tcPr>
            <w:tcW w:w="4252" w:type="dxa"/>
          </w:tcPr>
          <w:p w:rsidR="007233EF" w:rsidRPr="00B31688" w:rsidRDefault="00B31688" w:rsidP="007233EF">
            <w:pPr>
              <w:ind w:right="-731"/>
              <w:jc w:val="center"/>
            </w:pPr>
            <w:r w:rsidRPr="00B31688">
              <w:t>DÉFIS</w:t>
            </w:r>
          </w:p>
        </w:tc>
      </w:tr>
      <w:tr w:rsidR="007233EF" w:rsidRPr="00B31688" w:rsidTr="007233EF">
        <w:tc>
          <w:tcPr>
            <w:tcW w:w="4503" w:type="dxa"/>
          </w:tcPr>
          <w:p w:rsidR="00834F4F" w:rsidRPr="00B31688" w:rsidRDefault="00834F4F" w:rsidP="00834F4F">
            <w:pPr>
              <w:ind w:right="-731"/>
              <w:jc w:val="both"/>
            </w:pPr>
            <w:r w:rsidRPr="00B31688">
              <w:t xml:space="preserve">Stratégies de communication communes / </w:t>
            </w:r>
          </w:p>
          <w:p w:rsidR="00834F4F" w:rsidRPr="00B31688" w:rsidRDefault="00834F4F" w:rsidP="00834F4F">
            <w:pPr>
              <w:ind w:right="-731"/>
              <w:jc w:val="both"/>
            </w:pPr>
            <w:r w:rsidRPr="00B31688">
              <w:t xml:space="preserve">campagnes conjointes sur des thèmes communs : </w:t>
            </w:r>
          </w:p>
          <w:p w:rsidR="00EC6641" w:rsidRDefault="00834F4F" w:rsidP="00834F4F">
            <w:pPr>
              <w:ind w:right="-731"/>
              <w:jc w:val="both"/>
            </w:pPr>
            <w:r w:rsidRPr="00B31688">
              <w:t xml:space="preserve">mobilisation au niveau européen et </w:t>
            </w:r>
          </w:p>
          <w:p w:rsidR="001910D4" w:rsidRPr="00B31688" w:rsidRDefault="00834F4F" w:rsidP="00834F4F">
            <w:pPr>
              <w:ind w:right="-731"/>
              <w:jc w:val="both"/>
            </w:pPr>
            <w:r w:rsidRPr="00B31688">
              <w:t>influence</w:t>
            </w:r>
            <w:r w:rsidR="00EC6641">
              <w:t xml:space="preserve"> </w:t>
            </w:r>
            <w:r w:rsidR="002E11B7" w:rsidRPr="00B31688">
              <w:t xml:space="preserve">politique </w:t>
            </w:r>
            <w:r w:rsidR="00155800" w:rsidRPr="00B31688">
              <w:t>accrue</w:t>
            </w:r>
            <w:r w:rsidR="00155800">
              <w:t>s</w:t>
            </w:r>
            <w:r w:rsidR="00155800" w:rsidRPr="00B31688">
              <w:t xml:space="preserve"> </w:t>
            </w:r>
          </w:p>
          <w:p w:rsidR="00633320" w:rsidRPr="00B31688" w:rsidRDefault="00633320" w:rsidP="002E0E48">
            <w:pPr>
              <w:ind w:right="-731"/>
              <w:jc w:val="both"/>
            </w:pPr>
          </w:p>
          <w:p w:rsidR="007275F4" w:rsidRPr="00B31688" w:rsidRDefault="007275F4" w:rsidP="002E0E48">
            <w:pPr>
              <w:ind w:right="-731"/>
              <w:jc w:val="both"/>
            </w:pPr>
          </w:p>
        </w:tc>
        <w:tc>
          <w:tcPr>
            <w:tcW w:w="4252" w:type="dxa"/>
          </w:tcPr>
          <w:p w:rsidR="00EC6641" w:rsidRDefault="00155800" w:rsidP="002E0E48">
            <w:pPr>
              <w:ind w:right="-731"/>
              <w:jc w:val="both"/>
            </w:pPr>
            <w:r>
              <w:t>Divergence des</w:t>
            </w:r>
            <w:r w:rsidR="002E11B7" w:rsidRPr="00B31688">
              <w:t xml:space="preserve"> approches et </w:t>
            </w:r>
          </w:p>
          <w:p w:rsidR="00155800" w:rsidRDefault="002E11B7" w:rsidP="0010448A">
            <w:pPr>
              <w:ind w:right="-731"/>
              <w:jc w:val="both"/>
            </w:pPr>
            <w:r w:rsidRPr="00B31688">
              <w:t xml:space="preserve">contextes nationaux </w:t>
            </w:r>
            <w:r w:rsidR="00155800">
              <w:t>vis-à-vis de</w:t>
            </w:r>
            <w:r w:rsidR="0010448A" w:rsidRPr="00B31688">
              <w:t xml:space="preserve"> la mise en </w:t>
            </w:r>
          </w:p>
          <w:p w:rsidR="00633320" w:rsidRPr="00B31688" w:rsidRDefault="0010448A" w:rsidP="0010448A">
            <w:pPr>
              <w:ind w:right="-731"/>
              <w:jc w:val="both"/>
            </w:pPr>
            <w:r w:rsidRPr="00B31688">
              <w:t xml:space="preserve">œuvre des activités </w:t>
            </w:r>
          </w:p>
          <w:p w:rsidR="00633320" w:rsidRPr="00B31688" w:rsidRDefault="00633320" w:rsidP="0010448A">
            <w:pPr>
              <w:ind w:right="-731"/>
              <w:jc w:val="both"/>
            </w:pPr>
          </w:p>
          <w:p w:rsidR="007233EF" w:rsidRPr="00B31688" w:rsidRDefault="0010448A" w:rsidP="00EC6641">
            <w:pPr>
              <w:pStyle w:val="ListParagraph"/>
              <w:numPr>
                <w:ilvl w:val="0"/>
                <w:numId w:val="17"/>
              </w:numPr>
              <w:ind w:right="-731"/>
              <w:jc w:val="both"/>
            </w:pPr>
            <w:r w:rsidRPr="00B31688">
              <w:t>différentes priorités internes</w:t>
            </w:r>
          </w:p>
        </w:tc>
      </w:tr>
      <w:tr w:rsidR="007233EF" w:rsidRPr="00B31688" w:rsidTr="007233EF">
        <w:tc>
          <w:tcPr>
            <w:tcW w:w="4503" w:type="dxa"/>
          </w:tcPr>
          <w:p w:rsidR="00834F4F" w:rsidRPr="00B31688" w:rsidRDefault="00834F4F" w:rsidP="002E0E48">
            <w:pPr>
              <w:ind w:right="-731"/>
              <w:jc w:val="both"/>
            </w:pPr>
            <w:r w:rsidRPr="00B31688">
              <w:t xml:space="preserve">Partenariats plus larges et plus solides entre </w:t>
            </w:r>
          </w:p>
          <w:p w:rsidR="00834F4F" w:rsidRPr="00B31688" w:rsidRDefault="00834F4F" w:rsidP="002E0E48">
            <w:pPr>
              <w:ind w:right="-731"/>
              <w:jc w:val="both"/>
            </w:pPr>
            <w:r w:rsidRPr="00B31688">
              <w:t xml:space="preserve">syndicats </w:t>
            </w:r>
          </w:p>
          <w:p w:rsidR="007275F4" w:rsidRPr="00B31688" w:rsidRDefault="007275F4" w:rsidP="00834F4F">
            <w:pPr>
              <w:ind w:right="-731"/>
              <w:jc w:val="both"/>
            </w:pPr>
          </w:p>
        </w:tc>
        <w:tc>
          <w:tcPr>
            <w:tcW w:w="4252" w:type="dxa"/>
          </w:tcPr>
          <w:p w:rsidR="001910D4" w:rsidRPr="00B31688" w:rsidRDefault="001910D4" w:rsidP="002E0E48">
            <w:pPr>
              <w:ind w:right="-731"/>
              <w:jc w:val="both"/>
            </w:pPr>
            <w:r w:rsidRPr="00B31688">
              <w:t xml:space="preserve">Crise économique générale &amp; réduction du </w:t>
            </w:r>
          </w:p>
          <w:p w:rsidR="007233EF" w:rsidRPr="00B31688" w:rsidRDefault="002E6EC4" w:rsidP="002E0E48">
            <w:pPr>
              <w:ind w:right="-731"/>
              <w:jc w:val="both"/>
            </w:pPr>
            <w:r w:rsidRPr="00B31688">
              <w:t>nombre de membres syndicaux dans l'UE</w:t>
            </w:r>
          </w:p>
        </w:tc>
      </w:tr>
      <w:tr w:rsidR="007233EF" w:rsidRPr="00B31688" w:rsidTr="007233EF">
        <w:tc>
          <w:tcPr>
            <w:tcW w:w="4503" w:type="dxa"/>
          </w:tcPr>
          <w:p w:rsidR="00834F4F" w:rsidRPr="00B31688" w:rsidRDefault="00834F4F" w:rsidP="00834F4F">
            <w:pPr>
              <w:ind w:right="-731"/>
              <w:jc w:val="both"/>
            </w:pPr>
            <w:r w:rsidRPr="00B31688">
              <w:t>Renforce</w:t>
            </w:r>
            <w:r w:rsidR="00155800">
              <w:t xml:space="preserve">r l’action </w:t>
            </w:r>
            <w:r w:rsidRPr="00B31688">
              <w:t xml:space="preserve">du RSCD, bénéficier </w:t>
            </w:r>
          </w:p>
          <w:p w:rsidR="00834F4F" w:rsidRPr="00B31688" w:rsidRDefault="00155800" w:rsidP="00834F4F">
            <w:pPr>
              <w:ind w:right="-731"/>
              <w:jc w:val="both"/>
            </w:pPr>
            <w:r>
              <w:t>des avantages</w:t>
            </w:r>
            <w:r w:rsidR="00834F4F" w:rsidRPr="00B31688">
              <w:t xml:space="preserve"> d'un réseau puissant</w:t>
            </w:r>
          </w:p>
          <w:p w:rsidR="007233EF" w:rsidRPr="00B31688" w:rsidRDefault="007233EF" w:rsidP="00515646">
            <w:pPr>
              <w:ind w:right="-731"/>
              <w:jc w:val="both"/>
            </w:pPr>
          </w:p>
        </w:tc>
        <w:tc>
          <w:tcPr>
            <w:tcW w:w="4252" w:type="dxa"/>
          </w:tcPr>
          <w:p w:rsidR="00CC1F1E" w:rsidRPr="00B31688" w:rsidRDefault="00CC1F1E" w:rsidP="002E0E48">
            <w:pPr>
              <w:ind w:right="-731"/>
              <w:jc w:val="both"/>
            </w:pPr>
            <w:r w:rsidRPr="00B31688">
              <w:t xml:space="preserve">Complexité de la gestion et de la </w:t>
            </w:r>
          </w:p>
          <w:p w:rsidR="007275F4" w:rsidRPr="00B31688" w:rsidRDefault="002E6EC4" w:rsidP="002E0E48">
            <w:pPr>
              <w:ind w:right="-731"/>
              <w:jc w:val="both"/>
            </w:pPr>
            <w:r w:rsidRPr="00B31688">
              <w:t>gouvernance du programme</w:t>
            </w:r>
          </w:p>
        </w:tc>
      </w:tr>
      <w:tr w:rsidR="007233EF" w:rsidRPr="00B31688" w:rsidTr="007233EF">
        <w:tc>
          <w:tcPr>
            <w:tcW w:w="4503" w:type="dxa"/>
          </w:tcPr>
          <w:p w:rsidR="007275F4" w:rsidRPr="00B31688" w:rsidRDefault="00515646" w:rsidP="002E0E48">
            <w:pPr>
              <w:ind w:right="-731"/>
              <w:jc w:val="both"/>
            </w:pPr>
            <w:r w:rsidRPr="00B31688">
              <w:t>Améliorer la qualité et l'impact de l'ED.</w:t>
            </w:r>
          </w:p>
        </w:tc>
        <w:tc>
          <w:tcPr>
            <w:tcW w:w="4252" w:type="dxa"/>
          </w:tcPr>
          <w:p w:rsidR="007233EF" w:rsidRPr="00B31688" w:rsidRDefault="007233EF" w:rsidP="002E0E48">
            <w:pPr>
              <w:ind w:right="-731"/>
              <w:jc w:val="both"/>
            </w:pPr>
          </w:p>
        </w:tc>
      </w:tr>
    </w:tbl>
    <w:p w:rsidR="007233EF" w:rsidRPr="00B31688" w:rsidRDefault="007233EF" w:rsidP="002E0E48">
      <w:pPr>
        <w:ind w:right="-731"/>
        <w:jc w:val="both"/>
      </w:pPr>
    </w:p>
    <w:p w:rsidR="00C9214C" w:rsidRPr="00B31688" w:rsidRDefault="00C9214C" w:rsidP="005C6B3C">
      <w:pPr>
        <w:pStyle w:val="Heading3"/>
        <w:spacing w:before="0"/>
        <w:rPr>
          <w:sz w:val="28"/>
          <w:szCs w:val="28"/>
        </w:rPr>
      </w:pPr>
      <w:bookmarkStart w:id="6" w:name="_Toc368324231"/>
      <w:bookmarkStart w:id="7" w:name="_Toc369209756"/>
      <w:r w:rsidRPr="00B31688">
        <w:rPr>
          <w:sz w:val="28"/>
          <w:szCs w:val="28"/>
        </w:rPr>
        <w:t>Session 2 : Présentation du programme DEAR par la Commission européenne</w:t>
      </w:r>
      <w:bookmarkEnd w:id="6"/>
      <w:bookmarkEnd w:id="7"/>
    </w:p>
    <w:p w:rsidR="00834F4F" w:rsidRPr="00B31688" w:rsidRDefault="00834F4F" w:rsidP="00834F4F"/>
    <w:p w:rsidR="00633320" w:rsidRPr="00B31688" w:rsidRDefault="00C0350D" w:rsidP="00B24AC2">
      <w:pPr>
        <w:ind w:right="-731"/>
        <w:jc w:val="both"/>
      </w:pPr>
      <w:r w:rsidRPr="00B31688">
        <w:t xml:space="preserve">Voir la présentation ppt de Markus Pirchner (en anglais) : </w:t>
      </w:r>
      <w:hyperlink r:id="rId10">
        <w:r w:rsidRPr="00B31688">
          <w:rPr>
            <w:rStyle w:val="Hyperlink"/>
          </w:rPr>
          <w:t>http://www.ituc-csi.org/documents-from-the-meeting-13711</w:t>
        </w:r>
      </w:hyperlink>
      <w:r w:rsidRPr="00B31688">
        <w:t xml:space="preserve"> </w:t>
      </w:r>
    </w:p>
    <w:p w:rsidR="00C0350D" w:rsidRPr="00B31688" w:rsidRDefault="00C0350D" w:rsidP="00B24AC2">
      <w:pPr>
        <w:ind w:right="-731"/>
        <w:jc w:val="both"/>
      </w:pPr>
      <w:r w:rsidRPr="00B31688">
        <w:t>Points clés :</w:t>
      </w:r>
    </w:p>
    <w:p w:rsidR="00AB42D4" w:rsidRPr="00B31688" w:rsidRDefault="00155800" w:rsidP="00B24AC2">
      <w:pPr>
        <w:pStyle w:val="ListParagraph"/>
        <w:numPr>
          <w:ilvl w:val="0"/>
          <w:numId w:val="18"/>
        </w:numPr>
        <w:spacing w:after="0"/>
        <w:ind w:right="-731"/>
        <w:jc w:val="both"/>
      </w:pPr>
      <w:r>
        <w:t>Les deux démarches « </w:t>
      </w:r>
      <w:r w:rsidR="00B31688">
        <w:t>éduca</w:t>
      </w:r>
      <w:r>
        <w:t>tion au développement » et</w:t>
      </w:r>
      <w:r w:rsidR="00B31688">
        <w:t xml:space="preserve"> « </w:t>
      </w:r>
      <w:r w:rsidR="00150F8C" w:rsidRPr="00B31688">
        <w:t>sensib</w:t>
      </w:r>
      <w:r w:rsidR="00B31688">
        <w:t>ilisation / campagne »</w:t>
      </w:r>
      <w:r w:rsidR="00150F8C" w:rsidRPr="00B31688">
        <w:t xml:space="preserve"> ne sont pas incompatibles </w:t>
      </w:r>
      <w:r w:rsidR="00B31688" w:rsidRPr="00B31688">
        <w:t>: la</w:t>
      </w:r>
      <w:r w:rsidR="00150F8C" w:rsidRPr="00B31688">
        <w:t xml:space="preserve"> CE n'est pas défavorable à une combinaison de ces démarches.</w:t>
      </w:r>
    </w:p>
    <w:p w:rsidR="007275F4" w:rsidRPr="00B31688" w:rsidRDefault="007275F4" w:rsidP="00AB42D4">
      <w:pPr>
        <w:pStyle w:val="ListParagraph"/>
        <w:numPr>
          <w:ilvl w:val="0"/>
          <w:numId w:val="18"/>
        </w:numPr>
        <w:ind w:right="-731"/>
        <w:jc w:val="both"/>
      </w:pPr>
      <w:r w:rsidRPr="00B31688">
        <w:t xml:space="preserve">Toutefois, le programme devrait clairement indiquer la démarche prioritaire </w:t>
      </w:r>
      <w:r w:rsidR="00155800">
        <w:t>retenue</w:t>
      </w:r>
      <w:r w:rsidRPr="00B31688">
        <w:t xml:space="preserve"> (</w:t>
      </w:r>
      <w:r w:rsidR="00B31688" w:rsidRPr="00B31688">
        <w:t>Éducation</w:t>
      </w:r>
      <w:r w:rsidRPr="00B31688">
        <w:t xml:space="preserve"> au développement ou sensibilisation) tout en décrivant leur complémentarité.</w:t>
      </w:r>
    </w:p>
    <w:p w:rsidR="007275F4" w:rsidRPr="00B31688" w:rsidRDefault="00155800" w:rsidP="00AB42D4">
      <w:pPr>
        <w:pStyle w:val="ListParagraph"/>
        <w:numPr>
          <w:ilvl w:val="0"/>
          <w:numId w:val="18"/>
        </w:numPr>
        <w:ind w:right="-731"/>
        <w:jc w:val="both"/>
      </w:pPr>
      <w:r>
        <w:lastRenderedPageBreak/>
        <w:t xml:space="preserve">La démarche d’éducation au développement est </w:t>
      </w:r>
      <w:r w:rsidR="007275F4" w:rsidRPr="00B31688">
        <w:t xml:space="preserve">axée sur le processus et ciblant un type de bénéficiaires plus précis  </w:t>
      </w:r>
    </w:p>
    <w:p w:rsidR="007275F4" w:rsidRPr="00B31688" w:rsidRDefault="00155800" w:rsidP="00AB42D4">
      <w:pPr>
        <w:pStyle w:val="ListParagraph"/>
        <w:numPr>
          <w:ilvl w:val="0"/>
          <w:numId w:val="18"/>
        </w:numPr>
        <w:ind w:right="-731"/>
        <w:jc w:val="both"/>
      </w:pPr>
      <w:r>
        <w:t>La d</w:t>
      </w:r>
      <w:r w:rsidR="007275F4" w:rsidRPr="00B31688">
        <w:t>émarche de</w:t>
      </w:r>
      <w:r>
        <w:t xml:space="preserve"> sensibilisation / campagne est</w:t>
      </w:r>
      <w:r w:rsidR="007275F4" w:rsidRPr="00B31688">
        <w:t xml:space="preserve"> axée sur les résultats (comme </w:t>
      </w:r>
      <w:r>
        <w:t xml:space="preserve">par exemple </w:t>
      </w:r>
      <w:r w:rsidR="007275F4" w:rsidRPr="00B31688">
        <w:t>des expositions), ciblant le grand public</w:t>
      </w:r>
    </w:p>
    <w:p w:rsidR="007275F4" w:rsidRPr="00B31688" w:rsidRDefault="00B31688" w:rsidP="00AB42D4">
      <w:pPr>
        <w:pStyle w:val="ListParagraph"/>
        <w:numPr>
          <w:ilvl w:val="0"/>
          <w:numId w:val="18"/>
        </w:numPr>
        <w:ind w:right="-731"/>
        <w:jc w:val="both"/>
      </w:pPr>
      <w:r>
        <w:t>le rôle « intéressant »</w:t>
      </w:r>
      <w:r w:rsidR="007275F4" w:rsidRPr="00B31688">
        <w:t xml:space="preserve"> des syndicats auprès des sociétés internationales</w:t>
      </w:r>
      <w:r w:rsidR="00155800">
        <w:t xml:space="preserve"> du secteur privé est souligné.</w:t>
      </w:r>
    </w:p>
    <w:p w:rsidR="00C0350D" w:rsidRPr="00B31688" w:rsidRDefault="00C0350D" w:rsidP="002E0E48">
      <w:pPr>
        <w:ind w:right="-731"/>
        <w:jc w:val="both"/>
      </w:pPr>
    </w:p>
    <w:p w:rsidR="00834F4F" w:rsidRPr="00B31688" w:rsidRDefault="00C9214C" w:rsidP="00834F4F">
      <w:pPr>
        <w:pStyle w:val="Heading3"/>
        <w:spacing w:before="0"/>
        <w:rPr>
          <w:sz w:val="28"/>
          <w:szCs w:val="28"/>
        </w:rPr>
      </w:pPr>
      <w:bookmarkStart w:id="8" w:name="_Toc368324232"/>
      <w:bookmarkStart w:id="9" w:name="_Toc369209757"/>
      <w:r w:rsidRPr="00B31688">
        <w:rPr>
          <w:sz w:val="28"/>
          <w:szCs w:val="28"/>
        </w:rPr>
        <w:t xml:space="preserve">Session 3 : ANALYSE &amp; </w:t>
      </w:r>
      <w:bookmarkEnd w:id="8"/>
      <w:r w:rsidR="00B31688" w:rsidRPr="00B31688">
        <w:rPr>
          <w:sz w:val="28"/>
          <w:szCs w:val="28"/>
        </w:rPr>
        <w:t>COMPRÉHENSION</w:t>
      </w:r>
      <w:bookmarkEnd w:id="9"/>
    </w:p>
    <w:p w:rsidR="00834F4F" w:rsidRPr="00B31688" w:rsidRDefault="00834F4F" w:rsidP="00834F4F"/>
    <w:p w:rsidR="00DC4513" w:rsidRPr="00B31688" w:rsidRDefault="00DC4513" w:rsidP="002E0E48">
      <w:pPr>
        <w:ind w:right="-731"/>
        <w:jc w:val="both"/>
      </w:pPr>
      <w:r w:rsidRPr="00B31688">
        <w:t>Afin de définir les objectifs du futur programme, le</w:t>
      </w:r>
      <w:r w:rsidR="00B31688">
        <w:t>s participants ont réalisé une « analyse du contexte »</w:t>
      </w:r>
      <w:r w:rsidRPr="00B31688">
        <w:t xml:space="preserve"> </w:t>
      </w:r>
      <w:r w:rsidR="00155800">
        <w:t xml:space="preserve">de façon à </w:t>
      </w:r>
      <w:r w:rsidRPr="00B31688">
        <w:t xml:space="preserve">obtenir une vision d'ensemble des problèmes à résoudre, des acteurs à cibler et des thèmes / contenus à approfondir. Trois méthodologies ont été respectivement adoptées par </w:t>
      </w:r>
      <w:r w:rsidR="00155800">
        <w:t xml:space="preserve">les </w:t>
      </w:r>
      <w:r w:rsidRPr="00B31688">
        <w:t>3 groupes de travail (GT) :</w:t>
      </w:r>
    </w:p>
    <w:p w:rsidR="00DC4513" w:rsidRPr="00B31688" w:rsidRDefault="00DC4513" w:rsidP="00DC4513">
      <w:pPr>
        <w:pStyle w:val="ListParagraph"/>
        <w:numPr>
          <w:ilvl w:val="0"/>
          <w:numId w:val="16"/>
        </w:numPr>
        <w:ind w:right="-731"/>
        <w:jc w:val="both"/>
      </w:pPr>
      <w:r w:rsidRPr="00B31688">
        <w:t>Analyse des acteurs (GT1)</w:t>
      </w:r>
    </w:p>
    <w:p w:rsidR="00DC4513" w:rsidRPr="00B31688" w:rsidRDefault="00DC4513" w:rsidP="00DC4513">
      <w:pPr>
        <w:pStyle w:val="ListParagraph"/>
        <w:numPr>
          <w:ilvl w:val="0"/>
          <w:numId w:val="16"/>
        </w:numPr>
        <w:ind w:right="-731"/>
        <w:jc w:val="both"/>
      </w:pPr>
      <w:r w:rsidRPr="00B31688">
        <w:t>Arbre à problèmes (GT2)</w:t>
      </w:r>
    </w:p>
    <w:p w:rsidR="004F61F5" w:rsidRPr="00B31688" w:rsidRDefault="00DC4513" w:rsidP="00DC4513">
      <w:pPr>
        <w:pStyle w:val="ListParagraph"/>
        <w:numPr>
          <w:ilvl w:val="0"/>
          <w:numId w:val="16"/>
        </w:numPr>
        <w:ind w:right="-731"/>
        <w:jc w:val="both"/>
      </w:pPr>
      <w:r w:rsidRPr="00B31688">
        <w:t>Carte conceptuelle (GT3)</w:t>
      </w:r>
    </w:p>
    <w:p w:rsidR="00A6224B" w:rsidRPr="00B31688" w:rsidRDefault="00A6224B" w:rsidP="00DC4513">
      <w:pPr>
        <w:ind w:right="-731"/>
        <w:jc w:val="both"/>
        <w:rPr>
          <w:i/>
        </w:rPr>
      </w:pPr>
      <w:r w:rsidRPr="00B31688">
        <w:rPr>
          <w:i/>
        </w:rPr>
        <w:t>Conclusions du GT1 :</w:t>
      </w:r>
    </w:p>
    <w:p w:rsidR="00353D33" w:rsidRPr="00B31688" w:rsidRDefault="00353D33" w:rsidP="004F61F5">
      <w:pPr>
        <w:ind w:right="-731"/>
        <w:jc w:val="both"/>
      </w:pPr>
      <w:r w:rsidRPr="00B31688">
        <w:rPr>
          <w:noProof/>
          <w:lang w:val="fr-BE" w:eastAsia="fr-BE"/>
        </w:rPr>
        <w:drawing>
          <wp:inline distT="0" distB="0" distL="0" distR="0">
            <wp:extent cx="5469147" cy="3752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diagram b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2448" cy="3754755"/>
                    </a:xfrm>
                    <a:prstGeom prst="rect">
                      <a:avLst/>
                    </a:prstGeom>
                  </pic:spPr>
                </pic:pic>
              </a:graphicData>
            </a:graphic>
          </wp:inline>
        </w:drawing>
      </w:r>
    </w:p>
    <w:p w:rsidR="00AC5992" w:rsidRPr="00B31688" w:rsidRDefault="00723165" w:rsidP="004F61F5">
      <w:pPr>
        <w:ind w:right="-731"/>
        <w:jc w:val="both"/>
      </w:pPr>
      <w:r w:rsidRPr="00B31688">
        <w:t xml:space="preserve">Les participants ont été priés d'identifier les typologies pertinentes d'acteurs pouvant influencer, de manière négative ou positive, le succès du programme. Celui-ci a été défini de la façon </w:t>
      </w:r>
      <w:r w:rsidR="00B31688">
        <w:t>suivante : « </w:t>
      </w:r>
      <w:r w:rsidR="00155800">
        <w:t>i</w:t>
      </w:r>
      <w:r w:rsidRPr="00B31688">
        <w:t xml:space="preserve">ntégration de l'agenda pour le travail décent </w:t>
      </w:r>
      <w:r w:rsidR="00B31688">
        <w:t>dans l'agenda du développement » et « </w:t>
      </w:r>
      <w:r w:rsidRPr="00B31688">
        <w:t>renforcement de la solidarité internationale et de la</w:t>
      </w:r>
      <w:r w:rsidR="00B31688">
        <w:t xml:space="preserve"> participation des travailleurs »</w:t>
      </w:r>
      <w:r w:rsidRPr="00B31688">
        <w:t xml:space="preserve">. Plus </w:t>
      </w:r>
      <w:r w:rsidRPr="00B31688">
        <w:lastRenderedPageBreak/>
        <w:t xml:space="preserve">l'acteur est proche du centre, et plus son influence est grande (en ROUGE : influence positive: en BLEU : influence négative). </w:t>
      </w:r>
    </w:p>
    <w:p w:rsidR="00AC5992" w:rsidRPr="00B31688" w:rsidRDefault="00AC5992" w:rsidP="004F61F5">
      <w:pPr>
        <w:ind w:right="-731"/>
        <w:jc w:val="both"/>
      </w:pPr>
      <w:r w:rsidRPr="00B31688">
        <w:t xml:space="preserve">Les syndicats et leurs militants constituent la première catégorie d'acteurs mise en avant par les participants, suivie par les responsables politiques, les universitaires, les migrants, les médias, etc. </w:t>
      </w:r>
    </w:p>
    <w:p w:rsidR="00077792" w:rsidRPr="00B31688" w:rsidRDefault="00077792" w:rsidP="004F61F5">
      <w:pPr>
        <w:ind w:right="-731"/>
        <w:jc w:val="both"/>
        <w:rPr>
          <w:i/>
        </w:rPr>
      </w:pPr>
      <w:r w:rsidRPr="00B31688">
        <w:rPr>
          <w:i/>
        </w:rPr>
        <w:t>Conclusions du GT2 :</w:t>
      </w:r>
    </w:p>
    <w:p w:rsidR="00077792" w:rsidRPr="00B31688" w:rsidRDefault="00077792" w:rsidP="004F61F5">
      <w:pPr>
        <w:ind w:right="-731"/>
        <w:jc w:val="both"/>
        <w:rPr>
          <w:noProof/>
        </w:rPr>
      </w:pPr>
      <w:r w:rsidRPr="00B31688">
        <w:t>Les participa</w:t>
      </w:r>
      <w:r w:rsidR="00CF669D">
        <w:t>nts ont été priés d'identifier l</w:t>
      </w:r>
      <w:r w:rsidRPr="00B31688">
        <w:t>es problèmes et leurs causes et de les présenter par ordre de causalité. Ce GT a commencé par se pencher sur l'incapacité à garantir le travail décent pour tous et fini par identifier les causes majeures de ce constat, telles que :</w:t>
      </w:r>
    </w:p>
    <w:p w:rsidR="00833BB9" w:rsidRPr="00B31688" w:rsidRDefault="00833BB9" w:rsidP="004F61F5">
      <w:pPr>
        <w:pStyle w:val="ListParagraph"/>
        <w:numPr>
          <w:ilvl w:val="0"/>
          <w:numId w:val="16"/>
        </w:numPr>
        <w:ind w:right="-731"/>
        <w:jc w:val="both"/>
      </w:pPr>
      <w:r w:rsidRPr="00B31688">
        <w:t>la remise en cause des contrats sociaux et des droits fondamentaux par les crises économiques mondiales</w:t>
      </w:r>
    </w:p>
    <w:p w:rsidR="00833BB9" w:rsidRPr="00B31688" w:rsidRDefault="00833BB9" w:rsidP="004F61F5">
      <w:pPr>
        <w:pStyle w:val="ListParagraph"/>
        <w:numPr>
          <w:ilvl w:val="0"/>
          <w:numId w:val="16"/>
        </w:numPr>
        <w:ind w:right="-731"/>
        <w:jc w:val="both"/>
      </w:pPr>
      <w:r w:rsidRPr="00B31688">
        <w:t xml:space="preserve">le désengagement des employeurs du dialogue social avec les syndicats et son corollaire l'absence de confiance entre les deux parties </w:t>
      </w:r>
    </w:p>
    <w:p w:rsidR="00833BB9" w:rsidRPr="00B31688" w:rsidRDefault="00CF669D" w:rsidP="004F61F5">
      <w:pPr>
        <w:pStyle w:val="ListParagraph"/>
        <w:numPr>
          <w:ilvl w:val="0"/>
          <w:numId w:val="16"/>
        </w:numPr>
        <w:ind w:right="-731"/>
        <w:jc w:val="both"/>
      </w:pPr>
      <w:r>
        <w:t>l</w:t>
      </w:r>
      <w:r w:rsidR="00833BB9" w:rsidRPr="00B31688">
        <w:t xml:space="preserve">es populations / sociétés ont tendance à devenir de plus en plus individualistes et à </w:t>
      </w:r>
      <w:r>
        <w:t>ignorer</w:t>
      </w:r>
      <w:r w:rsidR="00833BB9" w:rsidRPr="00B31688">
        <w:t xml:space="preserve"> les valeurs de l'action collective et de solidarité.</w:t>
      </w:r>
    </w:p>
    <w:p w:rsidR="0046439F" w:rsidRPr="00B31688" w:rsidRDefault="00CF669D" w:rsidP="004F61F5">
      <w:pPr>
        <w:pStyle w:val="ListParagraph"/>
        <w:numPr>
          <w:ilvl w:val="0"/>
          <w:numId w:val="16"/>
        </w:numPr>
        <w:ind w:right="-731"/>
        <w:jc w:val="both"/>
      </w:pPr>
      <w:r>
        <w:t>l</w:t>
      </w:r>
      <w:r w:rsidR="0046439F" w:rsidRPr="00B31688">
        <w:t>es approches mises en œuvre par les responsables p</w:t>
      </w:r>
      <w:r>
        <w:t>olitiques / les gouvernements</w:t>
      </w:r>
      <w:r w:rsidR="0046439F" w:rsidRPr="00B31688">
        <w:t xml:space="preserve"> privilégient souvent uniquement la croissance économi</w:t>
      </w:r>
      <w:r>
        <w:t>que et ne sont pas fondées sur l</w:t>
      </w:r>
      <w:r w:rsidR="0046439F" w:rsidRPr="00B31688">
        <w:t xml:space="preserve">es valeurs. </w:t>
      </w:r>
    </w:p>
    <w:p w:rsidR="00AC5992" w:rsidRPr="00B31688" w:rsidRDefault="00CF669D" w:rsidP="00B24AC2">
      <w:pPr>
        <w:pStyle w:val="ListParagraph"/>
        <w:numPr>
          <w:ilvl w:val="0"/>
          <w:numId w:val="16"/>
        </w:numPr>
        <w:ind w:right="-731"/>
        <w:jc w:val="both"/>
      </w:pPr>
      <w:r>
        <w:t>l</w:t>
      </w:r>
      <w:r w:rsidR="0046439F" w:rsidRPr="00B31688">
        <w:t>e concept du travail décent n'est pas encore connu et l'action des syndicats à l'échelle internationale est par ailleurs ignorée par les décideurs et parfois au sein des organisations syndicales elles-mêmes.</w:t>
      </w:r>
    </w:p>
    <w:p w:rsidR="00B24AC2" w:rsidRPr="00B31688" w:rsidRDefault="00B24AC2" w:rsidP="00B24AC2">
      <w:pPr>
        <w:ind w:right="-731"/>
        <w:jc w:val="both"/>
        <w:rPr>
          <w:i/>
        </w:rPr>
      </w:pPr>
      <w:r w:rsidRPr="00B31688">
        <w:rPr>
          <w:i/>
        </w:rPr>
        <w:t>Conclusions du GT3 :</w:t>
      </w:r>
    </w:p>
    <w:p w:rsidR="00723165" w:rsidRPr="00B31688" w:rsidRDefault="004F61F5" w:rsidP="002E0E48">
      <w:pPr>
        <w:ind w:right="-731"/>
        <w:jc w:val="both"/>
      </w:pPr>
      <w:r w:rsidRPr="00B31688">
        <w:t>Les membres de ce groupe d</w:t>
      </w:r>
      <w:r w:rsidR="00B31688">
        <w:t>e travail ont mis l'accent sur « </w:t>
      </w:r>
      <w:r w:rsidRPr="00B31688">
        <w:t xml:space="preserve">le travail décent </w:t>
      </w:r>
      <w:r w:rsidR="00B31688">
        <w:t>et l'autonomie des travailleurs »</w:t>
      </w:r>
      <w:r w:rsidRPr="00B31688">
        <w:t xml:space="preserve">, soulignant le besoin de renforcer la capacité des syndicats en matière de plaidoyer et de lobbying sur les questions liées au développement. </w:t>
      </w:r>
    </w:p>
    <w:p w:rsidR="0049323F" w:rsidRPr="00B31688" w:rsidRDefault="0049323F" w:rsidP="002E0E48">
      <w:pPr>
        <w:ind w:right="-731"/>
        <w:jc w:val="both"/>
      </w:pPr>
      <w:r w:rsidRPr="00B31688">
        <w:t xml:space="preserve">La </w:t>
      </w:r>
      <w:r w:rsidRPr="00B31688">
        <w:rPr>
          <w:u w:val="single"/>
        </w:rPr>
        <w:t>discussion plénière</w:t>
      </w:r>
      <w:r w:rsidRPr="00B31688">
        <w:t xml:space="preserve"> </w:t>
      </w:r>
      <w:r w:rsidR="00CF669D">
        <w:t>menée</w:t>
      </w:r>
      <w:r w:rsidRPr="00B31688">
        <w:t xml:space="preserve"> suite au compte-rendu des conclusions des GT, a déjà permis d'identifier les principales caractéristiques du programme :</w:t>
      </w:r>
    </w:p>
    <w:p w:rsidR="0049323F" w:rsidRPr="00B31688" w:rsidRDefault="0049323F" w:rsidP="0049323F">
      <w:pPr>
        <w:pStyle w:val="ListParagraph"/>
        <w:numPr>
          <w:ilvl w:val="0"/>
          <w:numId w:val="19"/>
        </w:numPr>
        <w:ind w:right="-731"/>
        <w:jc w:val="both"/>
      </w:pPr>
      <w:r w:rsidRPr="00B31688">
        <w:rPr>
          <w:u w:val="single"/>
        </w:rPr>
        <w:t xml:space="preserve">Contenu </w:t>
      </w:r>
      <w:r w:rsidR="00CF669D">
        <w:t>: agenda du travail décent et</w:t>
      </w:r>
      <w:r w:rsidRPr="00B31688">
        <w:t xml:space="preserve"> nouveau modèle du développement international fondé sur les droits, le travail et la dignité. Les processus actuels relatifs à l'après 2015/ aux objectifs de développement durable constituent des éléments de référence essentiels;</w:t>
      </w:r>
    </w:p>
    <w:p w:rsidR="0049323F" w:rsidRPr="00B31688" w:rsidRDefault="00B23589" w:rsidP="0049323F">
      <w:pPr>
        <w:pStyle w:val="ListParagraph"/>
        <w:numPr>
          <w:ilvl w:val="0"/>
          <w:numId w:val="19"/>
        </w:numPr>
        <w:ind w:right="-731"/>
        <w:jc w:val="both"/>
      </w:pPr>
      <w:r w:rsidRPr="00B31688">
        <w:rPr>
          <w:u w:val="single"/>
        </w:rPr>
        <w:t xml:space="preserve">Cibles </w:t>
      </w:r>
      <w:r w:rsidRPr="00B31688">
        <w:t>: les organisations syndicales et leurs militants devraient être ciblés en premier lieu</w:t>
      </w:r>
      <w:r w:rsidR="00CF669D">
        <w:t>,</w:t>
      </w:r>
      <w:r w:rsidRPr="00B31688">
        <w:t xml:space="preserve"> afin de promouvoir le nouvel agenda du développement à l'échelle nationale. Leurs connaissances et leur capacité devraient être renforcées, tout comme leurs compétences et instruments en matière de communication. </w:t>
      </w:r>
    </w:p>
    <w:p w:rsidR="00B23589" w:rsidRPr="00B31688" w:rsidRDefault="00B23589" w:rsidP="0049323F">
      <w:pPr>
        <w:pStyle w:val="ListParagraph"/>
        <w:numPr>
          <w:ilvl w:val="0"/>
          <w:numId w:val="19"/>
        </w:numPr>
        <w:ind w:right="-731"/>
        <w:jc w:val="both"/>
      </w:pPr>
      <w:r w:rsidRPr="00B31688">
        <w:rPr>
          <w:u w:val="single"/>
        </w:rPr>
        <w:t>Méthodologie</w:t>
      </w:r>
      <w:r w:rsidRPr="00B31688">
        <w:t xml:space="preserve"> : des campagnes communes pourront être menées, chaque année sur un thème spécifique sélectionné conjointement, dans chaque pays associé au programme.  </w:t>
      </w:r>
    </w:p>
    <w:p w:rsidR="00723165" w:rsidRPr="00B31688" w:rsidRDefault="00723165" w:rsidP="002E0E48">
      <w:pPr>
        <w:ind w:right="-731"/>
        <w:jc w:val="both"/>
        <w:rPr>
          <w:b/>
          <w:i/>
        </w:rPr>
      </w:pPr>
    </w:p>
    <w:p w:rsidR="00C9214C" w:rsidRPr="00B31688" w:rsidRDefault="00C9214C" w:rsidP="00C74FD2">
      <w:pPr>
        <w:pStyle w:val="Heading3"/>
        <w:tabs>
          <w:tab w:val="left" w:pos="8647"/>
        </w:tabs>
        <w:spacing w:before="0"/>
        <w:ind w:right="-731"/>
        <w:rPr>
          <w:sz w:val="28"/>
          <w:szCs w:val="28"/>
        </w:rPr>
      </w:pPr>
      <w:bookmarkStart w:id="10" w:name="_Toc368324233"/>
      <w:bookmarkStart w:id="11" w:name="_Toc369209758"/>
      <w:r w:rsidRPr="00B31688">
        <w:rPr>
          <w:sz w:val="28"/>
          <w:szCs w:val="28"/>
        </w:rPr>
        <w:lastRenderedPageBreak/>
        <w:t xml:space="preserve">Session 4 : IDENTIFICATION DES </w:t>
      </w:r>
      <w:r w:rsidR="00B31688" w:rsidRPr="00B31688">
        <w:rPr>
          <w:sz w:val="28"/>
          <w:szCs w:val="28"/>
        </w:rPr>
        <w:t>STRATÉGIES</w:t>
      </w:r>
      <w:r w:rsidRPr="00B31688">
        <w:rPr>
          <w:sz w:val="28"/>
          <w:szCs w:val="28"/>
        </w:rPr>
        <w:t xml:space="preserve"> - Cadre du programme</w:t>
      </w:r>
      <w:bookmarkEnd w:id="10"/>
      <w:bookmarkEnd w:id="11"/>
    </w:p>
    <w:p w:rsidR="00176C4C" w:rsidRPr="00B31688" w:rsidRDefault="00176C4C" w:rsidP="002E0E48">
      <w:pPr>
        <w:ind w:right="-731"/>
        <w:jc w:val="both"/>
      </w:pPr>
    </w:p>
    <w:p w:rsidR="00FC6E91" w:rsidRPr="00B31688" w:rsidRDefault="00FF4B73" w:rsidP="002E0E48">
      <w:pPr>
        <w:ind w:right="-731"/>
        <w:jc w:val="both"/>
      </w:pPr>
      <w:r w:rsidRPr="00B31688">
        <w:t>La proposition suivante de programme de solidarité a été rédigée et débattue sur la base des résultats de l'analyse du premier jour :</w:t>
      </w:r>
    </w:p>
    <w:tbl>
      <w:tblPr>
        <w:tblStyle w:val="TableGrid"/>
        <w:tblW w:w="8755" w:type="dxa"/>
        <w:tblLook w:val="04A0" w:firstRow="1" w:lastRow="0" w:firstColumn="1" w:lastColumn="0" w:noHBand="0" w:noVBand="1"/>
      </w:tblPr>
      <w:tblGrid>
        <w:gridCol w:w="8755"/>
      </w:tblGrid>
      <w:tr w:rsidR="00353D33" w:rsidRPr="00B31688" w:rsidTr="00353D33">
        <w:trPr>
          <w:trHeight w:val="1659"/>
        </w:trPr>
        <w:tc>
          <w:tcPr>
            <w:tcW w:w="8755" w:type="dxa"/>
          </w:tcPr>
          <w:p w:rsidR="00353D33" w:rsidRPr="00B31688" w:rsidRDefault="00353D33" w:rsidP="00353D33">
            <w:pPr>
              <w:ind w:right="-731"/>
              <w:jc w:val="both"/>
              <w:rPr>
                <w:b/>
                <w:i/>
              </w:rPr>
            </w:pPr>
            <w:r w:rsidRPr="00B31688">
              <w:rPr>
                <w:b/>
                <w:i/>
              </w:rPr>
              <w:t>Objectif général</w:t>
            </w:r>
          </w:p>
          <w:p w:rsidR="00F67DAB" w:rsidRDefault="00B31688" w:rsidP="00353D33">
            <w:pPr>
              <w:ind w:right="-731"/>
              <w:jc w:val="both"/>
            </w:pPr>
            <w:r>
              <w:t>« </w:t>
            </w:r>
            <w:r w:rsidR="00353D33" w:rsidRPr="00B31688">
              <w:t xml:space="preserve">Promouvoir et garantir la mise en œuvre de l'agenda pour le travail décent dans le </w:t>
            </w:r>
          </w:p>
          <w:p w:rsidR="00353D33" w:rsidRPr="00B31688" w:rsidRDefault="00353D33" w:rsidP="00353D33">
            <w:pPr>
              <w:ind w:right="-731"/>
              <w:jc w:val="both"/>
            </w:pPr>
            <w:r w:rsidRPr="00B31688">
              <w:t xml:space="preserve">cadre des stratégies de développement en </w:t>
            </w:r>
            <w:r w:rsidR="00B31688">
              <w:t>Europe »</w:t>
            </w:r>
          </w:p>
          <w:p w:rsidR="00353D33" w:rsidRPr="00B31688" w:rsidRDefault="00353D33" w:rsidP="00353D33">
            <w:pPr>
              <w:ind w:right="-731"/>
              <w:jc w:val="both"/>
            </w:pPr>
          </w:p>
          <w:p w:rsidR="00353D33" w:rsidRPr="00B31688" w:rsidRDefault="00353D33" w:rsidP="00353D33">
            <w:pPr>
              <w:ind w:right="-731"/>
              <w:jc w:val="both"/>
            </w:pPr>
            <w:r w:rsidRPr="00B31688">
              <w:t xml:space="preserve">Le programme mettra l'accent sur l'action au niveau national en cohérence avec </w:t>
            </w:r>
            <w:r w:rsidR="00F67DAB">
              <w:t xml:space="preserve">le </w:t>
            </w:r>
            <w:r w:rsidRPr="00B31688">
              <w:t xml:space="preserve">programme </w:t>
            </w:r>
          </w:p>
          <w:p w:rsidR="00353D33" w:rsidRPr="00B31688" w:rsidRDefault="00353D33" w:rsidP="00353D33">
            <w:pPr>
              <w:ind w:right="-731"/>
              <w:jc w:val="both"/>
            </w:pPr>
            <w:r w:rsidRPr="00B31688">
              <w:t>plus vaste du RSCD (à savoir l'objectif 2) mais sans le dupliquer.</w:t>
            </w:r>
          </w:p>
          <w:p w:rsidR="00353D33" w:rsidRPr="00B31688" w:rsidRDefault="00353D33" w:rsidP="002E0E48">
            <w:pPr>
              <w:ind w:right="-731"/>
              <w:jc w:val="both"/>
            </w:pPr>
          </w:p>
        </w:tc>
      </w:tr>
      <w:tr w:rsidR="00353D33" w:rsidRPr="00B31688" w:rsidTr="00353D33">
        <w:trPr>
          <w:trHeight w:val="1645"/>
        </w:trPr>
        <w:tc>
          <w:tcPr>
            <w:tcW w:w="8755" w:type="dxa"/>
          </w:tcPr>
          <w:p w:rsidR="00353D33" w:rsidRPr="00B31688" w:rsidRDefault="00353D33" w:rsidP="00353D33">
            <w:pPr>
              <w:ind w:right="-731"/>
              <w:jc w:val="both"/>
              <w:rPr>
                <w:b/>
                <w:i/>
              </w:rPr>
            </w:pPr>
            <w:r w:rsidRPr="00B31688">
              <w:rPr>
                <w:b/>
                <w:i/>
              </w:rPr>
              <w:t>Objectif spécifique 1</w:t>
            </w:r>
          </w:p>
          <w:p w:rsidR="00353D33" w:rsidRPr="00B31688" w:rsidRDefault="00353D33" w:rsidP="00353D33">
            <w:pPr>
              <w:ind w:right="-731"/>
              <w:jc w:val="both"/>
            </w:pPr>
            <w:r w:rsidRPr="00B31688">
              <w:t xml:space="preserve">Contribuer à la sensibilisation des membres et des responsables des syndicats sur la </w:t>
            </w:r>
          </w:p>
          <w:p w:rsidR="00F67DAB" w:rsidRDefault="00353D33" w:rsidP="00F67DAB">
            <w:pPr>
              <w:spacing w:line="276" w:lineRule="auto"/>
              <w:ind w:right="-731"/>
              <w:jc w:val="both"/>
            </w:pPr>
            <w:r w:rsidRPr="00B31688">
              <w:t xml:space="preserve">nécessité d'un modèle de développement alternatif (Agenda pour un travail décent).  Ceci </w:t>
            </w:r>
          </w:p>
          <w:p w:rsidR="00F67DAB" w:rsidRDefault="00353D33" w:rsidP="00F67DAB">
            <w:pPr>
              <w:spacing w:line="276" w:lineRule="auto"/>
              <w:ind w:right="-731"/>
              <w:jc w:val="both"/>
            </w:pPr>
            <w:r w:rsidRPr="00B31688">
              <w:t xml:space="preserve">exigera un nouveau discours (vision).  Groupe cible du programme : Membres et </w:t>
            </w:r>
          </w:p>
          <w:p w:rsidR="00353D33" w:rsidRPr="00B31688" w:rsidRDefault="00353D33" w:rsidP="00F67DAB">
            <w:pPr>
              <w:spacing w:line="276" w:lineRule="auto"/>
              <w:ind w:right="-731"/>
              <w:jc w:val="both"/>
            </w:pPr>
            <w:r w:rsidRPr="00B31688">
              <w:t>responsables des syndicats</w:t>
            </w:r>
          </w:p>
        </w:tc>
      </w:tr>
      <w:tr w:rsidR="00353D33" w:rsidRPr="00B31688" w:rsidTr="00353D33">
        <w:trPr>
          <w:trHeight w:val="1366"/>
        </w:trPr>
        <w:tc>
          <w:tcPr>
            <w:tcW w:w="8755" w:type="dxa"/>
          </w:tcPr>
          <w:p w:rsidR="00353D33" w:rsidRPr="00B31688" w:rsidRDefault="00353D33" w:rsidP="00353D33">
            <w:pPr>
              <w:ind w:right="-731"/>
              <w:jc w:val="both"/>
              <w:rPr>
                <w:b/>
                <w:i/>
              </w:rPr>
            </w:pPr>
            <w:r w:rsidRPr="00B31688">
              <w:rPr>
                <w:b/>
                <w:i/>
              </w:rPr>
              <w:t>Objectif spécifique 2</w:t>
            </w:r>
          </w:p>
          <w:p w:rsidR="00F67DAB" w:rsidRDefault="00353D33" w:rsidP="00353D33">
            <w:pPr>
              <w:ind w:right="-731"/>
              <w:jc w:val="both"/>
            </w:pPr>
            <w:r w:rsidRPr="00B31688">
              <w:t xml:space="preserve">Renforcer le plaidoyer auprès des gouvernements nationaux (et de l'UE) sur les droits </w:t>
            </w:r>
          </w:p>
          <w:p w:rsidR="003F1B1A" w:rsidRDefault="00353D33" w:rsidP="00353D33">
            <w:pPr>
              <w:ind w:right="-731"/>
              <w:jc w:val="both"/>
            </w:pPr>
            <w:r w:rsidRPr="00B31688">
              <w:t>au travail, la création d'emplois décents</w:t>
            </w:r>
            <w:r w:rsidR="003F1B1A">
              <w:t xml:space="preserve"> </w:t>
            </w:r>
            <w:r w:rsidRPr="00B31688">
              <w:t xml:space="preserve">et les salaires décents, la protection sociale et </w:t>
            </w:r>
          </w:p>
          <w:p w:rsidR="00353D33" w:rsidRPr="00B31688" w:rsidRDefault="00353D33" w:rsidP="00353D33">
            <w:pPr>
              <w:ind w:right="-731"/>
              <w:jc w:val="both"/>
            </w:pPr>
            <w:r w:rsidRPr="00B31688">
              <w:t>le dialogue social.</w:t>
            </w:r>
          </w:p>
          <w:p w:rsidR="00353D33" w:rsidRPr="00B31688" w:rsidRDefault="00353D33" w:rsidP="00353D33">
            <w:pPr>
              <w:ind w:right="-731"/>
              <w:jc w:val="both"/>
            </w:pPr>
          </w:p>
          <w:p w:rsidR="00353D33" w:rsidRPr="00B31688" w:rsidRDefault="00353D33" w:rsidP="00353D33">
            <w:pPr>
              <w:ind w:right="-731"/>
              <w:jc w:val="both"/>
            </w:pPr>
            <w:r w:rsidRPr="00B31688">
              <w:t xml:space="preserve">Groupe cible du programme : institutions nationales et européennes </w:t>
            </w:r>
          </w:p>
          <w:p w:rsidR="00353D33" w:rsidRPr="00B31688" w:rsidRDefault="00353D33" w:rsidP="002E0E48">
            <w:pPr>
              <w:ind w:right="-731"/>
              <w:jc w:val="both"/>
            </w:pPr>
          </w:p>
        </w:tc>
      </w:tr>
      <w:tr w:rsidR="00353D33" w:rsidRPr="00A5594A" w:rsidTr="00353D33">
        <w:trPr>
          <w:trHeight w:val="1673"/>
        </w:trPr>
        <w:tc>
          <w:tcPr>
            <w:tcW w:w="8755" w:type="dxa"/>
          </w:tcPr>
          <w:p w:rsidR="00353D33" w:rsidRPr="00B31688" w:rsidRDefault="00353D33" w:rsidP="00353D33">
            <w:pPr>
              <w:ind w:right="-731"/>
              <w:jc w:val="both"/>
              <w:rPr>
                <w:b/>
                <w:i/>
              </w:rPr>
            </w:pPr>
            <w:r w:rsidRPr="00B31688">
              <w:rPr>
                <w:b/>
                <w:i/>
              </w:rPr>
              <w:t>Objectif spécifique 3</w:t>
            </w:r>
          </w:p>
          <w:p w:rsidR="00353D33" w:rsidRPr="00B31688" w:rsidRDefault="00353D33" w:rsidP="00353D33">
            <w:pPr>
              <w:ind w:right="-731"/>
              <w:jc w:val="both"/>
            </w:pPr>
            <w:r w:rsidRPr="00B31688">
              <w:t>Améliorer l'efficacité des approches et des actions des syndicats dans le domaine de</w:t>
            </w:r>
          </w:p>
          <w:p w:rsidR="00353D33" w:rsidRPr="00B31688" w:rsidRDefault="00353D33" w:rsidP="00353D33">
            <w:pPr>
              <w:ind w:right="-731"/>
              <w:jc w:val="both"/>
            </w:pPr>
            <w:r w:rsidRPr="00B31688">
              <w:t>la coopération / l'éducation au développement</w:t>
            </w:r>
          </w:p>
          <w:p w:rsidR="00353D33" w:rsidRPr="00B31688" w:rsidRDefault="00353D33" w:rsidP="00353D33">
            <w:pPr>
              <w:ind w:right="-731"/>
              <w:jc w:val="both"/>
            </w:pPr>
          </w:p>
          <w:p w:rsidR="00353D33" w:rsidRPr="00B31688" w:rsidRDefault="00353D33" w:rsidP="00353D33">
            <w:pPr>
              <w:ind w:right="-731"/>
              <w:jc w:val="both"/>
            </w:pPr>
            <w:r w:rsidRPr="00B31688">
              <w:t xml:space="preserve">Groupes cibles du programme : praticiens, membres du Réseau syndical de </w:t>
            </w:r>
          </w:p>
          <w:p w:rsidR="00353D33" w:rsidRPr="00A5594A" w:rsidRDefault="00512DA6" w:rsidP="002E0E48">
            <w:pPr>
              <w:ind w:right="-731"/>
              <w:jc w:val="both"/>
              <w:rPr>
                <w:lang w:val="en-GB"/>
              </w:rPr>
            </w:pPr>
            <w:r w:rsidRPr="00512DA6">
              <w:rPr>
                <w:lang w:val="fr-BE"/>
              </w:rPr>
              <w:t>S</w:t>
            </w:r>
            <w:r w:rsidR="00F67DAB" w:rsidRPr="00512DA6">
              <w:rPr>
                <w:lang w:val="fr-BE"/>
              </w:rPr>
              <w:t>olidarité</w:t>
            </w:r>
            <w:r w:rsidR="00F67DAB" w:rsidRPr="00A5594A">
              <w:rPr>
                <w:lang w:val="en-GB"/>
              </w:rPr>
              <w:t xml:space="preserve"> </w:t>
            </w:r>
            <w:r w:rsidRPr="00A5594A">
              <w:rPr>
                <w:lang w:val="en-GB"/>
              </w:rPr>
              <w:t>Internationale</w:t>
            </w:r>
            <w:r w:rsidR="00A5594A" w:rsidRPr="00A5594A">
              <w:rPr>
                <w:lang w:val="en-GB"/>
              </w:rPr>
              <w:t xml:space="preserve"> (Trade Union Network for Global Solidarity).</w:t>
            </w:r>
          </w:p>
        </w:tc>
      </w:tr>
    </w:tbl>
    <w:p w:rsidR="00353D33" w:rsidRPr="00A5594A" w:rsidRDefault="00353D33" w:rsidP="002E0E48">
      <w:pPr>
        <w:ind w:right="-731"/>
        <w:jc w:val="both"/>
      </w:pPr>
    </w:p>
    <w:p w:rsidR="00FC6E91" w:rsidRPr="00B31688" w:rsidRDefault="00353D33" w:rsidP="00353D33">
      <w:pPr>
        <w:ind w:right="-731"/>
        <w:jc w:val="both"/>
        <w:rPr>
          <w:b/>
          <w:i/>
        </w:rPr>
      </w:pPr>
      <w:r w:rsidRPr="00B31688">
        <w:rPr>
          <w:b/>
          <w:i/>
        </w:rPr>
        <w:t>Réactions des participants sur les objectifs et les activités potentielles :</w:t>
      </w:r>
    </w:p>
    <w:p w:rsidR="00290B2B" w:rsidRPr="00512DA6" w:rsidRDefault="00290B2B" w:rsidP="00290B2B">
      <w:pPr>
        <w:ind w:right="-731"/>
        <w:jc w:val="both"/>
        <w:rPr>
          <w:lang w:val="fr-BE"/>
        </w:rPr>
      </w:pPr>
      <w:r w:rsidRPr="00512DA6">
        <w:rPr>
          <w:lang w:val="fr-BE"/>
        </w:rPr>
        <w:t>Les participants considèrent que le programme est complémentaire et ren</w:t>
      </w:r>
      <w:r w:rsidR="00E55B16" w:rsidRPr="00512DA6">
        <w:rPr>
          <w:lang w:val="fr-BE"/>
        </w:rPr>
        <w:t>force les actions nationales dans le domaine de</w:t>
      </w:r>
      <w:r w:rsidRPr="00512DA6">
        <w:rPr>
          <w:lang w:val="fr-BE"/>
        </w:rPr>
        <w:t xml:space="preserve"> l'éducation au développement et les activité</w:t>
      </w:r>
      <w:r w:rsidR="00F67DAB" w:rsidRPr="00512DA6">
        <w:rPr>
          <w:lang w:val="fr-BE"/>
        </w:rPr>
        <w:t xml:space="preserve">s du RSCD (lien avec le GT et </w:t>
      </w:r>
      <w:r w:rsidR="00512DA6" w:rsidRPr="00512DA6">
        <w:rPr>
          <w:lang w:val="fr-BE"/>
        </w:rPr>
        <w:t>la Task Team</w:t>
      </w:r>
      <w:r w:rsidRPr="00512DA6">
        <w:rPr>
          <w:lang w:val="fr-BE"/>
        </w:rPr>
        <w:t xml:space="preserve"> de l'UE sur l'après 2015). Il met principalement l'accent sur les plans d'action nationaux en matière de sensibilisation (objectif 1) et le plaidoyer sur l'agenda pour le travail décent dans le développement (objectif 2); il cherche également à promouvoir une approche commun</w:t>
      </w:r>
      <w:r w:rsidR="00F67DAB" w:rsidRPr="00512DA6">
        <w:rPr>
          <w:lang w:val="fr-BE"/>
        </w:rPr>
        <w:t>e</w:t>
      </w:r>
      <w:r w:rsidR="00512DA6" w:rsidRPr="00512DA6">
        <w:rPr>
          <w:lang w:val="fr-BE"/>
        </w:rPr>
        <w:t xml:space="preserve"> sur le sujet</w:t>
      </w:r>
      <w:bookmarkStart w:id="12" w:name="_GoBack"/>
      <w:bookmarkEnd w:id="12"/>
      <w:r w:rsidR="00F67DAB" w:rsidRPr="00512DA6">
        <w:rPr>
          <w:lang w:val="fr-BE"/>
        </w:rPr>
        <w:t>.</w:t>
      </w:r>
    </w:p>
    <w:p w:rsidR="00564187" w:rsidRPr="00B31688" w:rsidRDefault="00564187" w:rsidP="00564187">
      <w:pPr>
        <w:ind w:right="-731"/>
        <w:jc w:val="both"/>
      </w:pPr>
      <w:r w:rsidRPr="00B31688">
        <w:t xml:space="preserve">Les plans d'action nationaux devraient inclure des données de référence </w:t>
      </w:r>
      <w:proofErr w:type="gramStart"/>
      <w:r w:rsidRPr="00B31688">
        <w:t>relatives</w:t>
      </w:r>
      <w:proofErr w:type="gramEnd"/>
      <w:r w:rsidRPr="00B31688">
        <w:t xml:space="preserve"> aux deux objectifs (ceci exigera une approche commune). Il convient d'établir une liste (commune)</w:t>
      </w:r>
      <w:r w:rsidR="00E55B16">
        <w:t>,</w:t>
      </w:r>
      <w:r w:rsidRPr="00B31688">
        <w:t xml:space="preserve"> validée par les parties</w:t>
      </w:r>
      <w:r w:rsidR="00E55B16">
        <w:t>,</w:t>
      </w:r>
      <w:r w:rsidRPr="00B31688">
        <w:t xml:space="preserve"> de thèmes/priorités éligibles pour les campagnes :</w:t>
      </w:r>
    </w:p>
    <w:p w:rsidR="00564187" w:rsidRPr="00B31688" w:rsidRDefault="00564187" w:rsidP="00564187">
      <w:pPr>
        <w:spacing w:after="0"/>
        <w:ind w:right="-731"/>
        <w:jc w:val="both"/>
      </w:pPr>
      <w:r w:rsidRPr="00B31688">
        <w:t>Année 1 Problématique 1 de l'Agenda pour le travail décent</w:t>
      </w:r>
    </w:p>
    <w:p w:rsidR="00564187" w:rsidRPr="00B31688" w:rsidRDefault="00564187" w:rsidP="00564187">
      <w:pPr>
        <w:spacing w:after="0"/>
        <w:ind w:right="-731"/>
        <w:jc w:val="both"/>
      </w:pPr>
      <w:r w:rsidRPr="00B31688">
        <w:lastRenderedPageBreak/>
        <w:t>Année 2 Problématique 2 de l'Agenda pour le travail décent  (Année européenne pour le développement)</w:t>
      </w:r>
    </w:p>
    <w:p w:rsidR="00564187" w:rsidRPr="00B31688" w:rsidRDefault="00564187" w:rsidP="00564187">
      <w:pPr>
        <w:spacing w:after="0"/>
        <w:ind w:right="-731"/>
        <w:jc w:val="both"/>
      </w:pPr>
      <w:r w:rsidRPr="00B31688">
        <w:t>Année 3 Problématique 3 de l'Agenda pour le travail décent</w:t>
      </w:r>
    </w:p>
    <w:p w:rsidR="00564187" w:rsidRPr="00B31688" w:rsidRDefault="00564187" w:rsidP="00564187">
      <w:pPr>
        <w:spacing w:after="0"/>
        <w:ind w:right="-731"/>
        <w:jc w:val="both"/>
      </w:pPr>
    </w:p>
    <w:p w:rsidR="00353D33" w:rsidRPr="00B31688" w:rsidRDefault="00FF4B73" w:rsidP="00353D33">
      <w:pPr>
        <w:ind w:right="-731"/>
        <w:jc w:val="both"/>
      </w:pPr>
      <w:r w:rsidRPr="00B31688">
        <w:t>Objectif 1 :</w:t>
      </w:r>
    </w:p>
    <w:p w:rsidR="00054D16" w:rsidRPr="00B31688" w:rsidRDefault="00054D16" w:rsidP="00054D16">
      <w:pPr>
        <w:pStyle w:val="ListParagraph"/>
        <w:numPr>
          <w:ilvl w:val="0"/>
          <w:numId w:val="21"/>
        </w:numPr>
        <w:ind w:right="-731"/>
        <w:jc w:val="both"/>
      </w:pPr>
      <w:r w:rsidRPr="00B31688">
        <w:t>formulation d'une nouvelle vision du développement international afin de sensibiliser les syndicats, également indispensable pour le plaidoyer</w:t>
      </w:r>
    </w:p>
    <w:p w:rsidR="00E174B5" w:rsidRPr="00B31688" w:rsidRDefault="00E174B5" w:rsidP="00E174B5">
      <w:pPr>
        <w:pStyle w:val="ListParagraph"/>
        <w:numPr>
          <w:ilvl w:val="0"/>
          <w:numId w:val="21"/>
        </w:numPr>
        <w:ind w:right="-731"/>
        <w:jc w:val="both"/>
      </w:pPr>
      <w:r w:rsidRPr="00B31688">
        <w:t xml:space="preserve">intégration des modèles de développement international dans les programmes de formation des syndicats  </w:t>
      </w:r>
    </w:p>
    <w:p w:rsidR="00054D16" w:rsidRPr="00B31688" w:rsidRDefault="00054D16" w:rsidP="00054D16">
      <w:pPr>
        <w:pStyle w:val="ListParagraph"/>
        <w:numPr>
          <w:ilvl w:val="0"/>
          <w:numId w:val="21"/>
        </w:numPr>
        <w:ind w:right="-731"/>
        <w:jc w:val="both"/>
      </w:pPr>
      <w:r w:rsidRPr="00B31688">
        <w:t xml:space="preserve">conventions collectives favorables aux programmes de coopération </w:t>
      </w:r>
    </w:p>
    <w:p w:rsidR="00054D16" w:rsidRPr="00B31688" w:rsidRDefault="00054D16" w:rsidP="00054D16">
      <w:pPr>
        <w:pStyle w:val="ListParagraph"/>
        <w:numPr>
          <w:ilvl w:val="0"/>
          <w:numId w:val="21"/>
        </w:numPr>
        <w:ind w:right="-731"/>
        <w:jc w:val="both"/>
      </w:pPr>
      <w:r w:rsidRPr="00B31688">
        <w:t>journaux syndicaux internes, instruments de communication, etc.</w:t>
      </w:r>
    </w:p>
    <w:p w:rsidR="00054D16" w:rsidRPr="00B31688" w:rsidRDefault="00054D16" w:rsidP="00054D16">
      <w:pPr>
        <w:pStyle w:val="ListParagraph"/>
        <w:numPr>
          <w:ilvl w:val="0"/>
          <w:numId w:val="21"/>
        </w:numPr>
        <w:ind w:right="-731"/>
        <w:jc w:val="both"/>
      </w:pPr>
      <w:r w:rsidRPr="00B31688">
        <w:t xml:space="preserve">déclarations publiques des responsables syndicaux en faveur des priorités en matière de développement </w:t>
      </w:r>
    </w:p>
    <w:p w:rsidR="00290B2B" w:rsidRPr="00B31688" w:rsidRDefault="00290B2B" w:rsidP="00290B2B">
      <w:pPr>
        <w:pStyle w:val="ListParagraph"/>
        <w:numPr>
          <w:ilvl w:val="0"/>
          <w:numId w:val="21"/>
        </w:numPr>
        <w:ind w:right="-731"/>
        <w:jc w:val="both"/>
      </w:pPr>
      <w:r w:rsidRPr="00B31688">
        <w:t xml:space="preserve">actions de sensibilisation auprès des multinationales (élaboration d'instruments  communs, campagnes à l'intention des fédérations sectorielles syndicales) </w:t>
      </w:r>
    </w:p>
    <w:p w:rsidR="006423AB" w:rsidRPr="00B31688" w:rsidRDefault="00E55B16" w:rsidP="006423AB">
      <w:pPr>
        <w:pStyle w:val="ListParagraph"/>
        <w:numPr>
          <w:ilvl w:val="0"/>
          <w:numId w:val="21"/>
        </w:numPr>
        <w:ind w:right="-731"/>
        <w:jc w:val="both"/>
      </w:pPr>
      <w:r>
        <w:t>n</w:t>
      </w:r>
      <w:r w:rsidR="006423AB" w:rsidRPr="00B31688">
        <w:t xml:space="preserve">ouveaux </w:t>
      </w:r>
      <w:r w:rsidR="00B31688" w:rsidRPr="00B31688">
        <w:t>États</w:t>
      </w:r>
      <w:r w:rsidR="006423AB" w:rsidRPr="00B31688">
        <w:t xml:space="preserve"> membres : intégration du développement dans l'agenda du </w:t>
      </w:r>
      <w:r w:rsidR="00B31688">
        <w:t>C</w:t>
      </w:r>
      <w:r w:rsidR="00B31688" w:rsidRPr="00B31688">
        <w:t>RPE</w:t>
      </w:r>
    </w:p>
    <w:p w:rsidR="006423AB" w:rsidRPr="00B31688" w:rsidRDefault="006423AB" w:rsidP="006423AB">
      <w:pPr>
        <w:pStyle w:val="ListParagraph"/>
        <w:ind w:right="-731"/>
        <w:jc w:val="both"/>
      </w:pPr>
    </w:p>
    <w:p w:rsidR="00FF4B73" w:rsidRPr="00B31688" w:rsidRDefault="00FF4B73" w:rsidP="00353D33">
      <w:pPr>
        <w:ind w:right="-731"/>
        <w:jc w:val="both"/>
      </w:pPr>
      <w:r w:rsidRPr="00B31688">
        <w:t>Objectif 2 :</w:t>
      </w:r>
    </w:p>
    <w:p w:rsidR="00E174B5" w:rsidRPr="00B31688" w:rsidRDefault="00E174B5" w:rsidP="00E174B5">
      <w:pPr>
        <w:pStyle w:val="ListParagraph"/>
        <w:numPr>
          <w:ilvl w:val="0"/>
          <w:numId w:val="22"/>
        </w:numPr>
        <w:ind w:right="-731"/>
        <w:jc w:val="both"/>
      </w:pPr>
      <w:r w:rsidRPr="00B31688">
        <w:t>suivi des politiqu</w:t>
      </w:r>
      <w:r w:rsidR="00E55B16">
        <w:t>es nationales de développement liées</w:t>
      </w:r>
      <w:r w:rsidRPr="00B31688">
        <w:t xml:space="preserve"> à la promotion du travail décent (rédaction de rapports, enquête)</w:t>
      </w:r>
    </w:p>
    <w:p w:rsidR="00E174B5" w:rsidRPr="00B31688" w:rsidRDefault="00E174B5" w:rsidP="00E174B5">
      <w:pPr>
        <w:pStyle w:val="ListParagraph"/>
        <w:numPr>
          <w:ilvl w:val="0"/>
          <w:numId w:val="22"/>
        </w:numPr>
        <w:ind w:right="-731"/>
        <w:jc w:val="both"/>
      </w:pPr>
      <w:r w:rsidRPr="00B31688">
        <w:t>déclarations politiques à l'intention des responsables politiques</w:t>
      </w:r>
    </w:p>
    <w:p w:rsidR="00E174B5" w:rsidRPr="00B31688" w:rsidRDefault="00E174B5" w:rsidP="00E174B5">
      <w:pPr>
        <w:pStyle w:val="ListParagraph"/>
        <w:numPr>
          <w:ilvl w:val="0"/>
          <w:numId w:val="22"/>
        </w:numPr>
        <w:ind w:right="-731"/>
        <w:jc w:val="both"/>
      </w:pPr>
      <w:r w:rsidRPr="00B31688">
        <w:t xml:space="preserve">participation aux négociations/consultations </w:t>
      </w:r>
      <w:r w:rsidR="00E55B16">
        <w:t>menées par les gouvernements concernant les politiques de</w:t>
      </w:r>
      <w:r w:rsidRPr="00B31688">
        <w:t xml:space="preserve"> développement </w:t>
      </w:r>
    </w:p>
    <w:p w:rsidR="00E174B5" w:rsidRPr="00B31688" w:rsidRDefault="00E174B5" w:rsidP="00E174B5">
      <w:pPr>
        <w:pStyle w:val="ListParagraph"/>
        <w:numPr>
          <w:ilvl w:val="0"/>
          <w:numId w:val="22"/>
        </w:numPr>
      </w:pPr>
      <w:r w:rsidRPr="00B31688">
        <w:t xml:space="preserve">suggestions de thèmes pour les campagnes conjointes : droits au travail; salaires décents; protection sociale; fiscalité. Activités possibles </w:t>
      </w:r>
      <w:r w:rsidR="00B31688" w:rsidRPr="00B31688">
        <w:t>: documentaires</w:t>
      </w:r>
      <w:r w:rsidRPr="00B31688">
        <w:t>/clips vidéo/participation des médias</w:t>
      </w:r>
    </w:p>
    <w:p w:rsidR="00C96AEA" w:rsidRPr="00B31688" w:rsidRDefault="00C96AEA" w:rsidP="00C96AEA">
      <w:pPr>
        <w:pStyle w:val="ListParagraph"/>
        <w:numPr>
          <w:ilvl w:val="0"/>
          <w:numId w:val="22"/>
        </w:numPr>
        <w:ind w:right="-731"/>
        <w:jc w:val="both"/>
      </w:pPr>
      <w:r w:rsidRPr="00B31688">
        <w:t xml:space="preserve">création d'alliances avec d'autres OSC </w:t>
      </w:r>
    </w:p>
    <w:p w:rsidR="00C96AEA" w:rsidRPr="00B31688" w:rsidRDefault="00C96AEA" w:rsidP="00C96AEA">
      <w:pPr>
        <w:pStyle w:val="ListParagraph"/>
        <w:numPr>
          <w:ilvl w:val="0"/>
          <w:numId w:val="22"/>
        </w:numPr>
        <w:ind w:right="-731"/>
        <w:jc w:val="both"/>
      </w:pPr>
      <w:r w:rsidRPr="00B31688">
        <w:t>campagnes liées à des manifestations phares à l'échelle de l'UE et/ou internationale</w:t>
      </w:r>
    </w:p>
    <w:p w:rsidR="00290B2B" w:rsidRPr="00B31688" w:rsidRDefault="00290B2B" w:rsidP="00290B2B">
      <w:pPr>
        <w:pStyle w:val="ListParagraph"/>
        <w:numPr>
          <w:ilvl w:val="0"/>
          <w:numId w:val="22"/>
        </w:numPr>
      </w:pPr>
      <w:r w:rsidRPr="00B31688">
        <w:t>organisation de manifestations ponctuelles le 1</w:t>
      </w:r>
      <w:r w:rsidRPr="00E55B16">
        <w:rPr>
          <w:vertAlign w:val="superscript"/>
        </w:rPr>
        <w:t>er</w:t>
      </w:r>
      <w:r w:rsidR="00E55B16">
        <w:t xml:space="preserve"> </w:t>
      </w:r>
      <w:r w:rsidRPr="00B31688">
        <w:t>mai et le 7 octobre à l'intention du grand public</w:t>
      </w:r>
    </w:p>
    <w:p w:rsidR="00290B2B" w:rsidRPr="00B31688" w:rsidRDefault="00290B2B" w:rsidP="00290B2B">
      <w:pPr>
        <w:pStyle w:val="ListParagraph"/>
        <w:ind w:right="-731"/>
        <w:jc w:val="both"/>
      </w:pPr>
    </w:p>
    <w:p w:rsidR="00FF4B73" w:rsidRPr="00B31688" w:rsidRDefault="00FF4B73" w:rsidP="00353D33">
      <w:pPr>
        <w:ind w:right="-731"/>
        <w:jc w:val="both"/>
      </w:pPr>
      <w:r w:rsidRPr="00B31688">
        <w:t>Objectif 3 :</w:t>
      </w:r>
    </w:p>
    <w:p w:rsidR="00353D33" w:rsidRPr="00B31688" w:rsidRDefault="00E55B16" w:rsidP="00D23839">
      <w:pPr>
        <w:pStyle w:val="ListParagraph"/>
        <w:numPr>
          <w:ilvl w:val="0"/>
          <w:numId w:val="23"/>
        </w:numPr>
        <w:ind w:right="-731"/>
        <w:jc w:val="both"/>
      </w:pPr>
      <w:r>
        <w:t>d</w:t>
      </w:r>
      <w:r w:rsidR="00D23839" w:rsidRPr="00B31688">
        <w:t xml:space="preserve">iffusion et coordination des programmes d'action nationaux afin d'améliorer l'efficacité des initiatives des syndicats dans le domaine de l'éducation au développement </w:t>
      </w:r>
    </w:p>
    <w:p w:rsidR="00353D33" w:rsidRDefault="00353D33" w:rsidP="00353D33">
      <w:pPr>
        <w:ind w:right="-731"/>
        <w:jc w:val="both"/>
        <w:rPr>
          <w:b/>
          <w:i/>
        </w:rPr>
      </w:pPr>
    </w:p>
    <w:p w:rsidR="00CF669D" w:rsidRDefault="00CF669D" w:rsidP="00353D33">
      <w:pPr>
        <w:ind w:right="-731"/>
        <w:jc w:val="both"/>
        <w:rPr>
          <w:b/>
          <w:i/>
        </w:rPr>
      </w:pPr>
    </w:p>
    <w:p w:rsidR="00CF669D" w:rsidRPr="00B31688" w:rsidRDefault="00CF669D" w:rsidP="00353D33">
      <w:pPr>
        <w:ind w:right="-731"/>
        <w:jc w:val="both"/>
        <w:rPr>
          <w:b/>
          <w:i/>
        </w:rPr>
      </w:pPr>
    </w:p>
    <w:p w:rsidR="002E0E48" w:rsidRPr="00B31688" w:rsidRDefault="00DC4513" w:rsidP="00AC5992">
      <w:pPr>
        <w:pStyle w:val="Heading3"/>
        <w:spacing w:before="0"/>
        <w:rPr>
          <w:sz w:val="28"/>
          <w:szCs w:val="28"/>
        </w:rPr>
      </w:pPr>
      <w:bookmarkStart w:id="13" w:name="_Toc368324234"/>
      <w:bookmarkStart w:id="14" w:name="_Toc369209759"/>
      <w:r w:rsidRPr="00B31688">
        <w:rPr>
          <w:sz w:val="28"/>
          <w:szCs w:val="28"/>
        </w:rPr>
        <w:lastRenderedPageBreak/>
        <w:t>Session 5 : ARCHITECTURE &amp; GOUVERNANCE DU PROGRAMME</w:t>
      </w:r>
      <w:bookmarkEnd w:id="13"/>
      <w:bookmarkEnd w:id="14"/>
    </w:p>
    <w:p w:rsidR="008469EA" w:rsidRPr="00B31688" w:rsidRDefault="008469EA" w:rsidP="002E0E48">
      <w:pPr>
        <w:ind w:right="-731"/>
        <w:jc w:val="both"/>
        <w:rPr>
          <w:b/>
        </w:rPr>
      </w:pPr>
      <w:r w:rsidRPr="00B31688">
        <w:rPr>
          <w:b/>
        </w:rPr>
        <w:t>Niveau national</w:t>
      </w:r>
    </w:p>
    <w:p w:rsidR="008469EA" w:rsidRPr="00B31688" w:rsidRDefault="00256B75" w:rsidP="00E627A6">
      <w:pPr>
        <w:pStyle w:val="ListParagraph"/>
        <w:numPr>
          <w:ilvl w:val="0"/>
          <w:numId w:val="27"/>
        </w:numPr>
        <w:ind w:right="-731"/>
        <w:jc w:val="both"/>
      </w:pPr>
      <w:r w:rsidRPr="00B31688">
        <w:t>Il convient d'établir un groupe de pilotage, composé d'au moins 1 représentant de chaque organisation associée au programme et chargé de l'élaboration du plan d'action national;</w:t>
      </w:r>
    </w:p>
    <w:p w:rsidR="00143836" w:rsidRPr="00B31688" w:rsidRDefault="00E55B16" w:rsidP="00E627A6">
      <w:pPr>
        <w:pStyle w:val="ListParagraph"/>
        <w:numPr>
          <w:ilvl w:val="0"/>
          <w:numId w:val="27"/>
        </w:numPr>
        <w:ind w:right="-731"/>
        <w:jc w:val="both"/>
      </w:pPr>
      <w:r>
        <w:t>l</w:t>
      </w:r>
      <w:r w:rsidR="00143836" w:rsidRPr="00B31688">
        <w:t>e groupe de pilotage sera également responsable du suivi et de la communication des résultats obtenus et de la mise en œuvre des activités;</w:t>
      </w:r>
    </w:p>
    <w:p w:rsidR="00256B75" w:rsidRPr="00B31688" w:rsidRDefault="00E55B16" w:rsidP="00E627A6">
      <w:pPr>
        <w:pStyle w:val="ListParagraph"/>
        <w:numPr>
          <w:ilvl w:val="0"/>
          <w:numId w:val="27"/>
        </w:numPr>
        <w:ind w:right="-731"/>
        <w:jc w:val="both"/>
      </w:pPr>
      <w:r>
        <w:t>c</w:t>
      </w:r>
      <w:r w:rsidR="00256B75" w:rsidRPr="00B31688">
        <w:t>haque organisation associée au programme devrait signer un protocole d'accord</w:t>
      </w:r>
      <w:r w:rsidR="007135A0">
        <w:t xml:space="preserve"> officiel</w:t>
      </w:r>
      <w:r w:rsidR="00256B75" w:rsidRPr="00B31688">
        <w:t xml:space="preserve"> avec la CSI;</w:t>
      </w:r>
    </w:p>
    <w:p w:rsidR="008469EA" w:rsidRPr="00B31688" w:rsidRDefault="008469EA" w:rsidP="002E0E48">
      <w:pPr>
        <w:ind w:right="-731"/>
        <w:jc w:val="both"/>
        <w:rPr>
          <w:b/>
        </w:rPr>
      </w:pPr>
      <w:r w:rsidRPr="00B31688">
        <w:rPr>
          <w:b/>
        </w:rPr>
        <w:t>Niveau européen</w:t>
      </w:r>
    </w:p>
    <w:p w:rsidR="006B157F" w:rsidRPr="00B31688" w:rsidRDefault="00256B75" w:rsidP="00143836">
      <w:pPr>
        <w:pStyle w:val="ListParagraph"/>
        <w:numPr>
          <w:ilvl w:val="0"/>
          <w:numId w:val="29"/>
        </w:numPr>
        <w:ind w:right="-731"/>
        <w:jc w:val="both"/>
      </w:pPr>
      <w:r w:rsidRPr="00B31688">
        <w:t>Il convient d'établir un comité de pilotage au niveau européen dont l'objectif sera de : fournir un soutien en matière de contenu dans la planification (2 réunions par an par exemple) et le suivi de la mise en œuvre du programme</w:t>
      </w:r>
      <w:r w:rsidR="007135A0">
        <w:t> ;</w:t>
      </w:r>
    </w:p>
    <w:p w:rsidR="00143836" w:rsidRPr="00B31688" w:rsidRDefault="007135A0" w:rsidP="00143836">
      <w:pPr>
        <w:pStyle w:val="ListParagraph"/>
        <w:numPr>
          <w:ilvl w:val="0"/>
          <w:numId w:val="29"/>
        </w:numPr>
        <w:ind w:right="-731"/>
        <w:jc w:val="both"/>
      </w:pPr>
      <w:r>
        <w:t>c</w:t>
      </w:r>
      <w:r w:rsidR="00143836" w:rsidRPr="00B31688">
        <w:t xml:space="preserve">e comité de pilotage devrait être composé </w:t>
      </w:r>
      <w:r>
        <w:t>de représentants des</w:t>
      </w:r>
      <w:r w:rsidR="00143836" w:rsidRPr="00B31688">
        <w:t xml:space="preserve"> secrétariat</w:t>
      </w:r>
      <w:r>
        <w:t>s</w:t>
      </w:r>
      <w:r w:rsidR="00143836" w:rsidRPr="00B31688">
        <w:t xml:space="preserve"> de la CSI </w:t>
      </w:r>
      <w:r>
        <w:t>et</w:t>
      </w:r>
      <w:r w:rsidR="00143836" w:rsidRPr="00B31688">
        <w:t xml:space="preserve"> de la CES et d'un représentant national par pays;</w:t>
      </w:r>
    </w:p>
    <w:p w:rsidR="00143836" w:rsidRPr="00B31688" w:rsidRDefault="007135A0" w:rsidP="00143836">
      <w:pPr>
        <w:pStyle w:val="ListParagraph"/>
        <w:numPr>
          <w:ilvl w:val="0"/>
          <w:numId w:val="29"/>
        </w:numPr>
        <w:ind w:right="-731"/>
        <w:jc w:val="both"/>
      </w:pPr>
      <w:r>
        <w:t>r</w:t>
      </w:r>
      <w:r w:rsidR="00143836" w:rsidRPr="00B31688">
        <w:t xml:space="preserve">éunions </w:t>
      </w:r>
      <w:r>
        <w:t>des partenaires du programme : u</w:t>
      </w:r>
      <w:r w:rsidR="00143836" w:rsidRPr="00B31688">
        <w:t xml:space="preserve">ne par an aux fins de prise de décision et d'établissements des rapports </w:t>
      </w:r>
    </w:p>
    <w:p w:rsidR="00253524" w:rsidRPr="00B31688" w:rsidRDefault="00253524" w:rsidP="002E0E48">
      <w:pPr>
        <w:ind w:right="-731"/>
        <w:jc w:val="both"/>
        <w:rPr>
          <w:b/>
        </w:rPr>
      </w:pPr>
      <w:r w:rsidRPr="00B31688">
        <w:rPr>
          <w:b/>
        </w:rPr>
        <w:t>Questions budgétaires</w:t>
      </w:r>
    </w:p>
    <w:p w:rsidR="00E627A6" w:rsidRPr="00B31688" w:rsidRDefault="00E627A6" w:rsidP="00253524">
      <w:pPr>
        <w:ind w:right="-731"/>
        <w:jc w:val="both"/>
        <w:rPr>
          <w:i/>
        </w:rPr>
      </w:pPr>
      <w:r w:rsidRPr="00B31688">
        <w:rPr>
          <w:i/>
        </w:rPr>
        <w:t>Caractéristiques générales du budget</w:t>
      </w:r>
    </w:p>
    <w:p w:rsidR="00E627A6" w:rsidRPr="00B31688" w:rsidRDefault="00E627A6" w:rsidP="00E627A6">
      <w:pPr>
        <w:pStyle w:val="ListParagraph"/>
        <w:numPr>
          <w:ilvl w:val="0"/>
          <w:numId w:val="26"/>
        </w:numPr>
        <w:ind w:right="-731"/>
        <w:jc w:val="both"/>
      </w:pPr>
      <w:r w:rsidRPr="00B31688">
        <w:t>Plans d'action nationaux = 4,5 million</w:t>
      </w:r>
      <w:r w:rsidR="007135A0">
        <w:t>s</w:t>
      </w:r>
      <w:r w:rsidRPr="00B31688">
        <w:t xml:space="preserve"> d'euros pendant 3 ans</w:t>
      </w:r>
    </w:p>
    <w:p w:rsidR="00E627A6" w:rsidRPr="00B31688" w:rsidRDefault="00E627A6" w:rsidP="00E627A6">
      <w:pPr>
        <w:pStyle w:val="ListParagraph"/>
        <w:numPr>
          <w:ilvl w:val="0"/>
          <w:numId w:val="26"/>
        </w:numPr>
        <w:ind w:right="-731"/>
        <w:jc w:val="both"/>
      </w:pPr>
      <w:r w:rsidRPr="00B31688">
        <w:t xml:space="preserve">Coordination / opérations à l'échelle européenne + soutien aux nouveaux </w:t>
      </w:r>
      <w:r w:rsidR="00B31688" w:rsidRPr="00B31688">
        <w:t>États</w:t>
      </w:r>
      <w:r w:rsidRPr="00B31688">
        <w:t xml:space="preserve"> membres = 1,3 million d'euros</w:t>
      </w:r>
    </w:p>
    <w:p w:rsidR="00253524" w:rsidRPr="00B31688" w:rsidRDefault="00253524" w:rsidP="00253524">
      <w:pPr>
        <w:ind w:right="-731"/>
        <w:jc w:val="both"/>
        <w:rPr>
          <w:i/>
        </w:rPr>
      </w:pPr>
      <w:r w:rsidRPr="00B31688">
        <w:rPr>
          <w:i/>
        </w:rPr>
        <w:t>Critères d'affectation budgétaire au niveau national</w:t>
      </w:r>
    </w:p>
    <w:p w:rsidR="00256B75" w:rsidRPr="00B31688" w:rsidRDefault="00256B75" w:rsidP="00E627A6">
      <w:pPr>
        <w:pStyle w:val="ListParagraph"/>
        <w:numPr>
          <w:ilvl w:val="0"/>
          <w:numId w:val="28"/>
        </w:numPr>
        <w:ind w:right="-731"/>
        <w:jc w:val="both"/>
      </w:pPr>
      <w:r w:rsidRPr="00B31688">
        <w:t>Le budget devrait être affecté à chaque organisation individuelle</w:t>
      </w:r>
    </w:p>
    <w:p w:rsidR="00256B75" w:rsidRPr="00B31688" w:rsidRDefault="00256B75" w:rsidP="00E627A6">
      <w:pPr>
        <w:pStyle w:val="ListParagraph"/>
        <w:numPr>
          <w:ilvl w:val="0"/>
          <w:numId w:val="28"/>
        </w:numPr>
        <w:ind w:right="-731"/>
        <w:jc w:val="both"/>
      </w:pPr>
      <w:r w:rsidRPr="00B31688">
        <w:t xml:space="preserve">Le montant du budget devrait être déterminé en tenant compte des éléments suivants : 1) poids des organisations nationales en termes de représentation (taille des organisations); et 2) qualité des plans d'action nationaux </w:t>
      </w:r>
    </w:p>
    <w:p w:rsidR="00256B75" w:rsidRPr="00B31688" w:rsidRDefault="00256B75" w:rsidP="00E627A6">
      <w:pPr>
        <w:pStyle w:val="ListParagraph"/>
        <w:numPr>
          <w:ilvl w:val="0"/>
          <w:numId w:val="28"/>
        </w:numPr>
        <w:ind w:right="-731"/>
        <w:jc w:val="both"/>
      </w:pPr>
      <w:r w:rsidRPr="00B31688">
        <w:t xml:space="preserve">Les coûts du personnel </w:t>
      </w:r>
      <w:r w:rsidR="007135A0">
        <w:t xml:space="preserve">ne devraient </w:t>
      </w:r>
      <w:r w:rsidRPr="00B31688">
        <w:t>pas dépasser un pourcentage établi.</w:t>
      </w:r>
    </w:p>
    <w:p w:rsidR="00834F4F" w:rsidRPr="00B31688" w:rsidRDefault="00253524" w:rsidP="00834F4F">
      <w:pPr>
        <w:ind w:right="-731"/>
        <w:jc w:val="both"/>
        <w:rPr>
          <w:i/>
        </w:rPr>
      </w:pPr>
      <w:r w:rsidRPr="00B31688">
        <w:rPr>
          <w:i/>
        </w:rPr>
        <w:t>Contribution propre</w:t>
      </w:r>
    </w:p>
    <w:p w:rsidR="00834F4F" w:rsidRPr="00B31688" w:rsidRDefault="003412D3" w:rsidP="00834F4F">
      <w:pPr>
        <w:ind w:right="-731"/>
        <w:jc w:val="both"/>
        <w:rPr>
          <w:i/>
        </w:rPr>
      </w:pPr>
      <w:r w:rsidRPr="00B31688">
        <w:t xml:space="preserve">Le taux de </w:t>
      </w:r>
      <w:r w:rsidR="00B31688" w:rsidRPr="00B31688">
        <w:t>cofinancement</w:t>
      </w:r>
      <w:r w:rsidRPr="00B31688">
        <w:t xml:space="preserve"> du demandeur s'élève à 15%. Le même pourcentage peut s'appliquer aux organisations partenaires. Une autre possibilité consiste à appliquer le pourcentage correspondant à la différence entre le </w:t>
      </w:r>
      <w:r w:rsidR="00B31688" w:rsidRPr="00B31688">
        <w:t>cofinancement</w:t>
      </w:r>
      <w:r w:rsidRPr="00B31688">
        <w:t xml:space="preserve"> et les coûts administratifs (15%</w:t>
      </w:r>
      <w:r w:rsidR="007135A0">
        <w:t xml:space="preserve"> </w:t>
      </w:r>
      <w:r w:rsidRPr="00B31688">
        <w:t>-</w:t>
      </w:r>
      <w:r w:rsidR="007135A0">
        <w:t xml:space="preserve"> </w:t>
      </w:r>
      <w:r w:rsidRPr="00B31688">
        <w:t>7%</w:t>
      </w:r>
      <w:r w:rsidR="007135A0">
        <w:t xml:space="preserve"> </w:t>
      </w:r>
      <w:r w:rsidRPr="00B31688">
        <w:t>=</w:t>
      </w:r>
      <w:r w:rsidR="007135A0">
        <w:t xml:space="preserve"> </w:t>
      </w:r>
      <w:r w:rsidRPr="00B31688">
        <w:t>8%).</w:t>
      </w:r>
    </w:p>
    <w:p w:rsidR="00834F4F" w:rsidRPr="00B31688" w:rsidRDefault="00834F4F" w:rsidP="00834F4F">
      <w:pPr>
        <w:pStyle w:val="Heading3"/>
        <w:spacing w:before="0"/>
      </w:pPr>
    </w:p>
    <w:p w:rsidR="00834F4F" w:rsidRDefault="00834F4F" w:rsidP="00834F4F">
      <w:pPr>
        <w:pStyle w:val="Heading3"/>
        <w:spacing w:before="0"/>
      </w:pPr>
    </w:p>
    <w:p w:rsidR="00CF669D" w:rsidRPr="00CF669D" w:rsidRDefault="00CF669D" w:rsidP="00CF669D"/>
    <w:p w:rsidR="00227934" w:rsidRPr="00B31688" w:rsidRDefault="00C0350D" w:rsidP="00834F4F">
      <w:pPr>
        <w:pStyle w:val="Heading3"/>
        <w:spacing w:before="0"/>
      </w:pPr>
      <w:bookmarkStart w:id="15" w:name="_Toc368324235"/>
      <w:bookmarkStart w:id="16" w:name="_Toc369209760"/>
      <w:r w:rsidRPr="00B31688">
        <w:rPr>
          <w:sz w:val="28"/>
          <w:szCs w:val="28"/>
        </w:rPr>
        <w:lastRenderedPageBreak/>
        <w:t>Session 6 : VOIE A SUIVRE</w:t>
      </w:r>
      <w:bookmarkEnd w:id="15"/>
      <w:bookmarkEnd w:id="16"/>
    </w:p>
    <w:p w:rsidR="005A5086" w:rsidRPr="00B31688" w:rsidRDefault="005A5086" w:rsidP="00834F4F">
      <w:pPr>
        <w:shd w:val="clear" w:color="auto" w:fill="F2F2F2" w:themeFill="background1" w:themeFillShade="F2"/>
        <w:ind w:right="-731"/>
        <w:jc w:val="both"/>
      </w:pPr>
      <w:r w:rsidRPr="00B31688">
        <w:t xml:space="preserve">Les organisations qui ne sont pas encore inscrites sur la base de données PADOR sont priées de le faire d'URGENCE! C'est une condition préalable pour être éligible aux projets européens : </w:t>
      </w:r>
    </w:p>
    <w:p w:rsidR="00FC5729" w:rsidRPr="00B31688" w:rsidRDefault="008A094C" w:rsidP="00834F4F">
      <w:pPr>
        <w:shd w:val="clear" w:color="auto" w:fill="F2F2F2" w:themeFill="background1" w:themeFillShade="F2"/>
        <w:ind w:right="-731"/>
        <w:jc w:val="both"/>
      </w:pPr>
      <w:hyperlink r:id="rId12">
        <w:r w:rsidR="003B01EA" w:rsidRPr="00B31688">
          <w:rPr>
            <w:rStyle w:val="Hyperlink"/>
          </w:rPr>
          <w:t>http://ec.europa.eu/europeaid/work/onlineservices/pador/index_fr.htm</w:t>
        </w:r>
      </w:hyperlink>
      <w:r w:rsidR="003B01EA" w:rsidRPr="00B31688">
        <w:t xml:space="preserve"> </w:t>
      </w:r>
    </w:p>
    <w:p w:rsidR="005A5086" w:rsidRPr="00B31688" w:rsidRDefault="00946309" w:rsidP="00253524">
      <w:pPr>
        <w:ind w:right="-731"/>
        <w:jc w:val="both"/>
        <w:rPr>
          <w:i/>
        </w:rPr>
      </w:pPr>
      <w:r w:rsidRPr="00B31688">
        <w:rPr>
          <w:i/>
        </w:rPr>
        <w:t>Calendrier</w:t>
      </w:r>
    </w:p>
    <w:p w:rsidR="00B31688" w:rsidRPr="00B31688" w:rsidRDefault="00A5594A" w:rsidP="00B31688">
      <w:pPr>
        <w:ind w:right="-731"/>
        <w:jc w:val="both"/>
      </w:pP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5114925</wp:posOffset>
                </wp:positionH>
                <wp:positionV relativeFrom="paragraph">
                  <wp:posOffset>3583940</wp:posOffset>
                </wp:positionV>
                <wp:extent cx="862965" cy="279400"/>
                <wp:effectExtent l="0" t="0" r="13335"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79400"/>
                        </a:xfrm>
                        <a:prstGeom prst="rect">
                          <a:avLst/>
                        </a:prstGeom>
                        <a:solidFill>
                          <a:srgbClr val="FFFFFF"/>
                        </a:solidFill>
                        <a:ln w="9525">
                          <a:solidFill>
                            <a:srgbClr val="000000"/>
                          </a:solidFill>
                          <a:miter lim="800000"/>
                          <a:headEnd/>
                          <a:tailEnd/>
                        </a:ln>
                      </wps:spPr>
                      <wps:txbx>
                        <w:txbxContent>
                          <w:p w:rsidR="009C49BB" w:rsidRDefault="009C49BB" w:rsidP="00B31688">
                            <w:r>
                              <w:t>Secrétariat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75pt;margin-top:282.2pt;width:67.9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KgIAAE8EAAAOAAAAZHJzL2Uyb0RvYy54bWysVNtu2zAMfR+wfxD0vtjxkrQ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">
                <v:textbox>
                  <w:txbxContent>
                    <w:p w:rsidR="009C49BB" w:rsidRDefault="009C49BB" w:rsidP="00B31688">
                      <w:r>
                        <w:t>Secrétariat</w:t>
                      </w: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4257675</wp:posOffset>
                </wp:positionH>
                <wp:positionV relativeFrom="paragraph">
                  <wp:posOffset>2652395</wp:posOffset>
                </wp:positionV>
                <wp:extent cx="989965" cy="490220"/>
                <wp:effectExtent l="0" t="0" r="1968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90220"/>
                        </a:xfrm>
                        <a:prstGeom prst="rect">
                          <a:avLst/>
                        </a:prstGeom>
                        <a:solidFill>
                          <a:srgbClr val="FFFFFF"/>
                        </a:solidFill>
                        <a:ln w="9525">
                          <a:solidFill>
                            <a:srgbClr val="000000"/>
                          </a:solidFill>
                          <a:miter lim="800000"/>
                          <a:headEnd/>
                          <a:tailEnd/>
                        </a:ln>
                      </wps:spPr>
                      <wps:txbx>
                        <w:txbxContent>
                          <w:p w:rsidR="009C49BB" w:rsidRDefault="009C49BB" w:rsidP="00B31688">
                            <w:r>
                              <w:t>Organisations nationales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5.25pt;margin-top:208.85pt;width:77.9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">
                <v:textbox>
                  <w:txbxContent>
                    <w:p w:rsidR="009C49BB" w:rsidRDefault="009C49BB" w:rsidP="00B31688">
                      <w:r>
                        <w:t>Organisations nationales</w:t>
                      </w:r>
                    </w:p>
                  </w:txbxContent>
                </v:textbox>
              </v:shape>
            </w:pict>
          </mc:Fallback>
        </mc:AlternateContent>
      </w:r>
      <w:r w:rsidR="00B31688" w:rsidRPr="00B31688">
        <w:rPr>
          <w:noProof/>
          <w:lang w:val="fr-BE" w:eastAsia="fr-BE"/>
        </w:rPr>
        <w:drawing>
          <wp:inline distT="0" distB="0" distL="0" distR="0">
            <wp:extent cx="5529532" cy="4132053"/>
            <wp:effectExtent l="0" t="0" r="0" b="19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D23B9" w:rsidRPr="00B31688" w:rsidRDefault="008D23B9" w:rsidP="00253524">
      <w:pPr>
        <w:ind w:right="-731"/>
        <w:jc w:val="both"/>
      </w:pPr>
    </w:p>
    <w:p w:rsidR="00253524" w:rsidRPr="00B31688" w:rsidRDefault="00227934" w:rsidP="00253524">
      <w:pPr>
        <w:ind w:right="-731"/>
        <w:jc w:val="both"/>
      </w:pPr>
      <w:r w:rsidRPr="00B31688">
        <w:t xml:space="preserve">La décision prise par la Commission européenne </w:t>
      </w:r>
      <w:r w:rsidR="00CF669D">
        <w:t>concernant</w:t>
      </w:r>
      <w:r w:rsidRPr="00B31688">
        <w:t xml:space="preserve"> la note de concept devrait être communiquée au plus tard le 01/01/2014 (à confirmer). Si celle-ci est acceptée, la proposition complète de programme devrait être soumise au cours du premier trimestre 2014.</w:t>
      </w:r>
    </w:p>
    <w:p w:rsidR="00253524" w:rsidRPr="00B31688" w:rsidRDefault="00253524" w:rsidP="00253524">
      <w:pPr>
        <w:ind w:right="-731"/>
        <w:jc w:val="both"/>
      </w:pPr>
      <w:r w:rsidRPr="00B31688">
        <w:t xml:space="preserve">Il convient d'ici là de réaliser les actions suivantes : </w:t>
      </w:r>
    </w:p>
    <w:p w:rsidR="00FC5729" w:rsidRPr="00B31688" w:rsidRDefault="00227934" w:rsidP="00227934">
      <w:pPr>
        <w:pStyle w:val="ListParagraph"/>
        <w:numPr>
          <w:ilvl w:val="0"/>
          <w:numId w:val="31"/>
        </w:numPr>
        <w:ind w:right="-731"/>
        <w:jc w:val="both"/>
      </w:pPr>
      <w:r w:rsidRPr="00B31688">
        <w:t xml:space="preserve">Poursuite de l'élaboration du cadre </w:t>
      </w:r>
      <w:r w:rsidR="00CF669D">
        <w:t>du programme</w:t>
      </w:r>
    </w:p>
    <w:p w:rsidR="00253524" w:rsidRPr="00B31688" w:rsidRDefault="00B31688" w:rsidP="00227934">
      <w:pPr>
        <w:pStyle w:val="ListParagraph"/>
        <w:numPr>
          <w:ilvl w:val="0"/>
          <w:numId w:val="31"/>
        </w:numPr>
        <w:ind w:right="-731"/>
        <w:jc w:val="both"/>
      </w:pPr>
      <w:r w:rsidRPr="00B31688">
        <w:t>Élaboration</w:t>
      </w:r>
      <w:r w:rsidR="00FC5729" w:rsidRPr="00B31688">
        <w:t>, par les partenaires, des plans d'action nationaux</w:t>
      </w:r>
    </w:p>
    <w:p w:rsidR="00253524" w:rsidRPr="00B31688" w:rsidRDefault="00253524" w:rsidP="00227934">
      <w:pPr>
        <w:pStyle w:val="ListParagraph"/>
        <w:numPr>
          <w:ilvl w:val="0"/>
          <w:numId w:val="31"/>
        </w:numPr>
        <w:ind w:right="-731"/>
        <w:jc w:val="both"/>
      </w:pPr>
      <w:r w:rsidRPr="00B31688">
        <w:t>Approbation des actions communes et du plan d'action</w:t>
      </w:r>
    </w:p>
    <w:p w:rsidR="00253524" w:rsidRPr="00B31688" w:rsidRDefault="00227934" w:rsidP="00227934">
      <w:pPr>
        <w:pStyle w:val="ListParagraph"/>
        <w:numPr>
          <w:ilvl w:val="0"/>
          <w:numId w:val="31"/>
        </w:numPr>
        <w:ind w:right="-731"/>
        <w:jc w:val="both"/>
      </w:pPr>
      <w:r w:rsidRPr="00B31688">
        <w:t>Formalisation d'un accord sur les modalités financières : protocole d'accord avec les partenaires précisant le contenu, les critères de gestion et les engagements des parties</w:t>
      </w:r>
    </w:p>
    <w:p w:rsidR="00603363" w:rsidRPr="00B31688" w:rsidRDefault="00603363" w:rsidP="00603363">
      <w:pPr>
        <w:ind w:right="-731"/>
        <w:jc w:val="right"/>
        <w:rPr>
          <w:i/>
        </w:rPr>
      </w:pPr>
    </w:p>
    <w:p w:rsidR="00253524" w:rsidRPr="00B31688" w:rsidRDefault="00603363" w:rsidP="00603363">
      <w:pPr>
        <w:ind w:right="-731"/>
        <w:jc w:val="right"/>
        <w:rPr>
          <w:i/>
        </w:rPr>
      </w:pPr>
      <w:r w:rsidRPr="00B31688">
        <w:rPr>
          <w:i/>
        </w:rPr>
        <w:t>Bruxelles, le 30/09/2013</w:t>
      </w:r>
    </w:p>
    <w:sectPr w:rsidR="00253524" w:rsidRPr="00B31688" w:rsidSect="002E0E48">
      <w:headerReference w:type="default" r:id="rId18"/>
      <w:footerReference w:type="default" r:id="rId19"/>
      <w:footerReference w:type="first" r:id="rId20"/>
      <w:pgSz w:w="11906" w:h="16838"/>
      <w:pgMar w:top="1134" w:right="255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4C" w:rsidRDefault="008A094C" w:rsidP="00D0108B">
      <w:pPr>
        <w:spacing w:after="0" w:line="240" w:lineRule="auto"/>
      </w:pPr>
      <w:r>
        <w:separator/>
      </w:r>
    </w:p>
  </w:endnote>
  <w:endnote w:type="continuationSeparator" w:id="0">
    <w:p w:rsidR="008A094C" w:rsidRDefault="008A094C" w:rsidP="00D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9C49BB" w:rsidRPr="00ED7033" w:rsidTr="00ED7033">
      <w:trPr>
        <w:trHeight w:val="300"/>
      </w:trPr>
      <w:tc>
        <w:tcPr>
          <w:tcW w:w="976" w:type="dxa"/>
          <w:vMerge w:val="restart"/>
          <w:tcBorders>
            <w:top w:val="nil"/>
            <w:left w:val="nil"/>
            <w:bottom w:val="nil"/>
            <w:right w:val="nil"/>
          </w:tcBorders>
          <w:shd w:val="clear" w:color="auto" w:fill="auto"/>
          <w:noWrap/>
          <w:vAlign w:val="bottom"/>
          <w:hideMark/>
        </w:tcPr>
        <w:p w:rsidR="009C49BB" w:rsidRPr="00ED7033" w:rsidRDefault="009C49BB" w:rsidP="00ED7033">
          <w:pPr>
            <w:spacing w:after="0" w:line="240" w:lineRule="auto"/>
            <w:rPr>
              <w:rFonts w:ascii="Calibri" w:eastAsia="Times New Roman" w:hAnsi="Calibri" w:cs="Times New Roman"/>
              <w:color w:val="000000"/>
            </w:rPr>
          </w:pPr>
          <w:r>
            <w:rPr>
              <w:noProof/>
              <w:lang w:val="fr-BE" w:eastAsia="fr-BE"/>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7" name="Picture 7"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C49BB" w:rsidRPr="00ED7033">
            <w:trPr>
              <w:trHeight w:val="269"/>
              <w:tblCellSpacing w:w="0" w:type="dxa"/>
            </w:trPr>
            <w:tc>
              <w:tcPr>
                <w:tcW w:w="960" w:type="dxa"/>
                <w:vMerge w:val="restart"/>
                <w:tcBorders>
                  <w:top w:val="nil"/>
                  <w:left w:val="nil"/>
                  <w:bottom w:val="nil"/>
                  <w:right w:val="nil"/>
                </w:tcBorders>
                <w:shd w:val="clear" w:color="auto" w:fill="auto"/>
                <w:noWrap/>
                <w:vAlign w:val="bottom"/>
                <w:hideMark/>
              </w:tcPr>
              <w:p w:rsidR="009C49BB" w:rsidRPr="00ED7033" w:rsidRDefault="009C49BB" w:rsidP="00ED7033">
                <w:pPr>
                  <w:spacing w:after="0" w:line="240" w:lineRule="auto"/>
                  <w:jc w:val="center"/>
                  <w:rPr>
                    <w:rFonts w:ascii="Calibri" w:eastAsia="Times New Roman" w:hAnsi="Calibri" w:cs="Times New Roman"/>
                    <w:color w:val="000000"/>
                  </w:rPr>
                </w:pPr>
              </w:p>
            </w:tc>
          </w:tr>
          <w:tr w:rsidR="009C49BB" w:rsidRPr="00ED7033">
            <w:trPr>
              <w:trHeight w:val="269"/>
              <w:tblCellSpacing w:w="0" w:type="dxa"/>
            </w:trPr>
            <w:tc>
              <w:tcPr>
                <w:tcW w:w="0" w:type="auto"/>
                <w:vMerge/>
                <w:tcBorders>
                  <w:top w:val="nil"/>
                  <w:left w:val="nil"/>
                  <w:bottom w:val="nil"/>
                  <w:right w:val="nil"/>
                </w:tcBorders>
                <w:vAlign w:val="center"/>
                <w:hideMark/>
              </w:tcPr>
              <w:p w:rsidR="009C49BB" w:rsidRPr="00ED7033" w:rsidRDefault="009C49BB" w:rsidP="00ED7033">
                <w:pPr>
                  <w:spacing w:after="0" w:line="240" w:lineRule="auto"/>
                  <w:rPr>
                    <w:rFonts w:ascii="Calibri" w:eastAsia="Times New Roman" w:hAnsi="Calibri" w:cs="Times New Roman"/>
                    <w:color w:val="000000"/>
                  </w:rPr>
                </w:pPr>
              </w:p>
            </w:tc>
          </w:tr>
        </w:tbl>
        <w:p w:rsidR="009C49BB" w:rsidRPr="00ED7033" w:rsidRDefault="009C49BB"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9C49BB" w:rsidRPr="00ED7033" w:rsidRDefault="009C49BB" w:rsidP="00ED7033">
          <w:pPr>
            <w:spacing w:after="0" w:line="240" w:lineRule="auto"/>
            <w:rPr>
              <w:rFonts w:ascii="Calibri" w:eastAsia="Times New Roman" w:hAnsi="Calibri" w:cs="Times New Roman"/>
              <w:i/>
              <w:iCs/>
              <w:color w:val="000000"/>
              <w:sz w:val="18"/>
              <w:szCs w:val="18"/>
            </w:rPr>
          </w:pPr>
          <w:r>
            <w:rPr>
              <w:rFonts w:ascii="Calibri" w:hAnsi="Calibri"/>
              <w:i/>
              <w:iCs/>
              <w:color w:val="000000"/>
              <w:sz w:val="18"/>
              <w:szCs w:val="18"/>
            </w:rPr>
            <w:t>Cette réunion a été organisée avec le soutien financier de l’Union Européenne.</w:t>
          </w:r>
        </w:p>
      </w:tc>
    </w:tr>
    <w:tr w:rsidR="009C49BB" w:rsidRPr="00ED7033" w:rsidTr="00ED7033">
      <w:trPr>
        <w:trHeight w:val="885"/>
      </w:trPr>
      <w:tc>
        <w:tcPr>
          <w:tcW w:w="976" w:type="dxa"/>
          <w:vMerge/>
          <w:tcBorders>
            <w:top w:val="nil"/>
            <w:left w:val="nil"/>
            <w:bottom w:val="nil"/>
            <w:right w:val="nil"/>
          </w:tcBorders>
          <w:vAlign w:val="center"/>
          <w:hideMark/>
        </w:tcPr>
        <w:p w:rsidR="009C49BB" w:rsidRPr="00ED7033" w:rsidRDefault="009C49BB"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hideMark/>
        </w:tcPr>
        <w:p w:rsidR="009C49BB" w:rsidRPr="00ED7033" w:rsidRDefault="009C49BB" w:rsidP="009C49BB">
          <w:pPr>
            <w:spacing w:after="0" w:line="240" w:lineRule="auto"/>
            <w:rPr>
              <w:rFonts w:ascii="Calibri" w:eastAsia="Times New Roman" w:hAnsi="Calibri" w:cs="Times New Roman"/>
              <w:i/>
              <w:iCs/>
              <w:color w:val="000000"/>
              <w:sz w:val="18"/>
              <w:szCs w:val="18"/>
            </w:rPr>
          </w:pPr>
          <w:r>
            <w:rPr>
              <w:rFonts w:ascii="Calibri" w:hAnsi="Calibri"/>
              <w:i/>
              <w:iCs/>
              <w:color w:val="000000"/>
              <w:sz w:val="18"/>
              <w:szCs w:val="18"/>
            </w:rPr>
            <w:t>Le contenu de cette réunion et de ce document est de la seule responsabilité du RSCD et ne peut en aucun cas être considéré comme reflétant la position de l'Union européenne.</w:t>
          </w:r>
        </w:p>
      </w:tc>
    </w:tr>
  </w:tbl>
  <w:p w:rsidR="009C49BB" w:rsidRPr="00804CA6" w:rsidRDefault="009C49BB">
    <w:pPr>
      <w:pStyle w:val="Footer"/>
      <w:rPr>
        <w:i/>
        <w:sz w:val="18"/>
        <w:szCs w:val="18"/>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9C49BB" w:rsidRPr="00ED7033" w:rsidTr="00ED7033">
      <w:trPr>
        <w:trHeight w:val="300"/>
      </w:trPr>
      <w:tc>
        <w:tcPr>
          <w:tcW w:w="976" w:type="dxa"/>
          <w:vMerge w:val="restart"/>
          <w:tcBorders>
            <w:top w:val="nil"/>
            <w:left w:val="nil"/>
            <w:bottom w:val="nil"/>
            <w:right w:val="nil"/>
          </w:tcBorders>
          <w:shd w:val="clear" w:color="auto" w:fill="auto"/>
          <w:noWrap/>
          <w:vAlign w:val="bottom"/>
          <w:hideMark/>
        </w:tcPr>
        <w:p w:rsidR="009C49BB" w:rsidRPr="00ED7033" w:rsidRDefault="009C49BB" w:rsidP="00ED7033">
          <w:pPr>
            <w:spacing w:after="0" w:line="240" w:lineRule="auto"/>
            <w:rPr>
              <w:rFonts w:ascii="Calibri" w:eastAsia="Times New Roman" w:hAnsi="Calibri" w:cs="Times New Roman"/>
              <w:color w:val="000000"/>
            </w:rPr>
          </w:pPr>
          <w:r>
            <w:rPr>
              <w:noProof/>
              <w:lang w:val="fr-BE" w:eastAsia="fr-BE"/>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5" name="Picture 5"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C49BB" w:rsidRPr="00ED7033">
            <w:trPr>
              <w:trHeight w:val="269"/>
              <w:tblCellSpacing w:w="0" w:type="dxa"/>
            </w:trPr>
            <w:tc>
              <w:tcPr>
                <w:tcW w:w="960" w:type="dxa"/>
                <w:vMerge w:val="restart"/>
                <w:tcBorders>
                  <w:top w:val="nil"/>
                  <w:left w:val="nil"/>
                  <w:bottom w:val="nil"/>
                  <w:right w:val="nil"/>
                </w:tcBorders>
                <w:shd w:val="clear" w:color="auto" w:fill="auto"/>
                <w:noWrap/>
                <w:vAlign w:val="bottom"/>
                <w:hideMark/>
              </w:tcPr>
              <w:p w:rsidR="009C49BB" w:rsidRPr="00ED7033" w:rsidRDefault="009C49BB" w:rsidP="00ED7033">
                <w:pPr>
                  <w:spacing w:after="0" w:line="240" w:lineRule="auto"/>
                  <w:jc w:val="center"/>
                  <w:rPr>
                    <w:rFonts w:ascii="Calibri" w:eastAsia="Times New Roman" w:hAnsi="Calibri" w:cs="Times New Roman"/>
                    <w:color w:val="000000"/>
                  </w:rPr>
                </w:pPr>
              </w:p>
            </w:tc>
          </w:tr>
          <w:tr w:rsidR="009C49BB" w:rsidRPr="00ED7033">
            <w:trPr>
              <w:trHeight w:val="269"/>
              <w:tblCellSpacing w:w="0" w:type="dxa"/>
            </w:trPr>
            <w:tc>
              <w:tcPr>
                <w:tcW w:w="0" w:type="auto"/>
                <w:vMerge/>
                <w:tcBorders>
                  <w:top w:val="nil"/>
                  <w:left w:val="nil"/>
                  <w:bottom w:val="nil"/>
                  <w:right w:val="nil"/>
                </w:tcBorders>
                <w:vAlign w:val="center"/>
                <w:hideMark/>
              </w:tcPr>
              <w:p w:rsidR="009C49BB" w:rsidRPr="00ED7033" w:rsidRDefault="009C49BB" w:rsidP="00ED7033">
                <w:pPr>
                  <w:spacing w:after="0" w:line="240" w:lineRule="auto"/>
                  <w:rPr>
                    <w:rFonts w:ascii="Calibri" w:eastAsia="Times New Roman" w:hAnsi="Calibri" w:cs="Times New Roman"/>
                    <w:color w:val="000000"/>
                  </w:rPr>
                </w:pPr>
              </w:p>
            </w:tc>
          </w:tr>
        </w:tbl>
        <w:p w:rsidR="009C49BB" w:rsidRPr="00ED7033" w:rsidRDefault="009C49BB"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9C49BB" w:rsidRPr="00ED7033" w:rsidRDefault="009C49BB" w:rsidP="00ED7033">
          <w:pPr>
            <w:spacing w:after="0" w:line="240" w:lineRule="auto"/>
            <w:rPr>
              <w:rFonts w:ascii="Calibri" w:eastAsia="Times New Roman" w:hAnsi="Calibri" w:cs="Times New Roman"/>
              <w:i/>
              <w:iCs/>
              <w:color w:val="000000"/>
              <w:sz w:val="18"/>
              <w:szCs w:val="18"/>
            </w:rPr>
          </w:pPr>
          <w:r>
            <w:rPr>
              <w:rFonts w:ascii="Calibri" w:hAnsi="Calibri"/>
              <w:i/>
              <w:iCs/>
              <w:color w:val="000000"/>
              <w:sz w:val="18"/>
              <w:szCs w:val="18"/>
            </w:rPr>
            <w:t>Cette réunion a été organisée avec le soutien financier de l’Union Européenne.</w:t>
          </w:r>
        </w:p>
      </w:tc>
    </w:tr>
    <w:tr w:rsidR="009C49BB" w:rsidRPr="00ED7033" w:rsidTr="00ED7033">
      <w:trPr>
        <w:trHeight w:val="885"/>
      </w:trPr>
      <w:tc>
        <w:tcPr>
          <w:tcW w:w="976" w:type="dxa"/>
          <w:vMerge/>
          <w:tcBorders>
            <w:top w:val="nil"/>
            <w:left w:val="nil"/>
            <w:bottom w:val="nil"/>
            <w:right w:val="nil"/>
          </w:tcBorders>
          <w:vAlign w:val="center"/>
          <w:hideMark/>
        </w:tcPr>
        <w:p w:rsidR="009C49BB" w:rsidRPr="00ED7033" w:rsidRDefault="009C49BB"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hideMark/>
        </w:tcPr>
        <w:p w:rsidR="009C49BB" w:rsidRPr="009C49BB" w:rsidRDefault="009C49BB" w:rsidP="009C49BB">
          <w:pPr>
            <w:spacing w:after="0" w:line="240" w:lineRule="auto"/>
            <w:rPr>
              <w:rFonts w:ascii="Calibri" w:hAnsi="Calibri"/>
              <w:i/>
              <w:iCs/>
              <w:color w:val="000000"/>
              <w:sz w:val="18"/>
              <w:szCs w:val="18"/>
            </w:rPr>
          </w:pPr>
          <w:r>
            <w:rPr>
              <w:rFonts w:ascii="Calibri" w:hAnsi="Calibri"/>
              <w:i/>
              <w:iCs/>
              <w:color w:val="000000"/>
              <w:sz w:val="18"/>
              <w:szCs w:val="18"/>
            </w:rPr>
            <w:t>Le contenu de cette réunion et de ce document est de la seule responsabilité du RSCD et ne peut en aucun cas être considéré comme reflétant la position de l'Union européenne.</w:t>
          </w:r>
        </w:p>
      </w:tc>
    </w:tr>
  </w:tbl>
  <w:p w:rsidR="009C49BB" w:rsidRPr="004F25B8" w:rsidRDefault="009C49BB" w:rsidP="004F25B8">
    <w:pPr>
      <w:pStyle w:val="Footer"/>
      <w:tabs>
        <w:tab w:val="clear" w:pos="4513"/>
      </w:tabs>
      <w:ind w:left="1276" w:right="-873"/>
      <w:rPr>
        <w:i/>
        <w:sz w:val="18"/>
        <w:szCs w:val="18"/>
      </w:rPr>
    </w:pPr>
    <w:r>
      <w:tab/>
    </w:r>
    <w:r>
      <w:tab/>
    </w:r>
  </w:p>
  <w:p w:rsidR="009C49BB" w:rsidRDefault="009C49BB">
    <w:pPr>
      <w:pStyle w:val="Footer"/>
    </w:pPr>
  </w:p>
  <w:p w:rsidR="009C49BB" w:rsidRDefault="009C49BB">
    <w:pPr>
      <w:pStyle w:val="Footer"/>
    </w:pPr>
  </w:p>
  <w:p w:rsidR="009C49BB" w:rsidRPr="00512B3E" w:rsidRDefault="009C49BB">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4C" w:rsidRDefault="008A094C" w:rsidP="00D0108B">
      <w:pPr>
        <w:spacing w:after="0" w:line="240" w:lineRule="auto"/>
      </w:pPr>
      <w:r>
        <w:separator/>
      </w:r>
    </w:p>
  </w:footnote>
  <w:footnote w:type="continuationSeparator" w:id="0">
    <w:p w:rsidR="008A094C" w:rsidRDefault="008A094C" w:rsidP="00D0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8427"/>
      <w:docPartObj>
        <w:docPartGallery w:val="Page Numbers (Top of Page)"/>
        <w:docPartUnique/>
      </w:docPartObj>
    </w:sdtPr>
    <w:sdtEndPr>
      <w:rPr>
        <w:noProof/>
      </w:rPr>
    </w:sdtEndPr>
    <w:sdtContent>
      <w:p w:rsidR="009C49BB" w:rsidRDefault="008A094C">
        <w:pPr>
          <w:pStyle w:val="Header"/>
          <w:jc w:val="center"/>
        </w:pPr>
        <w:r>
          <w:fldChar w:fldCharType="begin"/>
        </w:r>
        <w:r>
          <w:instrText xml:space="preserve"> PAGE   \* MERGEFORMAT </w:instrText>
        </w:r>
        <w:r>
          <w:fldChar w:fldCharType="separate"/>
        </w:r>
        <w:r w:rsidR="00512DA6">
          <w:rPr>
            <w:noProof/>
          </w:rPr>
          <w:t>7</w:t>
        </w:r>
        <w:r>
          <w:rPr>
            <w:noProof/>
          </w:rPr>
          <w:fldChar w:fldCharType="end"/>
        </w:r>
      </w:p>
    </w:sdtContent>
  </w:sdt>
  <w:p w:rsidR="009C49BB" w:rsidRDefault="009C4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0"/>
    <w:multiLevelType w:val="hybridMultilevel"/>
    <w:tmpl w:val="828CA4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A597D"/>
    <w:multiLevelType w:val="hybridMultilevel"/>
    <w:tmpl w:val="C6CE5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65B"/>
    <w:multiLevelType w:val="hybridMultilevel"/>
    <w:tmpl w:val="AA529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03F92"/>
    <w:multiLevelType w:val="hybridMultilevel"/>
    <w:tmpl w:val="07E2B088"/>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15575"/>
    <w:multiLevelType w:val="hybridMultilevel"/>
    <w:tmpl w:val="6292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C392B"/>
    <w:multiLevelType w:val="hybridMultilevel"/>
    <w:tmpl w:val="B1881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A570E"/>
    <w:multiLevelType w:val="hybridMultilevel"/>
    <w:tmpl w:val="EB02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73F98"/>
    <w:multiLevelType w:val="hybridMultilevel"/>
    <w:tmpl w:val="DEE80156"/>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47852"/>
    <w:multiLevelType w:val="hybridMultilevel"/>
    <w:tmpl w:val="4C7A5FA8"/>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B1191"/>
    <w:multiLevelType w:val="hybridMultilevel"/>
    <w:tmpl w:val="177C621A"/>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C25A9"/>
    <w:multiLevelType w:val="hybridMultilevel"/>
    <w:tmpl w:val="C8E6A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E0067"/>
    <w:multiLevelType w:val="hybridMultilevel"/>
    <w:tmpl w:val="411AD832"/>
    <w:lvl w:ilvl="0" w:tplc="B08A559C">
      <w:start w:val="1"/>
      <w:numFmt w:val="bullet"/>
      <w:lvlText w:val="•"/>
      <w:lvlJc w:val="left"/>
      <w:pPr>
        <w:tabs>
          <w:tab w:val="num" w:pos="720"/>
        </w:tabs>
        <w:ind w:left="720" w:hanging="360"/>
      </w:pPr>
      <w:rPr>
        <w:rFonts w:ascii="Times New Roman" w:hAnsi="Times New Roman" w:hint="default"/>
      </w:rPr>
    </w:lvl>
    <w:lvl w:ilvl="1" w:tplc="9E3CD498" w:tentative="1">
      <w:start w:val="1"/>
      <w:numFmt w:val="bullet"/>
      <w:lvlText w:val="•"/>
      <w:lvlJc w:val="left"/>
      <w:pPr>
        <w:tabs>
          <w:tab w:val="num" w:pos="1440"/>
        </w:tabs>
        <w:ind w:left="1440" w:hanging="360"/>
      </w:pPr>
      <w:rPr>
        <w:rFonts w:ascii="Times New Roman" w:hAnsi="Times New Roman" w:hint="default"/>
      </w:rPr>
    </w:lvl>
    <w:lvl w:ilvl="2" w:tplc="684E0626" w:tentative="1">
      <w:start w:val="1"/>
      <w:numFmt w:val="bullet"/>
      <w:lvlText w:val="•"/>
      <w:lvlJc w:val="left"/>
      <w:pPr>
        <w:tabs>
          <w:tab w:val="num" w:pos="2160"/>
        </w:tabs>
        <w:ind w:left="2160" w:hanging="360"/>
      </w:pPr>
      <w:rPr>
        <w:rFonts w:ascii="Times New Roman" w:hAnsi="Times New Roman" w:hint="default"/>
      </w:rPr>
    </w:lvl>
    <w:lvl w:ilvl="3" w:tplc="3800E236" w:tentative="1">
      <w:start w:val="1"/>
      <w:numFmt w:val="bullet"/>
      <w:lvlText w:val="•"/>
      <w:lvlJc w:val="left"/>
      <w:pPr>
        <w:tabs>
          <w:tab w:val="num" w:pos="2880"/>
        </w:tabs>
        <w:ind w:left="2880" w:hanging="360"/>
      </w:pPr>
      <w:rPr>
        <w:rFonts w:ascii="Times New Roman" w:hAnsi="Times New Roman" w:hint="default"/>
      </w:rPr>
    </w:lvl>
    <w:lvl w:ilvl="4" w:tplc="BC4424BE" w:tentative="1">
      <w:start w:val="1"/>
      <w:numFmt w:val="bullet"/>
      <w:lvlText w:val="•"/>
      <w:lvlJc w:val="left"/>
      <w:pPr>
        <w:tabs>
          <w:tab w:val="num" w:pos="3600"/>
        </w:tabs>
        <w:ind w:left="3600" w:hanging="360"/>
      </w:pPr>
      <w:rPr>
        <w:rFonts w:ascii="Times New Roman" w:hAnsi="Times New Roman" w:hint="default"/>
      </w:rPr>
    </w:lvl>
    <w:lvl w:ilvl="5" w:tplc="DC568262" w:tentative="1">
      <w:start w:val="1"/>
      <w:numFmt w:val="bullet"/>
      <w:lvlText w:val="•"/>
      <w:lvlJc w:val="left"/>
      <w:pPr>
        <w:tabs>
          <w:tab w:val="num" w:pos="4320"/>
        </w:tabs>
        <w:ind w:left="4320" w:hanging="360"/>
      </w:pPr>
      <w:rPr>
        <w:rFonts w:ascii="Times New Roman" w:hAnsi="Times New Roman" w:hint="default"/>
      </w:rPr>
    </w:lvl>
    <w:lvl w:ilvl="6" w:tplc="770224F0" w:tentative="1">
      <w:start w:val="1"/>
      <w:numFmt w:val="bullet"/>
      <w:lvlText w:val="•"/>
      <w:lvlJc w:val="left"/>
      <w:pPr>
        <w:tabs>
          <w:tab w:val="num" w:pos="5040"/>
        </w:tabs>
        <w:ind w:left="5040" w:hanging="360"/>
      </w:pPr>
      <w:rPr>
        <w:rFonts w:ascii="Times New Roman" w:hAnsi="Times New Roman" w:hint="default"/>
      </w:rPr>
    </w:lvl>
    <w:lvl w:ilvl="7" w:tplc="91808476" w:tentative="1">
      <w:start w:val="1"/>
      <w:numFmt w:val="bullet"/>
      <w:lvlText w:val="•"/>
      <w:lvlJc w:val="left"/>
      <w:pPr>
        <w:tabs>
          <w:tab w:val="num" w:pos="5760"/>
        </w:tabs>
        <w:ind w:left="5760" w:hanging="360"/>
      </w:pPr>
      <w:rPr>
        <w:rFonts w:ascii="Times New Roman" w:hAnsi="Times New Roman" w:hint="default"/>
      </w:rPr>
    </w:lvl>
    <w:lvl w:ilvl="8" w:tplc="115C70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D27803"/>
    <w:multiLevelType w:val="hybridMultilevel"/>
    <w:tmpl w:val="AA5E5FB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nsid w:val="2C5A3946"/>
    <w:multiLevelType w:val="hybridMultilevel"/>
    <w:tmpl w:val="F6F0ED9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162330C"/>
    <w:multiLevelType w:val="hybridMultilevel"/>
    <w:tmpl w:val="CD62B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521AE"/>
    <w:multiLevelType w:val="hybridMultilevel"/>
    <w:tmpl w:val="01AEBB6C"/>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177AD0"/>
    <w:multiLevelType w:val="hybridMultilevel"/>
    <w:tmpl w:val="C3A64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E69AF"/>
    <w:multiLevelType w:val="hybridMultilevel"/>
    <w:tmpl w:val="46ACA3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nsid w:val="403877FC"/>
    <w:multiLevelType w:val="hybridMultilevel"/>
    <w:tmpl w:val="C6DA1F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20469"/>
    <w:multiLevelType w:val="hybridMultilevel"/>
    <w:tmpl w:val="E15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45372C"/>
    <w:multiLevelType w:val="hybridMultilevel"/>
    <w:tmpl w:val="B2F86FA0"/>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05A25"/>
    <w:multiLevelType w:val="hybridMultilevel"/>
    <w:tmpl w:val="FFDC669E"/>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8415B"/>
    <w:multiLevelType w:val="hybridMultilevel"/>
    <w:tmpl w:val="0F0A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02466"/>
    <w:multiLevelType w:val="hybridMultilevel"/>
    <w:tmpl w:val="15B89EEC"/>
    <w:lvl w:ilvl="0" w:tplc="08090001">
      <w:start w:val="1"/>
      <w:numFmt w:val="bullet"/>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nsid w:val="611D5AE7"/>
    <w:multiLevelType w:val="hybridMultilevel"/>
    <w:tmpl w:val="6EFA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F73CA"/>
    <w:multiLevelType w:val="hybridMultilevel"/>
    <w:tmpl w:val="ADDC6E18"/>
    <w:lvl w:ilvl="0" w:tplc="6B2ABA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601EC1"/>
    <w:multiLevelType w:val="hybridMultilevel"/>
    <w:tmpl w:val="5D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B4762"/>
    <w:multiLevelType w:val="hybridMultilevel"/>
    <w:tmpl w:val="728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C3481"/>
    <w:multiLevelType w:val="hybridMultilevel"/>
    <w:tmpl w:val="F3D0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14A21"/>
    <w:multiLevelType w:val="hybridMultilevel"/>
    <w:tmpl w:val="2640E23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0">
    <w:nsid w:val="7DA567E0"/>
    <w:multiLevelType w:val="hybridMultilevel"/>
    <w:tmpl w:val="98F8E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23"/>
  </w:num>
  <w:num w:numId="5">
    <w:abstractNumId w:val="29"/>
  </w:num>
  <w:num w:numId="6">
    <w:abstractNumId w:val="14"/>
  </w:num>
  <w:num w:numId="7">
    <w:abstractNumId w:val="24"/>
  </w:num>
  <w:num w:numId="8">
    <w:abstractNumId w:val="26"/>
  </w:num>
  <w:num w:numId="9">
    <w:abstractNumId w:val="6"/>
  </w:num>
  <w:num w:numId="10">
    <w:abstractNumId w:val="27"/>
  </w:num>
  <w:num w:numId="11">
    <w:abstractNumId w:val="10"/>
  </w:num>
  <w:num w:numId="12">
    <w:abstractNumId w:val="4"/>
  </w:num>
  <w:num w:numId="13">
    <w:abstractNumId w:val="5"/>
  </w:num>
  <w:num w:numId="14">
    <w:abstractNumId w:val="0"/>
  </w:num>
  <w:num w:numId="15">
    <w:abstractNumId w:val="22"/>
  </w:num>
  <w:num w:numId="16">
    <w:abstractNumId w:val="15"/>
  </w:num>
  <w:num w:numId="17">
    <w:abstractNumId w:val="9"/>
  </w:num>
  <w:num w:numId="18">
    <w:abstractNumId w:val="25"/>
  </w:num>
  <w:num w:numId="19">
    <w:abstractNumId w:val="19"/>
  </w:num>
  <w:num w:numId="20">
    <w:abstractNumId w:val="28"/>
  </w:num>
  <w:num w:numId="21">
    <w:abstractNumId w:val="21"/>
  </w:num>
  <w:num w:numId="22">
    <w:abstractNumId w:val="20"/>
  </w:num>
  <w:num w:numId="23">
    <w:abstractNumId w:val="3"/>
  </w:num>
  <w:num w:numId="24">
    <w:abstractNumId w:val="7"/>
  </w:num>
  <w:num w:numId="25">
    <w:abstractNumId w:val="8"/>
  </w:num>
  <w:num w:numId="26">
    <w:abstractNumId w:val="18"/>
  </w:num>
  <w:num w:numId="27">
    <w:abstractNumId w:val="1"/>
  </w:num>
  <w:num w:numId="28">
    <w:abstractNumId w:val="30"/>
  </w:num>
  <w:num w:numId="29">
    <w:abstractNumId w:val="16"/>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4F"/>
    <w:rsid w:val="000349CE"/>
    <w:rsid w:val="00054D16"/>
    <w:rsid w:val="00073EB6"/>
    <w:rsid w:val="00077792"/>
    <w:rsid w:val="00092BF1"/>
    <w:rsid w:val="00093D97"/>
    <w:rsid w:val="000C3AC9"/>
    <w:rsid w:val="000E21F5"/>
    <w:rsid w:val="000E5730"/>
    <w:rsid w:val="000F0FFC"/>
    <w:rsid w:val="000F3EFF"/>
    <w:rsid w:val="0010448A"/>
    <w:rsid w:val="00110D6B"/>
    <w:rsid w:val="00111268"/>
    <w:rsid w:val="001178D6"/>
    <w:rsid w:val="001402A5"/>
    <w:rsid w:val="00143836"/>
    <w:rsid w:val="00150F8C"/>
    <w:rsid w:val="00155800"/>
    <w:rsid w:val="001652BF"/>
    <w:rsid w:val="00167CF8"/>
    <w:rsid w:val="00176C4C"/>
    <w:rsid w:val="001910D4"/>
    <w:rsid w:val="001C07E0"/>
    <w:rsid w:val="001D0D41"/>
    <w:rsid w:val="001D413E"/>
    <w:rsid w:val="001E5753"/>
    <w:rsid w:val="00202C7F"/>
    <w:rsid w:val="0020392E"/>
    <w:rsid w:val="00214B82"/>
    <w:rsid w:val="00227934"/>
    <w:rsid w:val="0025003B"/>
    <w:rsid w:val="00253524"/>
    <w:rsid w:val="00256B75"/>
    <w:rsid w:val="00261B72"/>
    <w:rsid w:val="00263FC6"/>
    <w:rsid w:val="00275F5C"/>
    <w:rsid w:val="00280C02"/>
    <w:rsid w:val="00290B2B"/>
    <w:rsid w:val="0029421F"/>
    <w:rsid w:val="002A3EBB"/>
    <w:rsid w:val="002D7818"/>
    <w:rsid w:val="002E0E48"/>
    <w:rsid w:val="002E11B7"/>
    <w:rsid w:val="002E6EC4"/>
    <w:rsid w:val="003037BB"/>
    <w:rsid w:val="00312322"/>
    <w:rsid w:val="0031350D"/>
    <w:rsid w:val="00316518"/>
    <w:rsid w:val="0031667A"/>
    <w:rsid w:val="00333509"/>
    <w:rsid w:val="003412D3"/>
    <w:rsid w:val="00353D33"/>
    <w:rsid w:val="0037107F"/>
    <w:rsid w:val="00381C4F"/>
    <w:rsid w:val="003A1E24"/>
    <w:rsid w:val="003A4D1A"/>
    <w:rsid w:val="003B01EA"/>
    <w:rsid w:val="003C3F91"/>
    <w:rsid w:val="003C4365"/>
    <w:rsid w:val="003E0316"/>
    <w:rsid w:val="003E0355"/>
    <w:rsid w:val="003E1A1D"/>
    <w:rsid w:val="003E7CB7"/>
    <w:rsid w:val="003F1B1A"/>
    <w:rsid w:val="0040377D"/>
    <w:rsid w:val="004060E8"/>
    <w:rsid w:val="004075A8"/>
    <w:rsid w:val="00423E51"/>
    <w:rsid w:val="0043173A"/>
    <w:rsid w:val="0046439F"/>
    <w:rsid w:val="00466CC3"/>
    <w:rsid w:val="00467329"/>
    <w:rsid w:val="00477B06"/>
    <w:rsid w:val="00491AE4"/>
    <w:rsid w:val="0049323F"/>
    <w:rsid w:val="004A6853"/>
    <w:rsid w:val="004C02F7"/>
    <w:rsid w:val="004C1C05"/>
    <w:rsid w:val="004C5C4F"/>
    <w:rsid w:val="004C72D0"/>
    <w:rsid w:val="004D06DA"/>
    <w:rsid w:val="004F25B8"/>
    <w:rsid w:val="004F33FD"/>
    <w:rsid w:val="004F61F5"/>
    <w:rsid w:val="00512B3E"/>
    <w:rsid w:val="00512DA6"/>
    <w:rsid w:val="00515646"/>
    <w:rsid w:val="005202B9"/>
    <w:rsid w:val="0052269D"/>
    <w:rsid w:val="00536418"/>
    <w:rsid w:val="005502D8"/>
    <w:rsid w:val="00557966"/>
    <w:rsid w:val="00564187"/>
    <w:rsid w:val="00577428"/>
    <w:rsid w:val="00577E3A"/>
    <w:rsid w:val="00584B35"/>
    <w:rsid w:val="005A01D4"/>
    <w:rsid w:val="005A305C"/>
    <w:rsid w:val="005A5086"/>
    <w:rsid w:val="005C061F"/>
    <w:rsid w:val="005C44A3"/>
    <w:rsid w:val="005C6B3C"/>
    <w:rsid w:val="005E2256"/>
    <w:rsid w:val="00603363"/>
    <w:rsid w:val="0061128A"/>
    <w:rsid w:val="00626D91"/>
    <w:rsid w:val="00633320"/>
    <w:rsid w:val="006423AB"/>
    <w:rsid w:val="006428AF"/>
    <w:rsid w:val="0065783B"/>
    <w:rsid w:val="006611AD"/>
    <w:rsid w:val="00681EDC"/>
    <w:rsid w:val="0069704F"/>
    <w:rsid w:val="006A395B"/>
    <w:rsid w:val="006A3BEA"/>
    <w:rsid w:val="006B157F"/>
    <w:rsid w:val="006C4901"/>
    <w:rsid w:val="006D5428"/>
    <w:rsid w:val="006D5F60"/>
    <w:rsid w:val="006D778E"/>
    <w:rsid w:val="006E54D1"/>
    <w:rsid w:val="006F745D"/>
    <w:rsid w:val="0071000C"/>
    <w:rsid w:val="007135A0"/>
    <w:rsid w:val="00723165"/>
    <w:rsid w:val="007233EF"/>
    <w:rsid w:val="00725CAA"/>
    <w:rsid w:val="007275F4"/>
    <w:rsid w:val="00747E63"/>
    <w:rsid w:val="00752BD4"/>
    <w:rsid w:val="00762B75"/>
    <w:rsid w:val="00776C49"/>
    <w:rsid w:val="00792841"/>
    <w:rsid w:val="007A65F6"/>
    <w:rsid w:val="007B71B7"/>
    <w:rsid w:val="007C3F6F"/>
    <w:rsid w:val="007F5A00"/>
    <w:rsid w:val="0080425A"/>
    <w:rsid w:val="00804CA6"/>
    <w:rsid w:val="00807A2C"/>
    <w:rsid w:val="00826E25"/>
    <w:rsid w:val="00832E0A"/>
    <w:rsid w:val="00833BB9"/>
    <w:rsid w:val="008348CE"/>
    <w:rsid w:val="00834F4F"/>
    <w:rsid w:val="008469EA"/>
    <w:rsid w:val="008473F4"/>
    <w:rsid w:val="00847421"/>
    <w:rsid w:val="008614F5"/>
    <w:rsid w:val="0086614A"/>
    <w:rsid w:val="008777F8"/>
    <w:rsid w:val="00897D2D"/>
    <w:rsid w:val="008A06C8"/>
    <w:rsid w:val="008A094C"/>
    <w:rsid w:val="008B08F6"/>
    <w:rsid w:val="008B0BFD"/>
    <w:rsid w:val="008C7CAE"/>
    <w:rsid w:val="008D23B9"/>
    <w:rsid w:val="008D37BC"/>
    <w:rsid w:val="008E0D0C"/>
    <w:rsid w:val="00923221"/>
    <w:rsid w:val="0092654F"/>
    <w:rsid w:val="009359ED"/>
    <w:rsid w:val="00946309"/>
    <w:rsid w:val="0094655E"/>
    <w:rsid w:val="00955B1A"/>
    <w:rsid w:val="009A26C0"/>
    <w:rsid w:val="009B708D"/>
    <w:rsid w:val="009C352F"/>
    <w:rsid w:val="009C49BB"/>
    <w:rsid w:val="009D392B"/>
    <w:rsid w:val="009D4B88"/>
    <w:rsid w:val="009E3D44"/>
    <w:rsid w:val="00A03A11"/>
    <w:rsid w:val="00A14666"/>
    <w:rsid w:val="00A21A59"/>
    <w:rsid w:val="00A21BF1"/>
    <w:rsid w:val="00A22A51"/>
    <w:rsid w:val="00A5594A"/>
    <w:rsid w:val="00A5702E"/>
    <w:rsid w:val="00A57365"/>
    <w:rsid w:val="00A6224B"/>
    <w:rsid w:val="00A721A7"/>
    <w:rsid w:val="00A75F69"/>
    <w:rsid w:val="00AB42D4"/>
    <w:rsid w:val="00AB5FC4"/>
    <w:rsid w:val="00AC5992"/>
    <w:rsid w:val="00AC79E3"/>
    <w:rsid w:val="00AF04F1"/>
    <w:rsid w:val="00B05F20"/>
    <w:rsid w:val="00B13FA6"/>
    <w:rsid w:val="00B23589"/>
    <w:rsid w:val="00B24AC2"/>
    <w:rsid w:val="00B31688"/>
    <w:rsid w:val="00B338F3"/>
    <w:rsid w:val="00B37C6D"/>
    <w:rsid w:val="00B54951"/>
    <w:rsid w:val="00B66BA3"/>
    <w:rsid w:val="00B7259F"/>
    <w:rsid w:val="00B81C2A"/>
    <w:rsid w:val="00B85739"/>
    <w:rsid w:val="00B923E7"/>
    <w:rsid w:val="00B94DC1"/>
    <w:rsid w:val="00BB629F"/>
    <w:rsid w:val="00BC34A0"/>
    <w:rsid w:val="00BD4DEE"/>
    <w:rsid w:val="00BE0452"/>
    <w:rsid w:val="00BE7C0C"/>
    <w:rsid w:val="00BF5D48"/>
    <w:rsid w:val="00C0350D"/>
    <w:rsid w:val="00C164D6"/>
    <w:rsid w:val="00C51386"/>
    <w:rsid w:val="00C52302"/>
    <w:rsid w:val="00C71351"/>
    <w:rsid w:val="00C74FD2"/>
    <w:rsid w:val="00C842F9"/>
    <w:rsid w:val="00C9214C"/>
    <w:rsid w:val="00C96AEA"/>
    <w:rsid w:val="00CC0AD2"/>
    <w:rsid w:val="00CC1F1E"/>
    <w:rsid w:val="00CC3D0C"/>
    <w:rsid w:val="00CC4C19"/>
    <w:rsid w:val="00CC69D3"/>
    <w:rsid w:val="00CD6BBF"/>
    <w:rsid w:val="00CE2738"/>
    <w:rsid w:val="00CF669D"/>
    <w:rsid w:val="00D0108B"/>
    <w:rsid w:val="00D03DBC"/>
    <w:rsid w:val="00D200FD"/>
    <w:rsid w:val="00D20BEE"/>
    <w:rsid w:val="00D23839"/>
    <w:rsid w:val="00D333E2"/>
    <w:rsid w:val="00D35E60"/>
    <w:rsid w:val="00D81327"/>
    <w:rsid w:val="00D93005"/>
    <w:rsid w:val="00DC4513"/>
    <w:rsid w:val="00DD6041"/>
    <w:rsid w:val="00DE6413"/>
    <w:rsid w:val="00E022DB"/>
    <w:rsid w:val="00E046D1"/>
    <w:rsid w:val="00E11092"/>
    <w:rsid w:val="00E174B5"/>
    <w:rsid w:val="00E47874"/>
    <w:rsid w:val="00E55B16"/>
    <w:rsid w:val="00E56B42"/>
    <w:rsid w:val="00E627A6"/>
    <w:rsid w:val="00E66ABD"/>
    <w:rsid w:val="00E7336D"/>
    <w:rsid w:val="00E82C30"/>
    <w:rsid w:val="00E94B38"/>
    <w:rsid w:val="00EA566B"/>
    <w:rsid w:val="00EB361A"/>
    <w:rsid w:val="00EC38BF"/>
    <w:rsid w:val="00EC6641"/>
    <w:rsid w:val="00ED7033"/>
    <w:rsid w:val="00ED7BB4"/>
    <w:rsid w:val="00F05BE2"/>
    <w:rsid w:val="00F11710"/>
    <w:rsid w:val="00F53829"/>
    <w:rsid w:val="00F6515C"/>
    <w:rsid w:val="00F65A79"/>
    <w:rsid w:val="00F67DAB"/>
    <w:rsid w:val="00F73A75"/>
    <w:rsid w:val="00F81B58"/>
    <w:rsid w:val="00FA17B2"/>
    <w:rsid w:val="00FA4312"/>
    <w:rsid w:val="00FA58FC"/>
    <w:rsid w:val="00FA5EEC"/>
    <w:rsid w:val="00FC06E5"/>
    <w:rsid w:val="00FC5729"/>
    <w:rsid w:val="00FC6E91"/>
    <w:rsid w:val="00FD4F90"/>
    <w:rsid w:val="00FE3A7B"/>
    <w:rsid w:val="00FE7C76"/>
    <w:rsid w:val="00FF4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0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0C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0C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4B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4B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14B8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 w:type="paragraph" w:styleId="TOCHeading">
    <w:name w:val="TOC Heading"/>
    <w:basedOn w:val="Heading1"/>
    <w:next w:val="Normal"/>
    <w:uiPriority w:val="39"/>
    <w:semiHidden/>
    <w:unhideWhenUsed/>
    <w:qFormat/>
    <w:rsid w:val="00280C02"/>
    <w:pPr>
      <w:outlineLvl w:val="9"/>
    </w:pPr>
    <w:rPr>
      <w:lang w:val="en-US" w:eastAsia="ja-JP"/>
    </w:rPr>
  </w:style>
  <w:style w:type="paragraph" w:styleId="TOC1">
    <w:name w:val="toc 1"/>
    <w:basedOn w:val="Normal"/>
    <w:next w:val="Normal"/>
    <w:autoRedefine/>
    <w:uiPriority w:val="39"/>
    <w:unhideWhenUsed/>
    <w:rsid w:val="00280C02"/>
    <w:pPr>
      <w:spacing w:after="100"/>
    </w:pPr>
  </w:style>
  <w:style w:type="character" w:customStyle="1" w:styleId="Heading2Char">
    <w:name w:val="Heading 2 Char"/>
    <w:basedOn w:val="DefaultParagraphFont"/>
    <w:link w:val="Heading2"/>
    <w:uiPriority w:val="9"/>
    <w:rsid w:val="00280C0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0C02"/>
    <w:pPr>
      <w:spacing w:after="100"/>
      <w:ind w:left="220"/>
    </w:pPr>
  </w:style>
  <w:style w:type="character" w:customStyle="1" w:styleId="Heading3Char">
    <w:name w:val="Heading 3 Char"/>
    <w:basedOn w:val="DefaultParagraphFont"/>
    <w:link w:val="Heading3"/>
    <w:uiPriority w:val="9"/>
    <w:rsid w:val="00280C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0C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0C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4B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B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4B82"/>
    <w:rPr>
      <w:rFonts w:asciiTheme="majorHAnsi" w:eastAsiaTheme="majorEastAsia" w:hAnsiTheme="majorHAnsi" w:cstheme="majorBidi"/>
      <w:color w:val="404040" w:themeColor="text1" w:themeTint="BF"/>
      <w:sz w:val="20"/>
      <w:szCs w:val="20"/>
    </w:rPr>
  </w:style>
  <w:style w:type="paragraph" w:styleId="TOC3">
    <w:name w:val="toc 3"/>
    <w:basedOn w:val="Normal"/>
    <w:next w:val="Normal"/>
    <w:autoRedefine/>
    <w:uiPriority w:val="39"/>
    <w:unhideWhenUsed/>
    <w:rsid w:val="00214B8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0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0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0C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0C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4B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4B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14B8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 w:type="paragraph" w:styleId="TOCHeading">
    <w:name w:val="TOC Heading"/>
    <w:basedOn w:val="Heading1"/>
    <w:next w:val="Normal"/>
    <w:uiPriority w:val="39"/>
    <w:semiHidden/>
    <w:unhideWhenUsed/>
    <w:qFormat/>
    <w:rsid w:val="00280C02"/>
    <w:pPr>
      <w:outlineLvl w:val="9"/>
    </w:pPr>
    <w:rPr>
      <w:lang w:val="en-US" w:eastAsia="ja-JP"/>
    </w:rPr>
  </w:style>
  <w:style w:type="paragraph" w:styleId="TOC1">
    <w:name w:val="toc 1"/>
    <w:basedOn w:val="Normal"/>
    <w:next w:val="Normal"/>
    <w:autoRedefine/>
    <w:uiPriority w:val="39"/>
    <w:unhideWhenUsed/>
    <w:rsid w:val="00280C02"/>
    <w:pPr>
      <w:spacing w:after="100"/>
    </w:pPr>
  </w:style>
  <w:style w:type="character" w:customStyle="1" w:styleId="Heading2Char">
    <w:name w:val="Heading 2 Char"/>
    <w:basedOn w:val="DefaultParagraphFont"/>
    <w:link w:val="Heading2"/>
    <w:uiPriority w:val="9"/>
    <w:rsid w:val="00280C0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0C02"/>
    <w:pPr>
      <w:spacing w:after="100"/>
      <w:ind w:left="220"/>
    </w:pPr>
  </w:style>
  <w:style w:type="character" w:customStyle="1" w:styleId="Heading3Char">
    <w:name w:val="Heading 3 Char"/>
    <w:basedOn w:val="DefaultParagraphFont"/>
    <w:link w:val="Heading3"/>
    <w:uiPriority w:val="9"/>
    <w:rsid w:val="00280C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0C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0C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4B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B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4B82"/>
    <w:rPr>
      <w:rFonts w:asciiTheme="majorHAnsi" w:eastAsiaTheme="majorEastAsia" w:hAnsiTheme="majorHAnsi" w:cstheme="majorBidi"/>
      <w:color w:val="404040" w:themeColor="text1" w:themeTint="BF"/>
      <w:sz w:val="20"/>
      <w:szCs w:val="20"/>
    </w:rPr>
  </w:style>
  <w:style w:type="paragraph" w:styleId="TOC3">
    <w:name w:val="toc 3"/>
    <w:basedOn w:val="Normal"/>
    <w:next w:val="Normal"/>
    <w:autoRedefine/>
    <w:uiPriority w:val="39"/>
    <w:unhideWhenUsed/>
    <w:rsid w:val="00214B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7224">
      <w:bodyDiv w:val="1"/>
      <w:marLeft w:val="0"/>
      <w:marRight w:val="0"/>
      <w:marTop w:val="0"/>
      <w:marBottom w:val="0"/>
      <w:divBdr>
        <w:top w:val="none" w:sz="0" w:space="0" w:color="auto"/>
        <w:left w:val="none" w:sz="0" w:space="0" w:color="auto"/>
        <w:bottom w:val="none" w:sz="0" w:space="0" w:color="auto"/>
        <w:right w:val="none" w:sz="0" w:space="0" w:color="auto"/>
      </w:divBdr>
      <w:divsChild>
        <w:div w:id="138888137">
          <w:marLeft w:val="547"/>
          <w:marRight w:val="0"/>
          <w:marTop w:val="0"/>
          <w:marBottom w:val="0"/>
          <w:divBdr>
            <w:top w:val="none" w:sz="0" w:space="0" w:color="auto"/>
            <w:left w:val="none" w:sz="0" w:space="0" w:color="auto"/>
            <w:bottom w:val="none" w:sz="0" w:space="0" w:color="auto"/>
            <w:right w:val="none" w:sz="0" w:space="0" w:color="auto"/>
          </w:divBdr>
        </w:div>
      </w:divsChild>
    </w:div>
    <w:div w:id="190269742">
      <w:bodyDiv w:val="1"/>
      <w:marLeft w:val="0"/>
      <w:marRight w:val="0"/>
      <w:marTop w:val="0"/>
      <w:marBottom w:val="0"/>
      <w:divBdr>
        <w:top w:val="none" w:sz="0" w:space="0" w:color="auto"/>
        <w:left w:val="none" w:sz="0" w:space="0" w:color="auto"/>
        <w:bottom w:val="none" w:sz="0" w:space="0" w:color="auto"/>
        <w:right w:val="none" w:sz="0" w:space="0" w:color="auto"/>
      </w:divBdr>
    </w:div>
    <w:div w:id="210846551">
      <w:bodyDiv w:val="1"/>
      <w:marLeft w:val="0"/>
      <w:marRight w:val="0"/>
      <w:marTop w:val="0"/>
      <w:marBottom w:val="0"/>
      <w:divBdr>
        <w:top w:val="none" w:sz="0" w:space="0" w:color="auto"/>
        <w:left w:val="none" w:sz="0" w:space="0" w:color="auto"/>
        <w:bottom w:val="none" w:sz="0" w:space="0" w:color="auto"/>
        <w:right w:val="none" w:sz="0" w:space="0" w:color="auto"/>
      </w:divBdr>
    </w:div>
    <w:div w:id="486168046">
      <w:bodyDiv w:val="1"/>
      <w:marLeft w:val="0"/>
      <w:marRight w:val="0"/>
      <w:marTop w:val="0"/>
      <w:marBottom w:val="0"/>
      <w:divBdr>
        <w:top w:val="none" w:sz="0" w:space="0" w:color="auto"/>
        <w:left w:val="none" w:sz="0" w:space="0" w:color="auto"/>
        <w:bottom w:val="none" w:sz="0" w:space="0" w:color="auto"/>
        <w:right w:val="none" w:sz="0" w:space="0" w:color="auto"/>
      </w:divBdr>
    </w:div>
    <w:div w:id="590309853">
      <w:bodyDiv w:val="1"/>
      <w:marLeft w:val="0"/>
      <w:marRight w:val="0"/>
      <w:marTop w:val="0"/>
      <w:marBottom w:val="0"/>
      <w:divBdr>
        <w:top w:val="none" w:sz="0" w:space="0" w:color="auto"/>
        <w:left w:val="none" w:sz="0" w:space="0" w:color="auto"/>
        <w:bottom w:val="none" w:sz="0" w:space="0" w:color="auto"/>
        <w:right w:val="none" w:sz="0" w:space="0" w:color="auto"/>
      </w:divBdr>
    </w:div>
    <w:div w:id="1139684064">
      <w:bodyDiv w:val="1"/>
      <w:marLeft w:val="0"/>
      <w:marRight w:val="0"/>
      <w:marTop w:val="0"/>
      <w:marBottom w:val="0"/>
      <w:divBdr>
        <w:top w:val="none" w:sz="0" w:space="0" w:color="auto"/>
        <w:left w:val="none" w:sz="0" w:space="0" w:color="auto"/>
        <w:bottom w:val="none" w:sz="0" w:space="0" w:color="auto"/>
        <w:right w:val="none" w:sz="0" w:space="0" w:color="auto"/>
      </w:divBdr>
    </w:div>
    <w:div w:id="1299454844">
      <w:bodyDiv w:val="1"/>
      <w:marLeft w:val="0"/>
      <w:marRight w:val="0"/>
      <w:marTop w:val="0"/>
      <w:marBottom w:val="0"/>
      <w:divBdr>
        <w:top w:val="none" w:sz="0" w:space="0" w:color="auto"/>
        <w:left w:val="none" w:sz="0" w:space="0" w:color="auto"/>
        <w:bottom w:val="none" w:sz="0" w:space="0" w:color="auto"/>
        <w:right w:val="none" w:sz="0" w:space="0" w:color="auto"/>
      </w:divBdr>
    </w:div>
    <w:div w:id="1317997232">
      <w:bodyDiv w:val="1"/>
      <w:marLeft w:val="0"/>
      <w:marRight w:val="0"/>
      <w:marTop w:val="0"/>
      <w:marBottom w:val="0"/>
      <w:divBdr>
        <w:top w:val="none" w:sz="0" w:space="0" w:color="auto"/>
        <w:left w:val="none" w:sz="0" w:space="0" w:color="auto"/>
        <w:bottom w:val="none" w:sz="0" w:space="0" w:color="auto"/>
        <w:right w:val="none" w:sz="0" w:space="0" w:color="auto"/>
      </w:divBdr>
    </w:div>
    <w:div w:id="1708679808">
      <w:bodyDiv w:val="1"/>
      <w:marLeft w:val="0"/>
      <w:marRight w:val="0"/>
      <w:marTop w:val="0"/>
      <w:marBottom w:val="0"/>
      <w:divBdr>
        <w:top w:val="none" w:sz="0" w:space="0" w:color="auto"/>
        <w:left w:val="none" w:sz="0" w:space="0" w:color="auto"/>
        <w:bottom w:val="none" w:sz="0" w:space="0" w:color="auto"/>
        <w:right w:val="none" w:sz="0" w:space="0" w:color="auto"/>
      </w:divBdr>
    </w:div>
    <w:div w:id="1788769687">
      <w:bodyDiv w:val="1"/>
      <w:marLeft w:val="0"/>
      <w:marRight w:val="0"/>
      <w:marTop w:val="0"/>
      <w:marBottom w:val="0"/>
      <w:divBdr>
        <w:top w:val="none" w:sz="0" w:space="0" w:color="auto"/>
        <w:left w:val="none" w:sz="0" w:space="0" w:color="auto"/>
        <w:bottom w:val="none" w:sz="0" w:space="0" w:color="auto"/>
        <w:right w:val="none" w:sz="0" w:space="0" w:color="auto"/>
      </w:divBdr>
    </w:div>
    <w:div w:id="18974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uropeaid/work/onlineservices/pador/index_fr.ht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ituc-csi.org/documents-from-the-meeting-1371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F45AF-9D08-4A1F-BFB4-DB6D88A47D58}" type="doc">
      <dgm:prSet loTypeId="urn:microsoft.com/office/officeart/2005/8/layout/StepDownProcess" loCatId="process" qsTypeId="urn:microsoft.com/office/officeart/2005/8/quickstyle/simple1" qsCatId="simple" csTypeId="urn:microsoft.com/office/officeart/2005/8/colors/accent1_1" csCatId="accent1" phldr="1"/>
      <dgm:spPr/>
      <dgm:t>
        <a:bodyPr/>
        <a:lstStyle/>
        <a:p>
          <a:endParaRPr lang="en-GB"/>
        </a:p>
      </dgm:t>
    </dgm:pt>
    <dgm:pt modelId="{2BFD9712-44E7-4D6A-8EBB-840DD0E4ACB5}">
      <dgm:prSet phldrT="[Text]" custT="1"/>
      <dgm:spPr/>
      <dgm:t>
        <a:bodyPr/>
        <a:lstStyle/>
        <a:p>
          <a:r>
            <a:rPr lang="en-GB" sz="1050"/>
            <a:t>Compte-rendu de l'atelier</a:t>
          </a:r>
        </a:p>
        <a:p>
          <a:r>
            <a:rPr lang="en-GB" sz="1050"/>
            <a:t>30 septembre</a:t>
          </a:r>
        </a:p>
      </dgm:t>
    </dgm:pt>
    <dgm:pt modelId="{342D385D-D16A-4725-A3D7-B95B3F926769}" type="parTrans" cxnId="{3432FFCC-4EC0-4850-9FEB-F72AB4992CC4}">
      <dgm:prSet/>
      <dgm:spPr/>
      <dgm:t>
        <a:bodyPr/>
        <a:lstStyle/>
        <a:p>
          <a:endParaRPr lang="en-GB"/>
        </a:p>
      </dgm:t>
    </dgm:pt>
    <dgm:pt modelId="{023AA3E7-92B1-4475-A177-F71A6F3716CA}" type="sibTrans" cxnId="{3432FFCC-4EC0-4850-9FEB-F72AB4992CC4}">
      <dgm:prSet/>
      <dgm:spPr/>
      <dgm:t>
        <a:bodyPr/>
        <a:lstStyle/>
        <a:p>
          <a:endParaRPr lang="en-GB"/>
        </a:p>
      </dgm:t>
    </dgm:pt>
    <dgm:pt modelId="{BAA6D5BD-D012-4C66-B3D1-5444525404C9}">
      <dgm:prSet phldrT="[Text]"/>
      <dgm:spPr/>
      <dgm:t>
        <a:bodyPr/>
        <a:lstStyle/>
        <a:p>
          <a:r>
            <a:rPr lang="en-GB"/>
            <a:t>Secrétariat</a:t>
          </a:r>
        </a:p>
      </dgm:t>
    </dgm:pt>
    <dgm:pt modelId="{DE4A1467-6C5F-488A-9085-0B7F62EFF583}" type="parTrans" cxnId="{7F9AC7DE-13D1-4500-A695-8442C7515754}">
      <dgm:prSet/>
      <dgm:spPr/>
      <dgm:t>
        <a:bodyPr/>
        <a:lstStyle/>
        <a:p>
          <a:endParaRPr lang="en-GB"/>
        </a:p>
      </dgm:t>
    </dgm:pt>
    <dgm:pt modelId="{1F17D0D7-696E-4F5F-B7A8-AD4DE7CD5EA7}" type="sibTrans" cxnId="{7F9AC7DE-13D1-4500-A695-8442C7515754}">
      <dgm:prSet/>
      <dgm:spPr/>
      <dgm:t>
        <a:bodyPr/>
        <a:lstStyle/>
        <a:p>
          <a:endParaRPr lang="en-GB"/>
        </a:p>
      </dgm:t>
    </dgm:pt>
    <dgm:pt modelId="{DDD162CE-33F6-4330-ABC6-039CB968356E}">
      <dgm:prSet phldrT="[Text]" custT="1"/>
      <dgm:spPr/>
      <dgm:t>
        <a:bodyPr/>
        <a:lstStyle/>
        <a:p>
          <a:r>
            <a:rPr lang="en-GB" sz="1050"/>
            <a:t>Publication de l'appel à propositions</a:t>
          </a:r>
        </a:p>
        <a:p>
          <a:r>
            <a:rPr lang="en-GB" sz="1050"/>
            <a:t>1 octobre</a:t>
          </a:r>
        </a:p>
      </dgm:t>
    </dgm:pt>
    <dgm:pt modelId="{B3507EF2-8165-476D-BC96-220849891EA9}" type="parTrans" cxnId="{E5830937-DECD-4546-AC4B-151216B2A559}">
      <dgm:prSet/>
      <dgm:spPr/>
      <dgm:t>
        <a:bodyPr/>
        <a:lstStyle/>
        <a:p>
          <a:endParaRPr lang="en-GB"/>
        </a:p>
      </dgm:t>
    </dgm:pt>
    <dgm:pt modelId="{1DC3113F-9B73-4780-BA81-D3FB59363562}" type="sibTrans" cxnId="{E5830937-DECD-4546-AC4B-151216B2A559}">
      <dgm:prSet/>
      <dgm:spPr/>
      <dgm:t>
        <a:bodyPr/>
        <a:lstStyle/>
        <a:p>
          <a:endParaRPr lang="en-GB"/>
        </a:p>
      </dgm:t>
    </dgm:pt>
    <dgm:pt modelId="{39711889-FE40-442A-9FDE-6801B308270B}">
      <dgm:prSet phldrT="[Text]"/>
      <dgm:spPr/>
      <dgm:t>
        <a:bodyPr/>
        <a:lstStyle/>
        <a:p>
          <a:r>
            <a:rPr lang="en-GB"/>
            <a:t>UE</a:t>
          </a:r>
        </a:p>
      </dgm:t>
    </dgm:pt>
    <dgm:pt modelId="{6AD414B6-0031-45EF-9DC4-581874161907}" type="parTrans" cxnId="{36675868-2274-445B-A5F9-07D096D0069D}">
      <dgm:prSet/>
      <dgm:spPr/>
      <dgm:t>
        <a:bodyPr/>
        <a:lstStyle/>
        <a:p>
          <a:endParaRPr lang="en-GB"/>
        </a:p>
      </dgm:t>
    </dgm:pt>
    <dgm:pt modelId="{5E89B53E-BC8D-4EAE-9848-6409CAB01C0E}" type="sibTrans" cxnId="{36675868-2274-445B-A5F9-07D096D0069D}">
      <dgm:prSet/>
      <dgm:spPr/>
      <dgm:t>
        <a:bodyPr/>
        <a:lstStyle/>
        <a:p>
          <a:endParaRPr lang="en-GB"/>
        </a:p>
      </dgm:t>
    </dgm:pt>
    <dgm:pt modelId="{15ACD21A-CA18-4958-992E-AD8461618274}">
      <dgm:prSet phldrT="[Text]" custT="1"/>
      <dgm:spPr/>
      <dgm:t>
        <a:bodyPr/>
        <a:lstStyle/>
        <a:p>
          <a:r>
            <a:rPr lang="en-GB" sz="1050"/>
            <a:t>Lignes directrices relatives aux plans d'action nationaux</a:t>
          </a:r>
        </a:p>
        <a:p>
          <a:r>
            <a:rPr lang="en-GB" sz="1050"/>
            <a:t>7 octobre</a:t>
          </a:r>
        </a:p>
      </dgm:t>
    </dgm:pt>
    <dgm:pt modelId="{F9CCD307-0DEB-488E-AD32-B32DA237ACB3}" type="parTrans" cxnId="{00D66FC8-56ED-41B6-9B4A-9ADE0C0761D2}">
      <dgm:prSet/>
      <dgm:spPr/>
      <dgm:t>
        <a:bodyPr/>
        <a:lstStyle/>
        <a:p>
          <a:endParaRPr lang="en-GB"/>
        </a:p>
      </dgm:t>
    </dgm:pt>
    <dgm:pt modelId="{9E562E7D-8F4D-41AB-A3E7-C553F1CCFAE6}" type="sibTrans" cxnId="{00D66FC8-56ED-41B6-9B4A-9ADE0C0761D2}">
      <dgm:prSet/>
      <dgm:spPr/>
      <dgm:t>
        <a:bodyPr/>
        <a:lstStyle/>
        <a:p>
          <a:endParaRPr lang="en-GB"/>
        </a:p>
      </dgm:t>
    </dgm:pt>
    <dgm:pt modelId="{2726AA11-491A-4886-9915-03D98009D8DD}">
      <dgm:prSet phldrT="[Text]"/>
      <dgm:spPr/>
      <dgm:t>
        <a:bodyPr/>
        <a:lstStyle/>
        <a:p>
          <a:r>
            <a:rPr lang="en-GB"/>
            <a:t>Secrétariat</a:t>
          </a:r>
        </a:p>
      </dgm:t>
    </dgm:pt>
    <dgm:pt modelId="{F1E7CC85-0EA6-4B23-BA83-AB4475521A2F}" type="parTrans" cxnId="{E2272BDD-36BB-41EB-B8A7-7E8CAD865B96}">
      <dgm:prSet/>
      <dgm:spPr/>
      <dgm:t>
        <a:bodyPr/>
        <a:lstStyle/>
        <a:p>
          <a:endParaRPr lang="en-GB"/>
        </a:p>
      </dgm:t>
    </dgm:pt>
    <dgm:pt modelId="{6D3B8542-0D40-49D8-AD73-01F066FD3E2A}" type="sibTrans" cxnId="{E2272BDD-36BB-41EB-B8A7-7E8CAD865B96}">
      <dgm:prSet/>
      <dgm:spPr/>
      <dgm:t>
        <a:bodyPr/>
        <a:lstStyle/>
        <a:p>
          <a:endParaRPr lang="en-GB"/>
        </a:p>
      </dgm:t>
    </dgm:pt>
    <dgm:pt modelId="{979F5ED3-C9CB-4347-A6F4-F792C9A66440}">
      <dgm:prSet phldrT="[Text]" custT="1"/>
      <dgm:spPr/>
      <dgm:t>
        <a:bodyPr/>
        <a:lstStyle/>
        <a:p>
          <a:r>
            <a:rPr lang="en-GB" sz="1050"/>
            <a:t>Soumission des projets de plans d'action nationaux à Bruxelles</a:t>
          </a:r>
        </a:p>
        <a:p>
          <a:r>
            <a:rPr lang="en-GB" sz="1050"/>
            <a:t>31 octobre</a:t>
          </a:r>
          <a:endParaRPr lang="en-GB" sz="1400"/>
        </a:p>
      </dgm:t>
    </dgm:pt>
    <dgm:pt modelId="{3F9038EB-9796-4CB1-94BE-64D095740308}" type="parTrans" cxnId="{20DD13B9-C3A5-4132-A0A9-8F49EFFF078C}">
      <dgm:prSet/>
      <dgm:spPr/>
      <dgm:t>
        <a:bodyPr/>
        <a:lstStyle/>
        <a:p>
          <a:endParaRPr lang="en-GB"/>
        </a:p>
      </dgm:t>
    </dgm:pt>
    <dgm:pt modelId="{C61ECE97-81C2-46CE-BD29-3A5894A2C530}" type="sibTrans" cxnId="{20DD13B9-C3A5-4132-A0A9-8F49EFFF078C}">
      <dgm:prSet/>
      <dgm:spPr/>
      <dgm:t>
        <a:bodyPr/>
        <a:lstStyle/>
        <a:p>
          <a:endParaRPr lang="en-GB"/>
        </a:p>
      </dgm:t>
    </dgm:pt>
    <dgm:pt modelId="{67F67309-3E39-4567-8AD2-884B7740FEED}">
      <dgm:prSet phldrT="[Text]" custT="1"/>
      <dgm:spPr/>
      <dgm:t>
        <a:bodyPr/>
        <a:lstStyle/>
        <a:p>
          <a:r>
            <a:rPr lang="en-GB" sz="1050"/>
            <a:t>Projet de note de concept </a:t>
          </a:r>
        </a:p>
        <a:p>
          <a:r>
            <a:rPr lang="en-GB" sz="1050"/>
            <a:t>15 novembre</a:t>
          </a:r>
        </a:p>
      </dgm:t>
    </dgm:pt>
    <dgm:pt modelId="{1AE18B00-1AE6-4995-9EAB-BF5A6AA4F74D}" type="parTrans" cxnId="{8B6184A1-DC59-45CA-B029-5933C37035F6}">
      <dgm:prSet/>
      <dgm:spPr/>
      <dgm:t>
        <a:bodyPr/>
        <a:lstStyle/>
        <a:p>
          <a:endParaRPr lang="en-GB"/>
        </a:p>
      </dgm:t>
    </dgm:pt>
    <dgm:pt modelId="{622BEF19-CBA0-4A24-8B97-4F990D2E0119}" type="sibTrans" cxnId="{8B6184A1-DC59-45CA-B029-5933C37035F6}">
      <dgm:prSet/>
      <dgm:spPr/>
      <dgm:t>
        <a:bodyPr/>
        <a:lstStyle/>
        <a:p>
          <a:endParaRPr lang="en-GB"/>
        </a:p>
      </dgm:t>
    </dgm:pt>
    <dgm:pt modelId="{FB03A0BD-722D-4D71-970A-1559FF2CF828}" type="pres">
      <dgm:prSet presAssocID="{78BF45AF-9D08-4A1F-BFB4-DB6D88A47D58}" presName="rootnode" presStyleCnt="0">
        <dgm:presLayoutVars>
          <dgm:chMax/>
          <dgm:chPref/>
          <dgm:dir/>
          <dgm:animLvl val="lvl"/>
        </dgm:presLayoutVars>
      </dgm:prSet>
      <dgm:spPr/>
      <dgm:t>
        <a:bodyPr/>
        <a:lstStyle/>
        <a:p>
          <a:endParaRPr lang="en-GB"/>
        </a:p>
      </dgm:t>
    </dgm:pt>
    <dgm:pt modelId="{D48AF8E7-187B-42C7-A84A-0560F30CA600}" type="pres">
      <dgm:prSet presAssocID="{2BFD9712-44E7-4D6A-8EBB-840DD0E4ACB5}" presName="composite" presStyleCnt="0"/>
      <dgm:spPr/>
    </dgm:pt>
    <dgm:pt modelId="{F93F9E58-8A07-4A7D-8049-DEE5165B4E8C}" type="pres">
      <dgm:prSet presAssocID="{2BFD9712-44E7-4D6A-8EBB-840DD0E4ACB5}" presName="bentUpArrow1" presStyleLbl="alignImgPlace1" presStyleIdx="0" presStyleCnt="4"/>
      <dgm:spPr/>
    </dgm:pt>
    <dgm:pt modelId="{24EA528D-6AF0-40FF-8D6B-E312C26DEAC3}" type="pres">
      <dgm:prSet presAssocID="{2BFD9712-44E7-4D6A-8EBB-840DD0E4ACB5}" presName="ParentText" presStyleLbl="node1" presStyleIdx="0" presStyleCnt="5">
        <dgm:presLayoutVars>
          <dgm:chMax val="1"/>
          <dgm:chPref val="1"/>
          <dgm:bulletEnabled val="1"/>
        </dgm:presLayoutVars>
      </dgm:prSet>
      <dgm:spPr/>
      <dgm:t>
        <a:bodyPr/>
        <a:lstStyle/>
        <a:p>
          <a:endParaRPr lang="en-GB"/>
        </a:p>
      </dgm:t>
    </dgm:pt>
    <dgm:pt modelId="{F8178386-1971-480B-9D3A-2F9BB0647143}" type="pres">
      <dgm:prSet presAssocID="{2BFD9712-44E7-4D6A-8EBB-840DD0E4ACB5}" presName="ChildText" presStyleLbl="revTx" presStyleIdx="0" presStyleCnt="4">
        <dgm:presLayoutVars>
          <dgm:chMax val="0"/>
          <dgm:chPref val="0"/>
          <dgm:bulletEnabled val="1"/>
        </dgm:presLayoutVars>
      </dgm:prSet>
      <dgm:spPr/>
      <dgm:t>
        <a:bodyPr/>
        <a:lstStyle/>
        <a:p>
          <a:endParaRPr lang="en-GB"/>
        </a:p>
      </dgm:t>
    </dgm:pt>
    <dgm:pt modelId="{C5467FF1-10C1-4F76-AF59-8DA6CC4B798B}" type="pres">
      <dgm:prSet presAssocID="{023AA3E7-92B1-4475-A177-F71A6F3716CA}" presName="sibTrans" presStyleCnt="0"/>
      <dgm:spPr/>
    </dgm:pt>
    <dgm:pt modelId="{FB87CF52-F474-4592-95EA-90388989A952}" type="pres">
      <dgm:prSet presAssocID="{DDD162CE-33F6-4330-ABC6-039CB968356E}" presName="composite" presStyleCnt="0"/>
      <dgm:spPr/>
    </dgm:pt>
    <dgm:pt modelId="{A3C22E5B-B789-4F90-A886-6A9B5003DCC1}" type="pres">
      <dgm:prSet presAssocID="{DDD162CE-33F6-4330-ABC6-039CB968356E}" presName="bentUpArrow1" presStyleLbl="alignImgPlace1" presStyleIdx="1" presStyleCnt="4"/>
      <dgm:spPr/>
    </dgm:pt>
    <dgm:pt modelId="{D64413AE-D619-4511-8398-B76952F354C0}" type="pres">
      <dgm:prSet presAssocID="{DDD162CE-33F6-4330-ABC6-039CB968356E}" presName="ParentText" presStyleLbl="node1" presStyleIdx="1" presStyleCnt="5">
        <dgm:presLayoutVars>
          <dgm:chMax val="1"/>
          <dgm:chPref val="1"/>
          <dgm:bulletEnabled val="1"/>
        </dgm:presLayoutVars>
      </dgm:prSet>
      <dgm:spPr/>
      <dgm:t>
        <a:bodyPr/>
        <a:lstStyle/>
        <a:p>
          <a:endParaRPr lang="en-GB"/>
        </a:p>
      </dgm:t>
    </dgm:pt>
    <dgm:pt modelId="{D47674BE-0C92-4D06-8684-089A46FDD6A6}" type="pres">
      <dgm:prSet presAssocID="{DDD162CE-33F6-4330-ABC6-039CB968356E}" presName="ChildText" presStyleLbl="revTx" presStyleIdx="1" presStyleCnt="4">
        <dgm:presLayoutVars>
          <dgm:chMax val="0"/>
          <dgm:chPref val="0"/>
          <dgm:bulletEnabled val="1"/>
        </dgm:presLayoutVars>
      </dgm:prSet>
      <dgm:spPr/>
      <dgm:t>
        <a:bodyPr/>
        <a:lstStyle/>
        <a:p>
          <a:endParaRPr lang="en-GB"/>
        </a:p>
      </dgm:t>
    </dgm:pt>
    <dgm:pt modelId="{981E4031-4D72-4595-BCCA-F042AA2CBFA8}" type="pres">
      <dgm:prSet presAssocID="{1DC3113F-9B73-4780-BA81-D3FB59363562}" presName="sibTrans" presStyleCnt="0"/>
      <dgm:spPr/>
    </dgm:pt>
    <dgm:pt modelId="{84342D5D-C200-440D-AFAE-FFA9B038E8A2}" type="pres">
      <dgm:prSet presAssocID="{15ACD21A-CA18-4958-992E-AD8461618274}" presName="composite" presStyleCnt="0"/>
      <dgm:spPr/>
    </dgm:pt>
    <dgm:pt modelId="{AF87F62E-CEE6-4639-90D4-E2E521FC4F7F}" type="pres">
      <dgm:prSet presAssocID="{15ACD21A-CA18-4958-992E-AD8461618274}" presName="bentUpArrow1" presStyleLbl="alignImgPlace1" presStyleIdx="2" presStyleCnt="4"/>
      <dgm:spPr/>
    </dgm:pt>
    <dgm:pt modelId="{3546441F-6D91-4588-80EC-8184C9DE6F30}" type="pres">
      <dgm:prSet presAssocID="{15ACD21A-CA18-4958-992E-AD8461618274}" presName="ParentText" presStyleLbl="node1" presStyleIdx="2" presStyleCnt="5" custScaleY="128892">
        <dgm:presLayoutVars>
          <dgm:chMax val="1"/>
          <dgm:chPref val="1"/>
          <dgm:bulletEnabled val="1"/>
        </dgm:presLayoutVars>
      </dgm:prSet>
      <dgm:spPr/>
      <dgm:t>
        <a:bodyPr/>
        <a:lstStyle/>
        <a:p>
          <a:endParaRPr lang="en-GB"/>
        </a:p>
      </dgm:t>
    </dgm:pt>
    <dgm:pt modelId="{6E3E4A5B-1965-44D9-ABF0-8A28EC596643}" type="pres">
      <dgm:prSet presAssocID="{15ACD21A-CA18-4958-992E-AD8461618274}" presName="ChildText" presStyleLbl="revTx" presStyleIdx="2" presStyleCnt="4" custLinFactNeighborX="16320" custLinFactNeighborY="1398">
        <dgm:presLayoutVars>
          <dgm:chMax val="0"/>
          <dgm:chPref val="0"/>
          <dgm:bulletEnabled val="1"/>
        </dgm:presLayoutVars>
      </dgm:prSet>
      <dgm:spPr/>
      <dgm:t>
        <a:bodyPr/>
        <a:lstStyle/>
        <a:p>
          <a:endParaRPr lang="en-GB"/>
        </a:p>
      </dgm:t>
    </dgm:pt>
    <dgm:pt modelId="{01EE0ECE-9753-4C1D-BB8B-DFE22067A61B}" type="pres">
      <dgm:prSet presAssocID="{9E562E7D-8F4D-41AB-A3E7-C553F1CCFAE6}" presName="sibTrans" presStyleCnt="0"/>
      <dgm:spPr/>
    </dgm:pt>
    <dgm:pt modelId="{CE757FC0-A9D9-421C-8FCB-A81BC6EEC6E3}" type="pres">
      <dgm:prSet presAssocID="{979F5ED3-C9CB-4347-A6F4-F792C9A66440}" presName="composite" presStyleCnt="0"/>
      <dgm:spPr/>
    </dgm:pt>
    <dgm:pt modelId="{0A1A580D-BBAE-421B-81B0-B7B48AF04B92}" type="pres">
      <dgm:prSet presAssocID="{979F5ED3-C9CB-4347-A6F4-F792C9A66440}" presName="bentUpArrow1" presStyleLbl="alignImgPlace1" presStyleIdx="3" presStyleCnt="4"/>
      <dgm:spPr/>
    </dgm:pt>
    <dgm:pt modelId="{E311BA53-7F27-4ED2-B190-53E42679FA1B}" type="pres">
      <dgm:prSet presAssocID="{979F5ED3-C9CB-4347-A6F4-F792C9A66440}" presName="ParentText" presStyleLbl="node1" presStyleIdx="3" presStyleCnt="5" custScaleY="125908">
        <dgm:presLayoutVars>
          <dgm:chMax val="1"/>
          <dgm:chPref val="1"/>
          <dgm:bulletEnabled val="1"/>
        </dgm:presLayoutVars>
      </dgm:prSet>
      <dgm:spPr/>
      <dgm:t>
        <a:bodyPr/>
        <a:lstStyle/>
        <a:p>
          <a:endParaRPr lang="en-GB"/>
        </a:p>
      </dgm:t>
    </dgm:pt>
    <dgm:pt modelId="{51B76402-6021-4F76-99C3-CC41AF819853}" type="pres">
      <dgm:prSet presAssocID="{979F5ED3-C9CB-4347-A6F4-F792C9A66440}" presName="ChildText" presStyleLbl="revTx" presStyleIdx="3" presStyleCnt="4">
        <dgm:presLayoutVars>
          <dgm:chMax val="0"/>
          <dgm:chPref val="0"/>
          <dgm:bulletEnabled val="1"/>
        </dgm:presLayoutVars>
      </dgm:prSet>
      <dgm:spPr/>
    </dgm:pt>
    <dgm:pt modelId="{CD821060-277E-4772-9BFC-73CCE32E5C84}" type="pres">
      <dgm:prSet presAssocID="{C61ECE97-81C2-46CE-BD29-3A5894A2C530}" presName="sibTrans" presStyleCnt="0"/>
      <dgm:spPr/>
    </dgm:pt>
    <dgm:pt modelId="{07CB6B34-1833-47AC-860C-5D0CC4EA2D08}" type="pres">
      <dgm:prSet presAssocID="{67F67309-3E39-4567-8AD2-884B7740FEED}" presName="composite" presStyleCnt="0"/>
      <dgm:spPr/>
    </dgm:pt>
    <dgm:pt modelId="{D9D3405F-1BD8-4380-91C0-D1B70F9BEF47}" type="pres">
      <dgm:prSet presAssocID="{67F67309-3E39-4567-8AD2-884B7740FEED}" presName="ParentText" presStyleLbl="node1" presStyleIdx="4" presStyleCnt="5">
        <dgm:presLayoutVars>
          <dgm:chMax val="1"/>
          <dgm:chPref val="1"/>
          <dgm:bulletEnabled val="1"/>
        </dgm:presLayoutVars>
      </dgm:prSet>
      <dgm:spPr/>
      <dgm:t>
        <a:bodyPr/>
        <a:lstStyle/>
        <a:p>
          <a:endParaRPr lang="en-GB"/>
        </a:p>
      </dgm:t>
    </dgm:pt>
  </dgm:ptLst>
  <dgm:cxnLst>
    <dgm:cxn modelId="{20DD13B9-C3A5-4132-A0A9-8F49EFFF078C}" srcId="{78BF45AF-9D08-4A1F-BFB4-DB6D88A47D58}" destId="{979F5ED3-C9CB-4347-A6F4-F792C9A66440}" srcOrd="3" destOrd="0" parTransId="{3F9038EB-9796-4CB1-94BE-64D095740308}" sibTransId="{C61ECE97-81C2-46CE-BD29-3A5894A2C530}"/>
    <dgm:cxn modelId="{1DFA63A7-C259-416F-A9CC-DB08BB81F5B3}" type="presOf" srcId="{979F5ED3-C9CB-4347-A6F4-F792C9A66440}" destId="{E311BA53-7F27-4ED2-B190-53E42679FA1B}" srcOrd="0" destOrd="0" presId="urn:microsoft.com/office/officeart/2005/8/layout/StepDownProcess"/>
    <dgm:cxn modelId="{CFB4BF7A-0501-450B-84C5-D7E15A9D54C1}" type="presOf" srcId="{BAA6D5BD-D012-4C66-B3D1-5444525404C9}" destId="{F8178386-1971-480B-9D3A-2F9BB0647143}" srcOrd="0" destOrd="0" presId="urn:microsoft.com/office/officeart/2005/8/layout/StepDownProcess"/>
    <dgm:cxn modelId="{E73DA3DC-8C3B-4A5C-8295-58A24C0268D9}" type="presOf" srcId="{15ACD21A-CA18-4958-992E-AD8461618274}" destId="{3546441F-6D91-4588-80EC-8184C9DE6F30}" srcOrd="0" destOrd="0" presId="urn:microsoft.com/office/officeart/2005/8/layout/StepDownProcess"/>
    <dgm:cxn modelId="{0ADCD3C3-46A6-4662-AD2B-AE72D0DA99AE}" type="presOf" srcId="{2BFD9712-44E7-4D6A-8EBB-840DD0E4ACB5}" destId="{24EA528D-6AF0-40FF-8D6B-E312C26DEAC3}" srcOrd="0" destOrd="0" presId="urn:microsoft.com/office/officeart/2005/8/layout/StepDownProcess"/>
    <dgm:cxn modelId="{4F96B66F-0FAF-4050-B61C-BE88E579AEAA}" type="presOf" srcId="{DDD162CE-33F6-4330-ABC6-039CB968356E}" destId="{D64413AE-D619-4511-8398-B76952F354C0}" srcOrd="0" destOrd="0" presId="urn:microsoft.com/office/officeart/2005/8/layout/StepDownProcess"/>
    <dgm:cxn modelId="{00D66FC8-56ED-41B6-9B4A-9ADE0C0761D2}" srcId="{78BF45AF-9D08-4A1F-BFB4-DB6D88A47D58}" destId="{15ACD21A-CA18-4958-992E-AD8461618274}" srcOrd="2" destOrd="0" parTransId="{F9CCD307-0DEB-488E-AD32-B32DA237ACB3}" sibTransId="{9E562E7D-8F4D-41AB-A3E7-C553F1CCFAE6}"/>
    <dgm:cxn modelId="{FCDBEC7D-5788-420A-8300-D8874D3D0164}" type="presOf" srcId="{78BF45AF-9D08-4A1F-BFB4-DB6D88A47D58}" destId="{FB03A0BD-722D-4D71-970A-1559FF2CF828}" srcOrd="0" destOrd="0" presId="urn:microsoft.com/office/officeart/2005/8/layout/StepDownProcess"/>
    <dgm:cxn modelId="{E5830937-DECD-4546-AC4B-151216B2A559}" srcId="{78BF45AF-9D08-4A1F-BFB4-DB6D88A47D58}" destId="{DDD162CE-33F6-4330-ABC6-039CB968356E}" srcOrd="1" destOrd="0" parTransId="{B3507EF2-8165-476D-BC96-220849891EA9}" sibTransId="{1DC3113F-9B73-4780-BA81-D3FB59363562}"/>
    <dgm:cxn modelId="{759445CD-E69C-4E59-925D-5C7ECEFD64A8}" type="presOf" srcId="{39711889-FE40-442A-9FDE-6801B308270B}" destId="{D47674BE-0C92-4D06-8684-089A46FDD6A6}" srcOrd="0" destOrd="0" presId="urn:microsoft.com/office/officeart/2005/8/layout/StepDownProcess"/>
    <dgm:cxn modelId="{7F9AC7DE-13D1-4500-A695-8442C7515754}" srcId="{2BFD9712-44E7-4D6A-8EBB-840DD0E4ACB5}" destId="{BAA6D5BD-D012-4C66-B3D1-5444525404C9}" srcOrd="0" destOrd="0" parTransId="{DE4A1467-6C5F-488A-9085-0B7F62EFF583}" sibTransId="{1F17D0D7-696E-4F5F-B7A8-AD4DE7CD5EA7}"/>
    <dgm:cxn modelId="{E2272BDD-36BB-41EB-B8A7-7E8CAD865B96}" srcId="{15ACD21A-CA18-4958-992E-AD8461618274}" destId="{2726AA11-491A-4886-9915-03D98009D8DD}" srcOrd="0" destOrd="0" parTransId="{F1E7CC85-0EA6-4B23-BA83-AB4475521A2F}" sibTransId="{6D3B8542-0D40-49D8-AD73-01F066FD3E2A}"/>
    <dgm:cxn modelId="{8B6184A1-DC59-45CA-B029-5933C37035F6}" srcId="{78BF45AF-9D08-4A1F-BFB4-DB6D88A47D58}" destId="{67F67309-3E39-4567-8AD2-884B7740FEED}" srcOrd="4" destOrd="0" parTransId="{1AE18B00-1AE6-4995-9EAB-BF5A6AA4F74D}" sibTransId="{622BEF19-CBA0-4A24-8B97-4F990D2E0119}"/>
    <dgm:cxn modelId="{3AD9C542-1D64-4CC9-AF91-FA19828AFF1F}" type="presOf" srcId="{67F67309-3E39-4567-8AD2-884B7740FEED}" destId="{D9D3405F-1BD8-4380-91C0-D1B70F9BEF47}" srcOrd="0" destOrd="0" presId="urn:microsoft.com/office/officeart/2005/8/layout/StepDownProcess"/>
    <dgm:cxn modelId="{3432FFCC-4EC0-4850-9FEB-F72AB4992CC4}" srcId="{78BF45AF-9D08-4A1F-BFB4-DB6D88A47D58}" destId="{2BFD9712-44E7-4D6A-8EBB-840DD0E4ACB5}" srcOrd="0" destOrd="0" parTransId="{342D385D-D16A-4725-A3D7-B95B3F926769}" sibTransId="{023AA3E7-92B1-4475-A177-F71A6F3716CA}"/>
    <dgm:cxn modelId="{36675868-2274-445B-A5F9-07D096D0069D}" srcId="{DDD162CE-33F6-4330-ABC6-039CB968356E}" destId="{39711889-FE40-442A-9FDE-6801B308270B}" srcOrd="0" destOrd="0" parTransId="{6AD414B6-0031-45EF-9DC4-581874161907}" sibTransId="{5E89B53E-BC8D-4EAE-9848-6409CAB01C0E}"/>
    <dgm:cxn modelId="{4019118C-E89D-402E-9805-42B25EAA6F29}" type="presOf" srcId="{2726AA11-491A-4886-9915-03D98009D8DD}" destId="{6E3E4A5B-1965-44D9-ABF0-8A28EC596643}" srcOrd="0" destOrd="0" presId="urn:microsoft.com/office/officeart/2005/8/layout/StepDownProcess"/>
    <dgm:cxn modelId="{C5491054-F297-45A0-AB62-1FB4AC8ED8B5}" type="presParOf" srcId="{FB03A0BD-722D-4D71-970A-1559FF2CF828}" destId="{D48AF8E7-187B-42C7-A84A-0560F30CA600}" srcOrd="0" destOrd="0" presId="urn:microsoft.com/office/officeart/2005/8/layout/StepDownProcess"/>
    <dgm:cxn modelId="{39F8EFD0-A198-4BCD-A393-94BC78EE630D}" type="presParOf" srcId="{D48AF8E7-187B-42C7-A84A-0560F30CA600}" destId="{F93F9E58-8A07-4A7D-8049-DEE5165B4E8C}" srcOrd="0" destOrd="0" presId="urn:microsoft.com/office/officeart/2005/8/layout/StepDownProcess"/>
    <dgm:cxn modelId="{4470438D-132F-4988-85B7-C7F66A3726AC}" type="presParOf" srcId="{D48AF8E7-187B-42C7-A84A-0560F30CA600}" destId="{24EA528D-6AF0-40FF-8D6B-E312C26DEAC3}" srcOrd="1" destOrd="0" presId="urn:microsoft.com/office/officeart/2005/8/layout/StepDownProcess"/>
    <dgm:cxn modelId="{63C7F3F8-920A-4CE8-9671-327DEC4FDF19}" type="presParOf" srcId="{D48AF8E7-187B-42C7-A84A-0560F30CA600}" destId="{F8178386-1971-480B-9D3A-2F9BB0647143}" srcOrd="2" destOrd="0" presId="urn:microsoft.com/office/officeart/2005/8/layout/StepDownProcess"/>
    <dgm:cxn modelId="{D4453EE9-6756-429E-ADCD-3230E9A5802F}" type="presParOf" srcId="{FB03A0BD-722D-4D71-970A-1559FF2CF828}" destId="{C5467FF1-10C1-4F76-AF59-8DA6CC4B798B}" srcOrd="1" destOrd="0" presId="urn:microsoft.com/office/officeart/2005/8/layout/StepDownProcess"/>
    <dgm:cxn modelId="{C2BD0902-12CC-4FF2-95D9-2DCC7B01C206}" type="presParOf" srcId="{FB03A0BD-722D-4D71-970A-1559FF2CF828}" destId="{FB87CF52-F474-4592-95EA-90388989A952}" srcOrd="2" destOrd="0" presId="urn:microsoft.com/office/officeart/2005/8/layout/StepDownProcess"/>
    <dgm:cxn modelId="{B41C1CA8-4844-4E59-BF06-F8D56F469AB5}" type="presParOf" srcId="{FB87CF52-F474-4592-95EA-90388989A952}" destId="{A3C22E5B-B789-4F90-A886-6A9B5003DCC1}" srcOrd="0" destOrd="0" presId="urn:microsoft.com/office/officeart/2005/8/layout/StepDownProcess"/>
    <dgm:cxn modelId="{707D1FD1-D73B-4655-ADA2-2DA064AF02C7}" type="presParOf" srcId="{FB87CF52-F474-4592-95EA-90388989A952}" destId="{D64413AE-D619-4511-8398-B76952F354C0}" srcOrd="1" destOrd="0" presId="urn:microsoft.com/office/officeart/2005/8/layout/StepDownProcess"/>
    <dgm:cxn modelId="{8C906903-3EFC-4712-9AD0-B3EBC68252EC}" type="presParOf" srcId="{FB87CF52-F474-4592-95EA-90388989A952}" destId="{D47674BE-0C92-4D06-8684-089A46FDD6A6}" srcOrd="2" destOrd="0" presId="urn:microsoft.com/office/officeart/2005/8/layout/StepDownProcess"/>
    <dgm:cxn modelId="{0E57FCCC-E35A-4BD8-9E46-910F15F8AD69}" type="presParOf" srcId="{FB03A0BD-722D-4D71-970A-1559FF2CF828}" destId="{981E4031-4D72-4595-BCCA-F042AA2CBFA8}" srcOrd="3" destOrd="0" presId="urn:microsoft.com/office/officeart/2005/8/layout/StepDownProcess"/>
    <dgm:cxn modelId="{76D4493B-159D-4F4A-816C-1DDBEF0C0F68}" type="presParOf" srcId="{FB03A0BD-722D-4D71-970A-1559FF2CF828}" destId="{84342D5D-C200-440D-AFAE-FFA9B038E8A2}" srcOrd="4" destOrd="0" presId="urn:microsoft.com/office/officeart/2005/8/layout/StepDownProcess"/>
    <dgm:cxn modelId="{FF905C10-F9CC-4DF7-9844-C4ACADBBE2FD}" type="presParOf" srcId="{84342D5D-C200-440D-AFAE-FFA9B038E8A2}" destId="{AF87F62E-CEE6-4639-90D4-E2E521FC4F7F}" srcOrd="0" destOrd="0" presId="urn:microsoft.com/office/officeart/2005/8/layout/StepDownProcess"/>
    <dgm:cxn modelId="{B1914118-75E8-45CE-9F3B-E675C2540A1B}" type="presParOf" srcId="{84342D5D-C200-440D-AFAE-FFA9B038E8A2}" destId="{3546441F-6D91-4588-80EC-8184C9DE6F30}" srcOrd="1" destOrd="0" presId="urn:microsoft.com/office/officeart/2005/8/layout/StepDownProcess"/>
    <dgm:cxn modelId="{6EA8AB4D-9C82-4CA7-95AF-BBE83217FB76}" type="presParOf" srcId="{84342D5D-C200-440D-AFAE-FFA9B038E8A2}" destId="{6E3E4A5B-1965-44D9-ABF0-8A28EC596643}" srcOrd="2" destOrd="0" presId="urn:microsoft.com/office/officeart/2005/8/layout/StepDownProcess"/>
    <dgm:cxn modelId="{D1633DBD-BD1E-4B1E-A8CC-476DA6475086}" type="presParOf" srcId="{FB03A0BD-722D-4D71-970A-1559FF2CF828}" destId="{01EE0ECE-9753-4C1D-BB8B-DFE22067A61B}" srcOrd="5" destOrd="0" presId="urn:microsoft.com/office/officeart/2005/8/layout/StepDownProcess"/>
    <dgm:cxn modelId="{A6539281-BF2C-4E4C-9404-4809BDD9592B}" type="presParOf" srcId="{FB03A0BD-722D-4D71-970A-1559FF2CF828}" destId="{CE757FC0-A9D9-421C-8FCB-A81BC6EEC6E3}" srcOrd="6" destOrd="0" presId="urn:microsoft.com/office/officeart/2005/8/layout/StepDownProcess"/>
    <dgm:cxn modelId="{18E4A4B0-BF7D-4A30-9F1B-C9FF4DCF1414}" type="presParOf" srcId="{CE757FC0-A9D9-421C-8FCB-A81BC6EEC6E3}" destId="{0A1A580D-BBAE-421B-81B0-B7B48AF04B92}" srcOrd="0" destOrd="0" presId="urn:microsoft.com/office/officeart/2005/8/layout/StepDownProcess"/>
    <dgm:cxn modelId="{94026C8B-C896-4624-A156-D1A13285D458}" type="presParOf" srcId="{CE757FC0-A9D9-421C-8FCB-A81BC6EEC6E3}" destId="{E311BA53-7F27-4ED2-B190-53E42679FA1B}" srcOrd="1" destOrd="0" presId="urn:microsoft.com/office/officeart/2005/8/layout/StepDownProcess"/>
    <dgm:cxn modelId="{1E971BFB-4E34-41F9-880D-C6346F435D5F}" type="presParOf" srcId="{CE757FC0-A9D9-421C-8FCB-A81BC6EEC6E3}" destId="{51B76402-6021-4F76-99C3-CC41AF819853}" srcOrd="2" destOrd="0" presId="urn:microsoft.com/office/officeart/2005/8/layout/StepDownProcess"/>
    <dgm:cxn modelId="{464949F4-8509-4808-B2BB-FE20E9224E94}" type="presParOf" srcId="{FB03A0BD-722D-4D71-970A-1559FF2CF828}" destId="{CD821060-277E-4772-9BFC-73CCE32E5C84}" srcOrd="7" destOrd="0" presId="urn:microsoft.com/office/officeart/2005/8/layout/StepDownProcess"/>
    <dgm:cxn modelId="{164AA85D-1BAD-4F14-97C7-B29659D19E2C}" type="presParOf" srcId="{FB03A0BD-722D-4D71-970A-1559FF2CF828}" destId="{07CB6B34-1833-47AC-860C-5D0CC4EA2D08}" srcOrd="8" destOrd="0" presId="urn:microsoft.com/office/officeart/2005/8/layout/StepDownProcess"/>
    <dgm:cxn modelId="{2CC2C051-2034-4F93-80AA-9DA22D92D93B}" type="presParOf" srcId="{07CB6B34-1833-47AC-860C-5D0CC4EA2D08}" destId="{D9D3405F-1BD8-4380-91C0-D1B70F9BEF47}" srcOrd="0"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F9E58-8A07-4A7D-8049-DEE5165B4E8C}">
      <dsp:nvSpPr>
        <dsp:cNvPr id="0" name=""/>
        <dsp:cNvSpPr/>
      </dsp:nvSpPr>
      <dsp:spPr>
        <a:xfrm rot="5400000">
          <a:off x="741132" y="690554"/>
          <a:ext cx="600802" cy="683991"/>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EA528D-6AF0-40FF-8D6B-E312C26DEAC3}">
      <dsp:nvSpPr>
        <dsp:cNvPr id="0" name=""/>
        <dsp:cNvSpPr/>
      </dsp:nvSpPr>
      <dsp:spPr>
        <a:xfrm>
          <a:off x="581956" y="24553"/>
          <a:ext cx="1011397" cy="707945"/>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Compte-rendu de l'atelier</a:t>
          </a:r>
        </a:p>
        <a:p>
          <a:pPr lvl="0" algn="ctr" defTabSz="466725">
            <a:lnSpc>
              <a:spcPct val="90000"/>
            </a:lnSpc>
            <a:spcBef>
              <a:spcPct val="0"/>
            </a:spcBef>
            <a:spcAft>
              <a:spcPct val="35000"/>
            </a:spcAft>
          </a:pPr>
          <a:r>
            <a:rPr lang="en-GB" sz="1050" kern="1200"/>
            <a:t>30 septembre</a:t>
          </a:r>
        </a:p>
      </dsp:txBody>
      <dsp:txXfrm>
        <a:off x="616521" y="59118"/>
        <a:ext cx="942267" cy="638815"/>
      </dsp:txXfrm>
    </dsp:sp>
    <dsp:sp modelId="{F8178386-1971-480B-9D3A-2F9BB0647143}">
      <dsp:nvSpPr>
        <dsp:cNvPr id="0" name=""/>
        <dsp:cNvSpPr/>
      </dsp:nvSpPr>
      <dsp:spPr>
        <a:xfrm>
          <a:off x="1593353" y="92072"/>
          <a:ext cx="735593" cy="572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GB" sz="1000" kern="1200"/>
            <a:t>Secrétariat</a:t>
          </a:r>
        </a:p>
      </dsp:txBody>
      <dsp:txXfrm>
        <a:off x="1593353" y="92072"/>
        <a:ext cx="735593" cy="572192"/>
      </dsp:txXfrm>
    </dsp:sp>
    <dsp:sp modelId="{A3C22E5B-B789-4F90-A886-6A9B5003DCC1}">
      <dsp:nvSpPr>
        <dsp:cNvPr id="0" name=""/>
        <dsp:cNvSpPr/>
      </dsp:nvSpPr>
      <dsp:spPr>
        <a:xfrm rot="5400000">
          <a:off x="1579687" y="1485810"/>
          <a:ext cx="600802" cy="683991"/>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4413AE-D619-4511-8398-B76952F354C0}">
      <dsp:nvSpPr>
        <dsp:cNvPr id="0" name=""/>
        <dsp:cNvSpPr/>
      </dsp:nvSpPr>
      <dsp:spPr>
        <a:xfrm>
          <a:off x="1420511" y="819809"/>
          <a:ext cx="1011397" cy="707945"/>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Publication de l'appel à propositions</a:t>
          </a:r>
        </a:p>
        <a:p>
          <a:pPr lvl="0" algn="ctr" defTabSz="466725">
            <a:lnSpc>
              <a:spcPct val="90000"/>
            </a:lnSpc>
            <a:spcBef>
              <a:spcPct val="0"/>
            </a:spcBef>
            <a:spcAft>
              <a:spcPct val="35000"/>
            </a:spcAft>
          </a:pPr>
          <a:r>
            <a:rPr lang="en-GB" sz="1050" kern="1200"/>
            <a:t>1 octobre</a:t>
          </a:r>
        </a:p>
      </dsp:txBody>
      <dsp:txXfrm>
        <a:off x="1455076" y="854374"/>
        <a:ext cx="942267" cy="638815"/>
      </dsp:txXfrm>
    </dsp:sp>
    <dsp:sp modelId="{D47674BE-0C92-4D06-8684-089A46FDD6A6}">
      <dsp:nvSpPr>
        <dsp:cNvPr id="0" name=""/>
        <dsp:cNvSpPr/>
      </dsp:nvSpPr>
      <dsp:spPr>
        <a:xfrm>
          <a:off x="2431908" y="887328"/>
          <a:ext cx="735593" cy="572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GB" sz="1000" kern="1200"/>
            <a:t>UE</a:t>
          </a:r>
        </a:p>
      </dsp:txBody>
      <dsp:txXfrm>
        <a:off x="2431908" y="887328"/>
        <a:ext cx="735593" cy="572192"/>
      </dsp:txXfrm>
    </dsp:sp>
    <dsp:sp modelId="{AF87F62E-CEE6-4639-90D4-E2E521FC4F7F}">
      <dsp:nvSpPr>
        <dsp:cNvPr id="0" name=""/>
        <dsp:cNvSpPr/>
      </dsp:nvSpPr>
      <dsp:spPr>
        <a:xfrm rot="5400000">
          <a:off x="2418243" y="2383336"/>
          <a:ext cx="600802" cy="683991"/>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46441F-6D91-4588-80EC-8184C9DE6F30}">
      <dsp:nvSpPr>
        <dsp:cNvPr id="0" name=""/>
        <dsp:cNvSpPr/>
      </dsp:nvSpPr>
      <dsp:spPr>
        <a:xfrm>
          <a:off x="2259067" y="1615065"/>
          <a:ext cx="1011397" cy="912484"/>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Lignes directrices relatives aux plans d'action nationaux</a:t>
          </a:r>
        </a:p>
        <a:p>
          <a:pPr lvl="0" algn="ctr" defTabSz="466725">
            <a:lnSpc>
              <a:spcPct val="90000"/>
            </a:lnSpc>
            <a:spcBef>
              <a:spcPct val="0"/>
            </a:spcBef>
            <a:spcAft>
              <a:spcPct val="35000"/>
            </a:spcAft>
          </a:pPr>
          <a:r>
            <a:rPr lang="en-GB" sz="1050" kern="1200"/>
            <a:t>7 octobre</a:t>
          </a:r>
        </a:p>
      </dsp:txBody>
      <dsp:txXfrm>
        <a:off x="2303619" y="1659617"/>
        <a:ext cx="922293" cy="823380"/>
      </dsp:txXfrm>
    </dsp:sp>
    <dsp:sp modelId="{6E3E4A5B-1965-44D9-ABF0-8A28EC596643}">
      <dsp:nvSpPr>
        <dsp:cNvPr id="0" name=""/>
        <dsp:cNvSpPr/>
      </dsp:nvSpPr>
      <dsp:spPr>
        <a:xfrm>
          <a:off x="3390513" y="1792853"/>
          <a:ext cx="735593" cy="572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GB" sz="1000" kern="1200"/>
            <a:t>Secrétariat</a:t>
          </a:r>
        </a:p>
      </dsp:txBody>
      <dsp:txXfrm>
        <a:off x="3390513" y="1792853"/>
        <a:ext cx="735593" cy="572192"/>
      </dsp:txXfrm>
    </dsp:sp>
    <dsp:sp modelId="{0A1A580D-BBAE-421B-81B0-B7B48AF04B92}">
      <dsp:nvSpPr>
        <dsp:cNvPr id="0" name=""/>
        <dsp:cNvSpPr/>
      </dsp:nvSpPr>
      <dsp:spPr>
        <a:xfrm rot="5400000">
          <a:off x="3256799" y="3270299"/>
          <a:ext cx="600802" cy="683991"/>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11BA53-7F27-4ED2-B190-53E42679FA1B}">
      <dsp:nvSpPr>
        <dsp:cNvPr id="0" name=""/>
        <dsp:cNvSpPr/>
      </dsp:nvSpPr>
      <dsp:spPr>
        <a:xfrm>
          <a:off x="3097623" y="2512591"/>
          <a:ext cx="1011397" cy="891359"/>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Soumission des projets de plans d'action nationaux à Bruxelles</a:t>
          </a:r>
        </a:p>
        <a:p>
          <a:pPr lvl="0" algn="ctr" defTabSz="466725">
            <a:lnSpc>
              <a:spcPct val="90000"/>
            </a:lnSpc>
            <a:spcBef>
              <a:spcPct val="0"/>
            </a:spcBef>
            <a:spcAft>
              <a:spcPct val="35000"/>
            </a:spcAft>
          </a:pPr>
          <a:r>
            <a:rPr lang="en-GB" sz="1050" kern="1200"/>
            <a:t>31 octobre</a:t>
          </a:r>
          <a:endParaRPr lang="en-GB" sz="1400" kern="1200"/>
        </a:p>
      </dsp:txBody>
      <dsp:txXfrm>
        <a:off x="3141143" y="2556111"/>
        <a:ext cx="924357" cy="804319"/>
      </dsp:txXfrm>
    </dsp:sp>
    <dsp:sp modelId="{51B76402-6021-4F76-99C3-CC41AF819853}">
      <dsp:nvSpPr>
        <dsp:cNvPr id="0" name=""/>
        <dsp:cNvSpPr/>
      </dsp:nvSpPr>
      <dsp:spPr>
        <a:xfrm>
          <a:off x="4109020" y="2671817"/>
          <a:ext cx="735593" cy="572192"/>
        </a:xfrm>
        <a:prstGeom prst="rect">
          <a:avLst/>
        </a:prstGeom>
        <a:noFill/>
        <a:ln>
          <a:noFill/>
        </a:ln>
        <a:effectLst/>
      </dsp:spPr>
      <dsp:style>
        <a:lnRef idx="0">
          <a:scrgbClr r="0" g="0" b="0"/>
        </a:lnRef>
        <a:fillRef idx="0">
          <a:scrgbClr r="0" g="0" b="0"/>
        </a:fillRef>
        <a:effectRef idx="0">
          <a:scrgbClr r="0" g="0" b="0"/>
        </a:effectRef>
        <a:fontRef idx="minor"/>
      </dsp:style>
    </dsp:sp>
    <dsp:sp modelId="{D9D3405F-1BD8-4380-91C0-D1B70F9BEF47}">
      <dsp:nvSpPr>
        <dsp:cNvPr id="0" name=""/>
        <dsp:cNvSpPr/>
      </dsp:nvSpPr>
      <dsp:spPr>
        <a:xfrm>
          <a:off x="3936178" y="3399554"/>
          <a:ext cx="1011397" cy="707945"/>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Projet de note de concept </a:t>
          </a:r>
        </a:p>
        <a:p>
          <a:pPr lvl="0" algn="ctr" defTabSz="466725">
            <a:lnSpc>
              <a:spcPct val="90000"/>
            </a:lnSpc>
            <a:spcBef>
              <a:spcPct val="0"/>
            </a:spcBef>
            <a:spcAft>
              <a:spcPct val="35000"/>
            </a:spcAft>
          </a:pPr>
          <a:r>
            <a:rPr lang="en-GB" sz="1050" kern="1200"/>
            <a:t>15 novembre</a:t>
          </a:r>
        </a:p>
      </dsp:txBody>
      <dsp:txXfrm>
        <a:off x="3970743" y="3434119"/>
        <a:ext cx="942267" cy="63881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DC18-EE58-49D8-B973-3722109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2760</Words>
  <Characters>15186</Characters>
  <Application>Microsoft Office Word</Application>
  <DocSecurity>0</DocSecurity>
  <Lines>126</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International Trade Union Confederation</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3</cp:revision>
  <cp:lastPrinted>2012-01-11T15:20:00Z</cp:lastPrinted>
  <dcterms:created xsi:type="dcterms:W3CDTF">2013-10-11T08:19:00Z</dcterms:created>
  <dcterms:modified xsi:type="dcterms:W3CDTF">2013-10-11T08:20:00Z</dcterms:modified>
</cp:coreProperties>
</file>