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3733" w14:textId="26495DE3" w:rsidR="007B0A6D" w:rsidRPr="00CD797F" w:rsidRDefault="00CD797F" w:rsidP="00AC38B1">
      <w:pPr>
        <w:spacing w:line="280" w:lineRule="auto"/>
        <w:jc w:val="center"/>
        <w:rPr>
          <w:rFonts w:ascii="Cambria" w:hAnsi="Cambria"/>
          <w:b/>
          <w:color w:val="C00000"/>
          <w:sz w:val="32"/>
          <w:szCs w:val="32"/>
        </w:rPr>
      </w:pPr>
      <w:bookmarkStart w:id="0" w:name="_GoBack"/>
      <w:bookmarkEnd w:id="0"/>
      <w:r w:rsidRPr="00CD797F">
        <w:rPr>
          <w:rFonts w:ascii="Cambria" w:hAnsi="Cambria"/>
          <w:b/>
          <w:color w:val="C00000"/>
          <w:sz w:val="32"/>
          <w:szCs w:val="32"/>
        </w:rPr>
        <w:t>L</w:t>
      </w:r>
      <w:r w:rsidR="007B0A6D" w:rsidRPr="00CD797F">
        <w:rPr>
          <w:rFonts w:ascii="Cambria" w:hAnsi="Cambria"/>
          <w:b/>
          <w:color w:val="C00000"/>
          <w:sz w:val="32"/>
          <w:szCs w:val="32"/>
        </w:rPr>
        <w:t>a responsabilité du secteur privé dans le domaine du développement</w:t>
      </w:r>
    </w:p>
    <w:p w14:paraId="6B025E9D" w14:textId="60CD5F64" w:rsidR="007B0A6D" w:rsidRPr="00CD797F" w:rsidRDefault="007B0A6D" w:rsidP="00AC38B1">
      <w:pPr>
        <w:spacing w:line="280" w:lineRule="auto"/>
        <w:jc w:val="center"/>
        <w:rPr>
          <w:rFonts w:ascii="Cambria" w:hAnsi="Cambria"/>
          <w:b/>
          <w:color w:val="C00000"/>
          <w:sz w:val="32"/>
          <w:szCs w:val="32"/>
        </w:rPr>
      </w:pPr>
      <w:r w:rsidRPr="00CD797F">
        <w:rPr>
          <w:rFonts w:ascii="Cambria" w:hAnsi="Cambria"/>
          <w:b/>
          <w:color w:val="C00000"/>
          <w:sz w:val="32"/>
          <w:szCs w:val="32"/>
        </w:rPr>
        <w:t>Termes de référence -TR (projet)</w:t>
      </w:r>
    </w:p>
    <w:p w14:paraId="54F4AAFD" w14:textId="77777777" w:rsidR="007B0A6D" w:rsidRPr="00CD797F" w:rsidRDefault="007B0A6D" w:rsidP="007B0A6D">
      <w:pPr>
        <w:spacing w:line="280" w:lineRule="auto"/>
        <w:jc w:val="both"/>
        <w:rPr>
          <w:rFonts w:ascii="Cambria" w:hAnsi="Cambria"/>
          <w:i/>
          <w:color w:val="000000"/>
          <w:sz w:val="24"/>
          <w:szCs w:val="24"/>
        </w:rPr>
      </w:pPr>
      <w:r w:rsidRPr="00CD797F">
        <w:rPr>
          <w:rFonts w:ascii="Cambria" w:hAnsi="Cambria"/>
          <w:i/>
          <w:color w:val="000000"/>
          <w:sz w:val="24"/>
          <w:szCs w:val="24"/>
        </w:rPr>
        <w:t>Contexte</w:t>
      </w:r>
    </w:p>
    <w:p w14:paraId="3D22417A" w14:textId="16F080BF" w:rsidR="007B0A6D" w:rsidRPr="00CD797F" w:rsidRDefault="007B0A6D" w:rsidP="007B0A6D">
      <w:pPr>
        <w:spacing w:line="280" w:lineRule="auto"/>
        <w:jc w:val="both"/>
        <w:rPr>
          <w:rFonts w:ascii="Cambria" w:hAnsi="Cambria"/>
          <w:color w:val="000000"/>
          <w:sz w:val="24"/>
          <w:szCs w:val="24"/>
        </w:rPr>
      </w:pPr>
      <w:r w:rsidRPr="00CD797F">
        <w:rPr>
          <w:rFonts w:ascii="Cambria" w:hAnsi="Cambria"/>
          <w:color w:val="000000"/>
          <w:sz w:val="24"/>
          <w:szCs w:val="24"/>
        </w:rPr>
        <w:t xml:space="preserve">Récemment, le secteur privé a eu tendance à être considéré comme un acteur important en tant que moteur de croissance économique et, par extension, en tant que moteur des processus de développement. En plus du PMCED, le rôle du secteur privé trouve un écho dans tous les forums de développement comme, notamment, au sein du processus ODD, à l’OCDE, au niveau de l’UE et des agences internationales, de même que chez les gouvernements donateurs. Une proportion croissante de l’APD (Aide publique au développement) traditionnelle est affectée au bénéfice d’investissements internationaux du secteur privé (IDE) dans les pays en développement. Ceci fait naître des préoccupations concernant la responsabilité (fondée sur les droits humains), la transparence fiscale et, en dernier lieu mais non des moindres, concernant l’appropriation des résultats. </w:t>
      </w:r>
    </w:p>
    <w:p w14:paraId="6636B2DE" w14:textId="77777777" w:rsidR="007B0A6D" w:rsidRPr="00CD797F" w:rsidRDefault="007B0A6D" w:rsidP="007B0A6D">
      <w:pPr>
        <w:spacing w:line="280" w:lineRule="auto"/>
        <w:jc w:val="both"/>
        <w:rPr>
          <w:rFonts w:ascii="Cambria" w:hAnsi="Cambria"/>
          <w:i/>
          <w:color w:val="000000"/>
          <w:sz w:val="24"/>
          <w:szCs w:val="24"/>
        </w:rPr>
      </w:pPr>
      <w:r w:rsidRPr="00CD797F">
        <w:rPr>
          <w:rFonts w:ascii="Cambria" w:hAnsi="Cambria"/>
          <w:i/>
          <w:color w:val="000000"/>
          <w:sz w:val="24"/>
          <w:szCs w:val="24"/>
        </w:rPr>
        <w:t xml:space="preserve">Objectifs et structure de l’Étude </w:t>
      </w:r>
    </w:p>
    <w:p w14:paraId="5B78EEC6" w14:textId="330FCD5B" w:rsidR="007B0A6D" w:rsidRPr="00CD797F" w:rsidRDefault="00CD797F" w:rsidP="007B0A6D">
      <w:pPr>
        <w:spacing w:line="280" w:lineRule="auto"/>
        <w:jc w:val="both"/>
        <w:rPr>
          <w:rFonts w:ascii="Cambria" w:hAnsi="Cambria"/>
          <w:color w:val="000000"/>
          <w:sz w:val="24"/>
          <w:szCs w:val="24"/>
        </w:rPr>
      </w:pPr>
      <w:r w:rsidRPr="00CD797F">
        <w:rPr>
          <w:rFonts w:ascii="Cambria" w:hAnsi="Cambria"/>
          <w:color w:val="000000"/>
          <w:sz w:val="24"/>
          <w:szCs w:val="24"/>
        </w:rPr>
        <w:t xml:space="preserve">L’objectif de la recherche est de réaliser des études des cas au niveau national. </w:t>
      </w:r>
      <w:r w:rsidR="007B0A6D" w:rsidRPr="00CD797F">
        <w:rPr>
          <w:rFonts w:ascii="Cambria" w:hAnsi="Cambria"/>
          <w:color w:val="000000"/>
          <w:sz w:val="24"/>
          <w:szCs w:val="24"/>
        </w:rPr>
        <w:t xml:space="preserve">L’étude </w:t>
      </w:r>
      <w:r w:rsidRPr="00CD797F">
        <w:rPr>
          <w:rFonts w:ascii="Cambria" w:hAnsi="Cambria"/>
          <w:color w:val="000000"/>
          <w:sz w:val="24"/>
          <w:szCs w:val="24"/>
        </w:rPr>
        <w:t xml:space="preserve">(en suivant la publication de « Business </w:t>
      </w:r>
      <w:proofErr w:type="spellStart"/>
      <w:r w:rsidRPr="00CD797F">
        <w:rPr>
          <w:rFonts w:ascii="Cambria" w:hAnsi="Cambria"/>
          <w:color w:val="000000"/>
          <w:sz w:val="24"/>
          <w:szCs w:val="24"/>
        </w:rPr>
        <w:t>Accountability</w:t>
      </w:r>
      <w:proofErr w:type="spellEnd"/>
      <w:r w:rsidRPr="00CD797F">
        <w:rPr>
          <w:rFonts w:ascii="Cambria" w:hAnsi="Cambria"/>
          <w:color w:val="000000"/>
          <w:sz w:val="24"/>
          <w:szCs w:val="24"/>
        </w:rPr>
        <w:t xml:space="preserve"> FOR </w:t>
      </w:r>
      <w:proofErr w:type="spellStart"/>
      <w:r w:rsidRPr="00CD797F">
        <w:rPr>
          <w:rFonts w:ascii="Cambria" w:hAnsi="Cambria"/>
          <w:color w:val="000000"/>
          <w:sz w:val="24"/>
          <w:szCs w:val="24"/>
        </w:rPr>
        <w:t>Development</w:t>
      </w:r>
      <w:proofErr w:type="spellEnd"/>
      <w:r w:rsidRPr="00CD797F">
        <w:rPr>
          <w:rFonts w:ascii="Cambria" w:hAnsi="Cambria"/>
          <w:color w:val="000000"/>
          <w:sz w:val="24"/>
          <w:szCs w:val="24"/>
        </w:rPr>
        <w:t xml:space="preserve"> ») </w:t>
      </w:r>
      <w:r w:rsidR="007B0A6D" w:rsidRPr="00CD797F">
        <w:rPr>
          <w:rFonts w:ascii="Cambria" w:hAnsi="Cambria"/>
          <w:color w:val="000000"/>
          <w:sz w:val="24"/>
          <w:szCs w:val="24"/>
        </w:rPr>
        <w:t xml:space="preserve">servira d’instrument de plaidoyer en présentant des exemples concrets d’initiatives du secteur privé et leurs résultats depuis la perspective du développement durable. Elle </w:t>
      </w:r>
      <w:r w:rsidR="00AF2487" w:rsidRPr="00CD797F">
        <w:rPr>
          <w:rFonts w:ascii="Cambria" w:hAnsi="Cambria"/>
          <w:color w:val="000000"/>
          <w:sz w:val="24"/>
          <w:szCs w:val="24"/>
        </w:rPr>
        <w:t xml:space="preserve">visera à fournir </w:t>
      </w:r>
      <w:r w:rsidR="007B0A6D" w:rsidRPr="00CD797F">
        <w:rPr>
          <w:rFonts w:ascii="Cambria" w:hAnsi="Cambria"/>
          <w:color w:val="000000"/>
          <w:sz w:val="24"/>
          <w:szCs w:val="24"/>
        </w:rPr>
        <w:t xml:space="preserve">des recommandations, lesquelles pourront servir de questions-clés communes dans le cadre des débats internationaux. </w:t>
      </w:r>
    </w:p>
    <w:p w14:paraId="283ACE3F" w14:textId="77777777" w:rsidR="00CD797F" w:rsidRDefault="00CD797F" w:rsidP="00AF2487">
      <w:pPr>
        <w:spacing w:line="280" w:lineRule="auto"/>
        <w:jc w:val="both"/>
        <w:rPr>
          <w:rFonts w:ascii="Cambria" w:hAnsi="Cambria"/>
          <w:color w:val="000000"/>
          <w:sz w:val="24"/>
          <w:szCs w:val="24"/>
        </w:rPr>
      </w:pPr>
      <w:r w:rsidRPr="00CD797F">
        <w:rPr>
          <w:rFonts w:ascii="Cambria" w:hAnsi="Cambria"/>
          <w:color w:val="000000"/>
          <w:sz w:val="24"/>
          <w:szCs w:val="24"/>
        </w:rPr>
        <w:t>L</w:t>
      </w:r>
      <w:r w:rsidR="00AF2487" w:rsidRPr="00CD797F">
        <w:rPr>
          <w:rFonts w:ascii="Cambria" w:hAnsi="Cambria"/>
          <w:color w:val="000000"/>
          <w:sz w:val="24"/>
          <w:szCs w:val="24"/>
        </w:rPr>
        <w:t>es études de cas devront être encadrées en fonction des critères proposés ci-dessous:</w:t>
      </w:r>
    </w:p>
    <w:p w14:paraId="0839E9B7" w14:textId="77777777" w:rsidR="00CD797F" w:rsidRDefault="00AF2487" w:rsidP="00AF2487">
      <w:pPr>
        <w:pStyle w:val="ListParagraph"/>
        <w:numPr>
          <w:ilvl w:val="0"/>
          <w:numId w:val="11"/>
        </w:numPr>
        <w:spacing w:line="280" w:lineRule="auto"/>
        <w:jc w:val="both"/>
        <w:rPr>
          <w:rFonts w:ascii="Cambria" w:hAnsi="Cambria"/>
          <w:color w:val="000000"/>
          <w:sz w:val="24"/>
          <w:szCs w:val="24"/>
          <w:lang w:val="fr-BE"/>
        </w:rPr>
      </w:pPr>
      <w:r w:rsidRPr="00CD797F">
        <w:rPr>
          <w:rFonts w:ascii="Cambria" w:hAnsi="Cambria"/>
          <w:color w:val="000000"/>
          <w:sz w:val="24"/>
          <w:szCs w:val="24"/>
          <w:lang w:val="fr-BE"/>
        </w:rPr>
        <w:t>Les études devront être liées à des cas basés sur le niveau national (dans les pays en développement);</w:t>
      </w:r>
    </w:p>
    <w:p w14:paraId="1D9AA4CF" w14:textId="77777777" w:rsidR="00CD797F" w:rsidRDefault="00AF2487" w:rsidP="00AF2487">
      <w:pPr>
        <w:pStyle w:val="ListParagraph"/>
        <w:numPr>
          <w:ilvl w:val="0"/>
          <w:numId w:val="11"/>
        </w:numPr>
        <w:spacing w:line="280" w:lineRule="auto"/>
        <w:jc w:val="both"/>
        <w:rPr>
          <w:rFonts w:ascii="Cambria" w:hAnsi="Cambria"/>
          <w:color w:val="000000"/>
          <w:sz w:val="24"/>
          <w:szCs w:val="24"/>
          <w:lang w:val="fr-BE"/>
        </w:rPr>
      </w:pPr>
      <w:r w:rsidRPr="00CD797F">
        <w:rPr>
          <w:rFonts w:ascii="Cambria" w:hAnsi="Cambria"/>
          <w:color w:val="000000"/>
          <w:sz w:val="24"/>
          <w:szCs w:val="24"/>
          <w:lang w:val="fr-BE"/>
        </w:rPr>
        <w:t xml:space="preserve">La cible des cas seront les programmes de «développement» de la part du secteur privé, à savoir, les programmes / initiatives soutenus ou </w:t>
      </w:r>
      <w:proofErr w:type="spellStart"/>
      <w:r w:rsidRPr="00CD797F">
        <w:rPr>
          <w:rFonts w:ascii="Cambria" w:hAnsi="Cambria"/>
          <w:color w:val="000000"/>
          <w:sz w:val="24"/>
          <w:szCs w:val="24"/>
          <w:lang w:val="fr-BE"/>
        </w:rPr>
        <w:t>co-financés</w:t>
      </w:r>
      <w:proofErr w:type="spellEnd"/>
      <w:r w:rsidRPr="00CD797F">
        <w:rPr>
          <w:rFonts w:ascii="Cambria" w:hAnsi="Cambria"/>
          <w:color w:val="000000"/>
          <w:sz w:val="24"/>
          <w:szCs w:val="24"/>
          <w:lang w:val="fr-BE"/>
        </w:rPr>
        <w:t xml:space="preserve"> par l'APD;</w:t>
      </w:r>
    </w:p>
    <w:p w14:paraId="2A4183E4" w14:textId="77777777" w:rsidR="00CD797F" w:rsidRDefault="00AF2487" w:rsidP="00AF2487">
      <w:pPr>
        <w:pStyle w:val="ListParagraph"/>
        <w:numPr>
          <w:ilvl w:val="0"/>
          <w:numId w:val="11"/>
        </w:numPr>
        <w:spacing w:line="280" w:lineRule="auto"/>
        <w:jc w:val="both"/>
        <w:rPr>
          <w:rFonts w:ascii="Cambria" w:hAnsi="Cambria"/>
          <w:color w:val="000000"/>
          <w:sz w:val="24"/>
          <w:szCs w:val="24"/>
          <w:lang w:val="fr-BE"/>
        </w:rPr>
      </w:pPr>
      <w:r w:rsidRPr="00CD797F">
        <w:rPr>
          <w:rFonts w:ascii="Cambria" w:hAnsi="Cambria"/>
          <w:color w:val="000000"/>
          <w:sz w:val="24"/>
          <w:szCs w:val="24"/>
          <w:lang w:val="fr-BE"/>
        </w:rPr>
        <w:t xml:space="preserve">La méthode des cas devra être structurée en fonction de repères communs, à savoir: la responsabilité (respect des engagements internationaux); </w:t>
      </w:r>
      <w:r w:rsidRPr="00CD797F">
        <w:rPr>
          <w:rFonts w:ascii="Cambria" w:hAnsi="Cambria"/>
          <w:color w:val="000000"/>
          <w:sz w:val="24"/>
          <w:szCs w:val="24"/>
          <w:lang w:val="fr-BE"/>
        </w:rPr>
        <w:lastRenderedPageBreak/>
        <w:t>l’appropriation démocratique (participation à la prise de décision); mécanismes de transparence et de rapportage (y compris les recours).</w:t>
      </w:r>
    </w:p>
    <w:p w14:paraId="2E4798C0" w14:textId="77777777" w:rsidR="00CD797F" w:rsidRDefault="00AF2487" w:rsidP="00AF2487">
      <w:pPr>
        <w:pStyle w:val="ListParagraph"/>
        <w:numPr>
          <w:ilvl w:val="0"/>
          <w:numId w:val="11"/>
        </w:numPr>
        <w:spacing w:line="280" w:lineRule="auto"/>
        <w:jc w:val="both"/>
        <w:rPr>
          <w:rFonts w:ascii="Cambria" w:hAnsi="Cambria"/>
          <w:color w:val="000000"/>
          <w:sz w:val="24"/>
          <w:szCs w:val="24"/>
          <w:lang w:val="fr-BE"/>
        </w:rPr>
      </w:pPr>
      <w:r w:rsidRPr="00CD797F">
        <w:rPr>
          <w:rFonts w:ascii="Cambria" w:hAnsi="Cambria"/>
          <w:color w:val="000000"/>
          <w:sz w:val="24"/>
          <w:szCs w:val="24"/>
          <w:lang w:val="fr-BE"/>
        </w:rPr>
        <w:t>Le champ d'application des études portera sur les droits du travai</w:t>
      </w:r>
      <w:r w:rsidR="00CD797F" w:rsidRPr="00CD797F">
        <w:rPr>
          <w:rFonts w:ascii="Cambria" w:hAnsi="Cambria"/>
          <w:color w:val="000000"/>
          <w:sz w:val="24"/>
          <w:szCs w:val="24"/>
          <w:lang w:val="fr-BE"/>
        </w:rPr>
        <w:t xml:space="preserve">l at travail décent </w:t>
      </w:r>
    </w:p>
    <w:p w14:paraId="6F5BE407" w14:textId="0BBBD738" w:rsidR="00AF2487" w:rsidRPr="00CD797F" w:rsidRDefault="00AF2487" w:rsidP="00AF2487">
      <w:pPr>
        <w:pStyle w:val="ListParagraph"/>
        <w:numPr>
          <w:ilvl w:val="0"/>
          <w:numId w:val="11"/>
        </w:numPr>
        <w:spacing w:line="280" w:lineRule="auto"/>
        <w:jc w:val="both"/>
        <w:rPr>
          <w:rFonts w:ascii="Cambria" w:hAnsi="Cambria"/>
          <w:color w:val="000000"/>
          <w:sz w:val="24"/>
          <w:szCs w:val="24"/>
          <w:lang w:val="fr-BE"/>
        </w:rPr>
      </w:pPr>
      <w:r w:rsidRPr="00CD797F">
        <w:rPr>
          <w:rFonts w:ascii="Cambria" w:hAnsi="Cambria"/>
          <w:color w:val="000000"/>
          <w:sz w:val="24"/>
          <w:szCs w:val="24"/>
          <w:lang w:val="fr-BE"/>
        </w:rPr>
        <w:t>La méthode des cas devra être structurée en fonction de repères communs, à savoir: la responsabilité (respect des engagements internationaux); l’appropriation démocratique (participation à la prise de décision); mécanismes de transparence et de rapportage (y compris les recours).</w:t>
      </w:r>
    </w:p>
    <w:p w14:paraId="3D81005D" w14:textId="18F7C19C" w:rsidR="00AF2487" w:rsidRDefault="00AF2487" w:rsidP="00AF2487">
      <w:pPr>
        <w:spacing w:line="280" w:lineRule="auto"/>
        <w:jc w:val="both"/>
        <w:rPr>
          <w:rFonts w:ascii="Cambria" w:hAnsi="Cambria"/>
          <w:i/>
          <w:color w:val="000000"/>
          <w:sz w:val="24"/>
          <w:szCs w:val="24"/>
        </w:rPr>
      </w:pPr>
      <w:r w:rsidRPr="00AF2487">
        <w:rPr>
          <w:rFonts w:ascii="Cambria" w:hAnsi="Cambria"/>
          <w:i/>
          <w:color w:val="000000"/>
          <w:sz w:val="24"/>
          <w:szCs w:val="24"/>
        </w:rPr>
        <w:t>Méthodologie et chronologie</w:t>
      </w:r>
    </w:p>
    <w:p w14:paraId="48B5F302" w14:textId="77777777" w:rsidR="00CD797F" w:rsidRPr="00CD797F" w:rsidRDefault="00CD797F" w:rsidP="00CD797F">
      <w:pPr>
        <w:tabs>
          <w:tab w:val="left" w:pos="284"/>
        </w:tabs>
        <w:jc w:val="both"/>
        <w:rPr>
          <w:rFonts w:ascii="Cambria" w:hAnsi="Cambria"/>
          <w:color w:val="000000"/>
          <w:sz w:val="24"/>
          <w:szCs w:val="24"/>
        </w:rPr>
      </w:pPr>
      <w:r w:rsidRPr="00CD797F">
        <w:rPr>
          <w:rFonts w:ascii="Cambria" w:hAnsi="Cambria"/>
          <w:color w:val="000000"/>
          <w:sz w:val="24"/>
          <w:szCs w:val="24"/>
        </w:rPr>
        <w:t>Le travail sera structuré en trois phases:</w:t>
      </w:r>
    </w:p>
    <w:p w14:paraId="073863FB" w14:textId="208B4CCC" w:rsidR="00CD797F" w:rsidRPr="00CD797F" w:rsidRDefault="00CD797F" w:rsidP="00CD797F">
      <w:pPr>
        <w:tabs>
          <w:tab w:val="left" w:pos="284"/>
        </w:tabs>
        <w:jc w:val="both"/>
        <w:rPr>
          <w:rFonts w:ascii="Cambria" w:hAnsi="Cambria"/>
          <w:color w:val="000000"/>
          <w:sz w:val="24"/>
          <w:szCs w:val="24"/>
        </w:rPr>
      </w:pPr>
      <w:r w:rsidRPr="00CD797F">
        <w:rPr>
          <w:rFonts w:ascii="Cambria" w:hAnsi="Cambria"/>
          <w:color w:val="000000"/>
          <w:sz w:val="24"/>
          <w:szCs w:val="24"/>
        </w:rPr>
        <w:t xml:space="preserve">1) </w:t>
      </w:r>
      <w:r w:rsidRPr="00CD797F">
        <w:rPr>
          <w:rFonts w:ascii="Cambria" w:hAnsi="Cambria"/>
          <w:color w:val="000000"/>
          <w:sz w:val="24"/>
          <w:szCs w:val="24"/>
        </w:rPr>
        <w:t xml:space="preserve">Termes de référence </w:t>
      </w:r>
      <w:r w:rsidRPr="00CD797F">
        <w:rPr>
          <w:rFonts w:ascii="Cambria" w:hAnsi="Cambria"/>
          <w:color w:val="000000"/>
          <w:sz w:val="24"/>
          <w:szCs w:val="24"/>
        </w:rPr>
        <w:t>détaillées pour la méthodologie de la recherche des cas de pays sur la base;</w:t>
      </w:r>
    </w:p>
    <w:p w14:paraId="196035E7" w14:textId="0D945687" w:rsidR="00CD797F" w:rsidRPr="00CD797F" w:rsidRDefault="00CD797F" w:rsidP="00CD797F">
      <w:pPr>
        <w:tabs>
          <w:tab w:val="left" w:pos="284"/>
        </w:tabs>
        <w:jc w:val="both"/>
        <w:rPr>
          <w:rFonts w:ascii="Cambria" w:hAnsi="Cambria"/>
          <w:color w:val="000000"/>
          <w:sz w:val="24"/>
          <w:szCs w:val="24"/>
        </w:rPr>
      </w:pPr>
      <w:r w:rsidRPr="00CD797F">
        <w:rPr>
          <w:rFonts w:ascii="Cambria" w:hAnsi="Cambria"/>
          <w:color w:val="000000"/>
          <w:sz w:val="24"/>
          <w:szCs w:val="24"/>
        </w:rPr>
        <w:t xml:space="preserve">2) l'élaboration des </w:t>
      </w:r>
      <w:r w:rsidRPr="00CD797F">
        <w:rPr>
          <w:rFonts w:ascii="Cambria" w:hAnsi="Cambria"/>
          <w:color w:val="000000"/>
          <w:sz w:val="24"/>
          <w:szCs w:val="24"/>
        </w:rPr>
        <w:t>études;</w:t>
      </w:r>
    </w:p>
    <w:p w14:paraId="5D0EAAC7" w14:textId="0EFAFAB2" w:rsidR="007B0A6D" w:rsidRPr="00CD797F" w:rsidRDefault="00CD797F" w:rsidP="00CD797F">
      <w:pPr>
        <w:tabs>
          <w:tab w:val="left" w:pos="284"/>
        </w:tabs>
        <w:jc w:val="both"/>
        <w:rPr>
          <w:rFonts w:ascii="Cambria" w:hAnsi="Cambria"/>
          <w:color w:val="000000"/>
          <w:sz w:val="24"/>
          <w:szCs w:val="24"/>
        </w:rPr>
      </w:pPr>
      <w:r w:rsidRPr="00CD797F">
        <w:rPr>
          <w:rFonts w:ascii="Cambria" w:hAnsi="Cambria"/>
          <w:color w:val="000000"/>
          <w:sz w:val="24"/>
          <w:szCs w:val="24"/>
        </w:rPr>
        <w:t xml:space="preserve">3) compilation et </w:t>
      </w:r>
      <w:r w:rsidRPr="00CD797F">
        <w:rPr>
          <w:rFonts w:ascii="Cambria" w:hAnsi="Cambria"/>
          <w:color w:val="000000"/>
          <w:sz w:val="24"/>
          <w:szCs w:val="24"/>
        </w:rPr>
        <w:t>rédaction des recommandations finales.</w:t>
      </w:r>
    </w:p>
    <w:tbl>
      <w:tblPr>
        <w:tblW w:w="8789" w:type="dxa"/>
        <w:tblInd w:w="5" w:type="dxa"/>
        <w:shd w:val="clear" w:color="auto" w:fill="FFFFFF"/>
        <w:tblLayout w:type="fixed"/>
        <w:tblLook w:val="0000" w:firstRow="0" w:lastRow="0" w:firstColumn="0" w:lastColumn="0" w:noHBand="0" w:noVBand="0"/>
      </w:tblPr>
      <w:tblGrid>
        <w:gridCol w:w="2694"/>
        <w:gridCol w:w="2693"/>
        <w:gridCol w:w="2551"/>
        <w:gridCol w:w="851"/>
      </w:tblGrid>
      <w:tr w:rsidR="00CD797F" w:rsidRPr="00E84D22" w14:paraId="790BEC07" w14:textId="77777777" w:rsidTr="00BC2D6E">
        <w:trPr>
          <w:cantSplit/>
          <w:trHeight w:val="602"/>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F4B730" w14:textId="47F4A91C" w:rsidR="00CD797F" w:rsidRPr="00E84D22" w:rsidRDefault="00CD797F" w:rsidP="00E84D22">
            <w:pPr>
              <w:tabs>
                <w:tab w:val="left" w:pos="284"/>
                <w:tab w:val="center" w:pos="1483"/>
              </w:tabs>
              <w:jc w:val="both"/>
              <w:rPr>
                <w:rFonts w:ascii="Cambria" w:hAnsi="Cambria"/>
                <w:color w:val="000000"/>
                <w:sz w:val="24"/>
                <w:szCs w:val="24"/>
              </w:rPr>
            </w:pPr>
            <w:r w:rsidRPr="00E84D22">
              <w:rPr>
                <w:rFonts w:ascii="Cambria" w:hAnsi="Cambria"/>
                <w:color w:val="000000"/>
                <w:sz w:val="24"/>
                <w:szCs w:val="24"/>
              </w:rPr>
              <w:t>Activité</w:t>
            </w:r>
            <w:r w:rsidR="00E84D22" w:rsidRPr="00E84D22">
              <w:rPr>
                <w:rFonts w:ascii="Cambria" w:hAnsi="Cambria"/>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24BB2C" w14:textId="674B1C56" w:rsidR="00CD797F" w:rsidRPr="00E84D22" w:rsidRDefault="00CD797F" w:rsidP="00CD797F">
            <w:pPr>
              <w:tabs>
                <w:tab w:val="left" w:pos="284"/>
              </w:tabs>
              <w:jc w:val="both"/>
              <w:rPr>
                <w:rFonts w:ascii="Cambria" w:hAnsi="Cambria"/>
                <w:color w:val="000000"/>
                <w:sz w:val="24"/>
                <w:szCs w:val="24"/>
              </w:rPr>
            </w:pPr>
            <w:r w:rsidRPr="00E84D22">
              <w:rPr>
                <w:rFonts w:ascii="Cambria" w:hAnsi="Cambria"/>
                <w:color w:val="000000"/>
                <w:sz w:val="24"/>
                <w:szCs w:val="24"/>
              </w:rPr>
              <w:t>Résultats escomptes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2D883D" w14:textId="77777777" w:rsidR="00CD797F" w:rsidRPr="00E84D22" w:rsidRDefault="00CD797F" w:rsidP="00CD797F">
            <w:pPr>
              <w:tabs>
                <w:tab w:val="left" w:pos="284"/>
              </w:tabs>
              <w:jc w:val="both"/>
              <w:rPr>
                <w:rFonts w:ascii="Cambria" w:hAnsi="Cambria"/>
                <w:color w:val="000000"/>
                <w:sz w:val="24"/>
                <w:szCs w:val="24"/>
              </w:rPr>
            </w:pPr>
            <w:r w:rsidRPr="00E84D22">
              <w:rPr>
                <w:rFonts w:ascii="Cambria" w:hAnsi="Cambria"/>
                <w:color w:val="000000"/>
                <w:sz w:val="24"/>
                <w:szCs w:val="24"/>
              </w:rPr>
              <w:t>Description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D04C4C" w14:textId="393EC3BB" w:rsidR="00CD797F" w:rsidRPr="00E84D22" w:rsidRDefault="00CD797F" w:rsidP="00CD797F">
            <w:pPr>
              <w:tabs>
                <w:tab w:val="left" w:pos="284"/>
              </w:tabs>
              <w:jc w:val="both"/>
              <w:rPr>
                <w:rFonts w:ascii="Cambria" w:hAnsi="Cambria"/>
                <w:color w:val="000000"/>
                <w:sz w:val="24"/>
                <w:szCs w:val="24"/>
              </w:rPr>
            </w:pPr>
            <w:r w:rsidRPr="00E84D22">
              <w:rPr>
                <w:rFonts w:ascii="Cambria" w:hAnsi="Cambria"/>
                <w:color w:val="000000"/>
                <w:sz w:val="24"/>
                <w:szCs w:val="24"/>
              </w:rPr>
              <w:t>Chronologie</w:t>
            </w:r>
          </w:p>
        </w:tc>
      </w:tr>
      <w:tr w:rsidR="00CD797F" w:rsidRPr="00E84D22" w14:paraId="4BB305C5" w14:textId="77777777" w:rsidTr="00BC2D6E">
        <w:trPr>
          <w:cantSplit/>
          <w:trHeight w:val="152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6AC260" w14:textId="79834829"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Termes de références détaillées pour la méthodologie de la recherche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AFC40C" w14:textId="4B813959"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méthodologie</w:t>
            </w:r>
            <w:r w:rsidRPr="00E84D22">
              <w:rPr>
                <w:rFonts w:ascii="Cambria" w:hAnsi="Cambria"/>
                <w:color w:val="000000"/>
                <w:sz w:val="24"/>
                <w:szCs w:val="24"/>
              </w:rPr>
              <w:t xml:space="preserve"> commune établie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010522" w14:textId="77777777"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Global</w:t>
            </w:r>
          </w:p>
          <w:p w14:paraId="532EBE18" w14:textId="77777777" w:rsidR="00CD797F" w:rsidRPr="00E84D22" w:rsidRDefault="00CD797F" w:rsidP="00BC2D6E">
            <w:pPr>
              <w:tabs>
                <w:tab w:val="left" w:pos="284"/>
              </w:tabs>
              <w:rPr>
                <w:rFonts w:ascii="Cambria" w:hAnsi="Cambria"/>
                <w:color w:val="000000"/>
                <w:sz w:val="24"/>
                <w:szCs w:val="24"/>
              </w:rPr>
            </w:pPr>
          </w:p>
          <w:p w14:paraId="433F8944" w14:textId="6B123F40"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Experts appuient la rédaction des TDR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81DAC7" w14:textId="77777777"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1Q 2015</w:t>
            </w:r>
          </w:p>
        </w:tc>
      </w:tr>
      <w:tr w:rsidR="00CD797F" w:rsidRPr="00E84D22" w14:paraId="0580D3FE" w14:textId="77777777" w:rsidTr="00BC2D6E">
        <w:trPr>
          <w:cantSplit/>
          <w:trHeight w:val="4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F12B9D" w14:textId="417C2CE7"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l'élaboration des études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2DFBC" w14:textId="2111A1CE"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 xml:space="preserve">3 </w:t>
            </w:r>
            <w:r w:rsidR="00E84D22" w:rsidRPr="00E84D22">
              <w:rPr>
                <w:rFonts w:ascii="Cambria" w:hAnsi="Cambria"/>
                <w:color w:val="000000"/>
                <w:sz w:val="24"/>
                <w:szCs w:val="24"/>
              </w:rPr>
              <w:t>/</w:t>
            </w:r>
            <w:r w:rsidRPr="00E84D22">
              <w:rPr>
                <w:rFonts w:ascii="Cambria" w:hAnsi="Cambria"/>
                <w:color w:val="000000"/>
                <w:sz w:val="24"/>
                <w:szCs w:val="24"/>
              </w:rPr>
              <w:t xml:space="preserve"> 6 </w:t>
            </w:r>
            <w:r w:rsidR="00E84D22" w:rsidRPr="00E84D22">
              <w:rPr>
                <w:rFonts w:ascii="Cambria" w:hAnsi="Cambria"/>
                <w:color w:val="000000"/>
                <w:sz w:val="24"/>
                <w:szCs w:val="24"/>
              </w:rPr>
              <w:t>cas d’études nationales réalisée</w:t>
            </w:r>
            <w:r w:rsidRPr="00E84D22">
              <w:rPr>
                <w:rFonts w:ascii="Cambria" w:hAnsi="Cambria"/>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DDD88" w14:textId="511494B1"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 xml:space="preserve">Niveau </w:t>
            </w:r>
            <w:r w:rsidR="00CD797F" w:rsidRPr="00E84D22">
              <w:rPr>
                <w:rFonts w:ascii="Cambria" w:hAnsi="Cambria"/>
                <w:color w:val="000000"/>
                <w:sz w:val="24"/>
                <w:szCs w:val="24"/>
              </w:rPr>
              <w:t xml:space="preserve">National </w:t>
            </w:r>
            <w:r w:rsidRPr="00E84D22">
              <w:rPr>
                <w:rFonts w:ascii="Cambria" w:hAnsi="Cambria"/>
                <w:color w:val="000000"/>
                <w:sz w:val="24"/>
                <w:szCs w:val="24"/>
              </w:rPr>
              <w:t xml:space="preserve">et coordonné par les organisations régionales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5860A8" w14:textId="77777777"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2Q 2015</w:t>
            </w:r>
          </w:p>
        </w:tc>
      </w:tr>
      <w:tr w:rsidR="00CD797F" w:rsidRPr="00E84D22" w14:paraId="57D3B613" w14:textId="77777777" w:rsidTr="00BC2D6E">
        <w:trPr>
          <w:cantSplit/>
          <w:trHeight w:val="4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16B46" w14:textId="7801A9F3"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compilation et rédaction des recommandations finales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8D3884" w14:textId="7BE2BA7C"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 xml:space="preserve">publication </w:t>
            </w:r>
            <w:r w:rsidR="00E84D22" w:rsidRPr="00E84D22">
              <w:rPr>
                <w:rFonts w:ascii="Cambria" w:hAnsi="Cambria"/>
                <w:color w:val="000000"/>
                <w:sz w:val="24"/>
                <w:szCs w:val="24"/>
              </w:rPr>
              <w:t>finale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BE02DC" w14:textId="77777777"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Global</w:t>
            </w:r>
          </w:p>
          <w:p w14:paraId="288082C5" w14:textId="77777777" w:rsidR="00CD797F" w:rsidRPr="00E84D22" w:rsidRDefault="00CD797F" w:rsidP="00BC2D6E">
            <w:pPr>
              <w:tabs>
                <w:tab w:val="left" w:pos="284"/>
              </w:tabs>
              <w:rPr>
                <w:rFonts w:ascii="Cambria" w:hAnsi="Cambria"/>
                <w:color w:val="000000"/>
                <w:sz w:val="24"/>
                <w:szCs w:val="24"/>
              </w:rPr>
            </w:pPr>
          </w:p>
          <w:p w14:paraId="65259907" w14:textId="40BE3844" w:rsidR="00CD797F" w:rsidRPr="00E84D22" w:rsidRDefault="00E84D22" w:rsidP="00BC2D6E">
            <w:pPr>
              <w:tabs>
                <w:tab w:val="left" w:pos="284"/>
              </w:tabs>
              <w:rPr>
                <w:rFonts w:ascii="Cambria" w:hAnsi="Cambria"/>
                <w:color w:val="000000"/>
                <w:sz w:val="24"/>
                <w:szCs w:val="24"/>
              </w:rPr>
            </w:pPr>
            <w:r w:rsidRPr="00E84D22">
              <w:rPr>
                <w:rFonts w:ascii="Cambria" w:hAnsi="Cambria"/>
                <w:color w:val="000000"/>
                <w:sz w:val="24"/>
                <w:szCs w:val="24"/>
              </w:rPr>
              <w:t>Experts appuient la rédaction</w:t>
            </w:r>
            <w:r w:rsidRPr="00E84D22">
              <w:rPr>
                <w:rFonts w:ascii="Cambria" w:hAnsi="Cambria"/>
                <w:color w:val="000000"/>
                <w:sz w:val="24"/>
                <w:szCs w:val="24"/>
              </w:rPr>
              <w:t xml:space="preserve"> des recommandations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6C9D19" w14:textId="77777777" w:rsidR="00CD797F" w:rsidRPr="00E84D22" w:rsidRDefault="00CD797F" w:rsidP="00BC2D6E">
            <w:pPr>
              <w:tabs>
                <w:tab w:val="left" w:pos="284"/>
              </w:tabs>
              <w:rPr>
                <w:rFonts w:ascii="Cambria" w:hAnsi="Cambria"/>
                <w:color w:val="000000"/>
                <w:sz w:val="24"/>
                <w:szCs w:val="24"/>
              </w:rPr>
            </w:pPr>
            <w:r w:rsidRPr="00E84D22">
              <w:rPr>
                <w:rFonts w:ascii="Cambria" w:hAnsi="Cambria"/>
                <w:color w:val="000000"/>
                <w:sz w:val="24"/>
                <w:szCs w:val="24"/>
              </w:rPr>
              <w:t>3Q 2015</w:t>
            </w:r>
          </w:p>
        </w:tc>
      </w:tr>
    </w:tbl>
    <w:p w14:paraId="4CA177F3" w14:textId="17243093" w:rsidR="003A0DF9" w:rsidRPr="00E84D22" w:rsidRDefault="003A0DF9" w:rsidP="007B0A6D"/>
    <w:sectPr w:rsidR="003A0DF9" w:rsidRPr="00E84D22"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2B16" w14:textId="77777777" w:rsidR="003A233D" w:rsidRDefault="003A233D" w:rsidP="00463227">
      <w:pPr>
        <w:spacing w:after="0" w:line="240" w:lineRule="auto"/>
      </w:pPr>
      <w:r>
        <w:separator/>
      </w:r>
    </w:p>
  </w:endnote>
  <w:endnote w:type="continuationSeparator" w:id="0">
    <w:p w14:paraId="6F37640F" w14:textId="77777777" w:rsidR="003A233D" w:rsidRDefault="003A233D"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812A2" w14:textId="77777777" w:rsidR="003A233D" w:rsidRDefault="003A233D" w:rsidP="00463227">
      <w:pPr>
        <w:spacing w:after="0" w:line="240" w:lineRule="auto"/>
      </w:pPr>
      <w:r>
        <w:separator/>
      </w:r>
    </w:p>
  </w:footnote>
  <w:footnote w:type="continuationSeparator" w:id="0">
    <w:p w14:paraId="714B0A48" w14:textId="77777777" w:rsidR="003A233D" w:rsidRDefault="003A233D"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9F65B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9F65B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9F65B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3EF"/>
    <w:multiLevelType w:val="hybridMultilevel"/>
    <w:tmpl w:val="48E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64639F7"/>
    <w:multiLevelType w:val="hybridMultilevel"/>
    <w:tmpl w:val="CC2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4AF58B1"/>
    <w:multiLevelType w:val="hybridMultilevel"/>
    <w:tmpl w:val="A3AA2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C10749"/>
    <w:multiLevelType w:val="hybridMultilevel"/>
    <w:tmpl w:val="74D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91157"/>
    <w:multiLevelType w:val="hybridMultilevel"/>
    <w:tmpl w:val="03063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AD00967"/>
    <w:multiLevelType w:val="hybridMultilevel"/>
    <w:tmpl w:val="CCA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3"/>
  </w:num>
  <w:num w:numId="6">
    <w:abstractNumId w:val="2"/>
  </w:num>
  <w:num w:numId="7">
    <w:abstractNumId w:val="6"/>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337CB"/>
    <w:rsid w:val="000575FA"/>
    <w:rsid w:val="001175CD"/>
    <w:rsid w:val="001351B9"/>
    <w:rsid w:val="0019279A"/>
    <w:rsid w:val="002F4CD7"/>
    <w:rsid w:val="00327AB9"/>
    <w:rsid w:val="003A0DF9"/>
    <w:rsid w:val="003A233D"/>
    <w:rsid w:val="00463227"/>
    <w:rsid w:val="005613F6"/>
    <w:rsid w:val="00583C45"/>
    <w:rsid w:val="00606ABE"/>
    <w:rsid w:val="006869C9"/>
    <w:rsid w:val="00762564"/>
    <w:rsid w:val="007B0A6D"/>
    <w:rsid w:val="00837765"/>
    <w:rsid w:val="009F65BD"/>
    <w:rsid w:val="00A71C0F"/>
    <w:rsid w:val="00AC38B1"/>
    <w:rsid w:val="00AF2487"/>
    <w:rsid w:val="00B50CDC"/>
    <w:rsid w:val="00B55C5F"/>
    <w:rsid w:val="00B57427"/>
    <w:rsid w:val="00BC2D6E"/>
    <w:rsid w:val="00BC2F49"/>
    <w:rsid w:val="00C97769"/>
    <w:rsid w:val="00CD797F"/>
    <w:rsid w:val="00D846DC"/>
    <w:rsid w:val="00E84D22"/>
    <w:rsid w:val="00E96934"/>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0A6D"/>
    <w:rPr>
      <w:lang w:val="fr-BE"/>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0A6D"/>
    <w:rPr>
      <w:lang w:val="fr-BE"/>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77C2-5D38-4139-A946-9CA3AD2B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150422 document</vt:lpstr>
      <vt:lpstr/>
    </vt:vector>
  </TitlesOfParts>
  <Company>International Trade Union Confederation</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150423 document</dc:title>
  <dc:creator>Carol</dc:creator>
  <cp:lastModifiedBy>Simonetti, Paola</cp:lastModifiedBy>
  <cp:revision>2</cp:revision>
  <dcterms:created xsi:type="dcterms:W3CDTF">2015-04-23T17:24:00Z</dcterms:created>
  <dcterms:modified xsi:type="dcterms:W3CDTF">2015-04-23T17:24:00Z</dcterms:modified>
</cp:coreProperties>
</file>