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B23B1" w14:textId="314FF3E6" w:rsidR="008E7283" w:rsidRPr="001121C9" w:rsidRDefault="001121C9" w:rsidP="008E7283">
      <w:pPr>
        <w:rPr>
          <w:b/>
          <w:sz w:val="28"/>
          <w:szCs w:val="28"/>
          <w:lang w:val="es-ES_tradnl"/>
        </w:rPr>
      </w:pPr>
      <w:r w:rsidRPr="001121C9">
        <w:rPr>
          <w:b/>
          <w:sz w:val="28"/>
          <w:szCs w:val="28"/>
          <w:lang w:val="es-ES_tradnl"/>
        </w:rPr>
        <w:t>El s</w:t>
      </w:r>
      <w:r w:rsidR="008E7283" w:rsidRPr="001121C9">
        <w:rPr>
          <w:b/>
          <w:sz w:val="28"/>
          <w:szCs w:val="28"/>
          <w:lang w:val="es-ES_tradnl"/>
        </w:rPr>
        <w:t xml:space="preserve">ector </w:t>
      </w:r>
      <w:r w:rsidRPr="001121C9">
        <w:rPr>
          <w:b/>
          <w:sz w:val="28"/>
          <w:szCs w:val="28"/>
          <w:lang w:val="es-ES_tradnl"/>
        </w:rPr>
        <w:t xml:space="preserve">privado y su </w:t>
      </w:r>
      <w:r w:rsidR="00093D87">
        <w:rPr>
          <w:b/>
          <w:sz w:val="28"/>
          <w:szCs w:val="28"/>
          <w:lang w:val="es-ES_tradnl"/>
        </w:rPr>
        <w:t>papel</w:t>
      </w:r>
      <w:r w:rsidRPr="001121C9">
        <w:rPr>
          <w:b/>
          <w:sz w:val="28"/>
          <w:szCs w:val="28"/>
          <w:lang w:val="es-ES_tradnl"/>
        </w:rPr>
        <w:t xml:space="preserve"> en el desarrollo</w:t>
      </w:r>
      <w:r w:rsidR="008E7283" w:rsidRPr="001121C9">
        <w:rPr>
          <w:b/>
          <w:sz w:val="28"/>
          <w:szCs w:val="28"/>
          <w:lang w:val="es-ES_tradnl"/>
        </w:rPr>
        <w:t xml:space="preserve"> </w:t>
      </w:r>
      <w:r w:rsidRPr="001121C9">
        <w:rPr>
          <w:b/>
          <w:sz w:val="28"/>
          <w:szCs w:val="28"/>
          <w:lang w:val="es-ES_tradnl"/>
        </w:rPr>
        <w:t>–</w:t>
      </w:r>
      <w:r w:rsidR="008E7283" w:rsidRPr="001121C9">
        <w:rPr>
          <w:b/>
          <w:sz w:val="28"/>
          <w:szCs w:val="28"/>
          <w:lang w:val="es-ES_tradnl"/>
        </w:rPr>
        <w:t xml:space="preserve"> </w:t>
      </w:r>
      <w:r w:rsidRPr="001121C9">
        <w:rPr>
          <w:b/>
          <w:sz w:val="28"/>
          <w:szCs w:val="28"/>
          <w:lang w:val="es-ES_tradnl"/>
        </w:rPr>
        <w:t>Una perspectiva sindical</w:t>
      </w:r>
      <w:r w:rsidR="008E7283" w:rsidRPr="001121C9">
        <w:rPr>
          <w:b/>
          <w:sz w:val="28"/>
          <w:szCs w:val="28"/>
          <w:lang w:val="es-ES_tradnl"/>
        </w:rPr>
        <w:t xml:space="preserve"> </w:t>
      </w:r>
    </w:p>
    <w:p w14:paraId="28E523E1" w14:textId="77777777" w:rsidR="009F03C4" w:rsidRDefault="009F03C4" w:rsidP="008E7283">
      <w:pPr>
        <w:rPr>
          <w:lang w:val="es-ES_tradnl"/>
        </w:rPr>
      </w:pPr>
      <w:r>
        <w:rPr>
          <w:lang w:val="es-ES_tradnl"/>
        </w:rPr>
        <w:t>Documento de discusión de la CSI para consideración de la RSCD</w:t>
      </w:r>
    </w:p>
    <w:p w14:paraId="799E3BC3" w14:textId="77777777" w:rsidR="008E7283" w:rsidRPr="001121C9" w:rsidRDefault="00D841BD" w:rsidP="008E7283">
      <w:pPr>
        <w:rPr>
          <w:lang w:val="es-ES_tradnl"/>
        </w:rPr>
      </w:pPr>
      <w:r w:rsidRPr="001121C9">
        <w:rPr>
          <w:lang w:val="es-ES_tradnl"/>
        </w:rPr>
        <w:t>Brus</w:t>
      </w:r>
      <w:r w:rsidR="009F03C4">
        <w:rPr>
          <w:lang w:val="es-ES_tradnl"/>
        </w:rPr>
        <w:t>elas</w:t>
      </w:r>
      <w:r w:rsidRPr="001121C9">
        <w:rPr>
          <w:lang w:val="es-ES_tradnl"/>
        </w:rPr>
        <w:t xml:space="preserve">, </w:t>
      </w:r>
      <w:r w:rsidR="009F03C4">
        <w:rPr>
          <w:lang w:val="es-ES_tradnl"/>
        </w:rPr>
        <w:t>(esta versión)</w:t>
      </w:r>
      <w:r w:rsidR="003A5984" w:rsidRPr="001121C9">
        <w:rPr>
          <w:lang w:val="es-ES_tradnl"/>
        </w:rPr>
        <w:t xml:space="preserve"> 13</w:t>
      </w:r>
      <w:r w:rsidR="008E7283" w:rsidRPr="001121C9">
        <w:rPr>
          <w:lang w:val="es-ES_tradnl"/>
        </w:rPr>
        <w:t xml:space="preserve"> </w:t>
      </w:r>
      <w:r w:rsidR="009F03C4">
        <w:rPr>
          <w:lang w:val="es-ES_tradnl"/>
        </w:rPr>
        <w:t>de marzo de</w:t>
      </w:r>
      <w:r w:rsidR="008E7283" w:rsidRPr="001121C9">
        <w:rPr>
          <w:lang w:val="es-ES_tradnl"/>
        </w:rPr>
        <w:t xml:space="preserve"> 2014</w:t>
      </w:r>
    </w:p>
    <w:p w14:paraId="46679D8D" w14:textId="77777777" w:rsidR="008E7283" w:rsidRPr="001121C9" w:rsidRDefault="008E7283" w:rsidP="008E7283">
      <w:pPr>
        <w:rPr>
          <w:lang w:val="es-ES_tradnl"/>
        </w:rPr>
      </w:pPr>
    </w:p>
    <w:p w14:paraId="101411DA" w14:textId="77777777" w:rsidR="00EF7788" w:rsidRPr="001121C9" w:rsidRDefault="009F03C4">
      <w:pPr>
        <w:pStyle w:val="TableofContentsHeading"/>
        <w:ind w:left="708" w:hanging="708"/>
        <w:rPr>
          <w:lang w:val="es-ES_tradnl"/>
        </w:rPr>
      </w:pPr>
      <w:bookmarkStart w:id="0" w:name="TOC"/>
      <w:bookmarkStart w:id="1" w:name="_GoBack"/>
      <w:bookmarkEnd w:id="1"/>
      <w:r>
        <w:rPr>
          <w:lang w:val="es-ES_tradnl"/>
        </w:rPr>
        <w:t>ÍNDICE</w:t>
      </w:r>
    </w:p>
    <w:p w14:paraId="4B768E60" w14:textId="77777777" w:rsidR="00BC783F" w:rsidRDefault="00EF7788">
      <w:pPr>
        <w:pStyle w:val="TOC1"/>
        <w:rPr>
          <w:rFonts w:asciiTheme="minorHAnsi" w:eastAsiaTheme="minorEastAsia" w:hAnsiTheme="minorHAnsi"/>
          <w:caps w:val="0"/>
          <w:noProof/>
          <w:sz w:val="22"/>
          <w:lang w:val="pt-BR" w:eastAsia="pt-BR"/>
        </w:rPr>
      </w:pPr>
      <w:r w:rsidRPr="001121C9">
        <w:rPr>
          <w:b/>
          <w:noProof/>
          <w:lang w:val="es-ES_tradnl"/>
        </w:rPr>
        <w:fldChar w:fldCharType="begin"/>
      </w:r>
      <w:r w:rsidRPr="001121C9">
        <w:rPr>
          <w:b/>
          <w:noProof/>
          <w:lang w:val="es-ES_tradnl"/>
        </w:rPr>
        <w:instrText xml:space="preserve"> TOC \o "1-2" \t "Summary Heading,1,Preface Heading,1,Conclusion Heading,1,Bibliography Heading,1,Appendix Heading,1,Annex Heading,1,Glossary Heading,1,Index Heading,1,Executive Summary Heading,1,Foreword Heading,1,Annexes Heading,1,Part Heading,1,Introduction Heading,1" \h</w:instrText>
      </w:r>
      <w:r w:rsidRPr="001121C9">
        <w:rPr>
          <w:b/>
          <w:noProof/>
          <w:lang w:val="es-ES_tradnl"/>
        </w:rPr>
        <w:fldChar w:fldCharType="separate"/>
      </w:r>
      <w:hyperlink w:anchor="_Toc382848926" w:history="1">
        <w:r w:rsidR="00BC783F" w:rsidRPr="00313ED8">
          <w:rPr>
            <w:rStyle w:val="Hyperlink"/>
            <w:noProof/>
            <w:lang w:val="es-ES_tradnl"/>
          </w:rPr>
          <w:t>IntroducCIÓN</w:t>
        </w:r>
        <w:r w:rsidR="00BC783F">
          <w:rPr>
            <w:noProof/>
          </w:rPr>
          <w:tab/>
        </w:r>
        <w:r w:rsidR="00BC783F">
          <w:rPr>
            <w:noProof/>
          </w:rPr>
          <w:fldChar w:fldCharType="begin"/>
        </w:r>
        <w:r w:rsidR="00BC783F">
          <w:rPr>
            <w:noProof/>
          </w:rPr>
          <w:instrText xml:space="preserve"> PAGEREF _Toc382848926 \h </w:instrText>
        </w:r>
        <w:r w:rsidR="00BC783F">
          <w:rPr>
            <w:noProof/>
          </w:rPr>
        </w:r>
        <w:r w:rsidR="00BC783F">
          <w:rPr>
            <w:noProof/>
          </w:rPr>
          <w:fldChar w:fldCharType="separate"/>
        </w:r>
        <w:r w:rsidR="00BC783F">
          <w:rPr>
            <w:noProof/>
          </w:rPr>
          <w:t>3</w:t>
        </w:r>
        <w:r w:rsidR="00BC783F">
          <w:rPr>
            <w:noProof/>
          </w:rPr>
          <w:fldChar w:fldCharType="end"/>
        </w:r>
      </w:hyperlink>
    </w:p>
    <w:p w14:paraId="1E40E6A6" w14:textId="77777777" w:rsidR="00BC783F" w:rsidRDefault="009E7C9A">
      <w:pPr>
        <w:pStyle w:val="TOC2"/>
        <w:rPr>
          <w:rFonts w:asciiTheme="minorHAnsi" w:eastAsiaTheme="minorEastAsia" w:hAnsiTheme="minorHAnsi"/>
          <w:noProof/>
          <w:sz w:val="22"/>
          <w:lang w:val="pt-BR" w:eastAsia="pt-BR"/>
        </w:rPr>
      </w:pPr>
      <w:hyperlink w:anchor="_Toc382848927" w:history="1">
        <w:r w:rsidR="00BC783F" w:rsidRPr="00313ED8">
          <w:rPr>
            <w:rStyle w:val="Hyperlink"/>
            <w:noProof/>
            <w:lang w:val="es-ES_tradnl"/>
          </w:rPr>
          <w:t>¿Qué es el sector privado para el desarrollo?</w:t>
        </w:r>
        <w:r w:rsidR="00BC783F">
          <w:rPr>
            <w:noProof/>
          </w:rPr>
          <w:tab/>
        </w:r>
        <w:r w:rsidR="00BC783F">
          <w:rPr>
            <w:noProof/>
          </w:rPr>
          <w:fldChar w:fldCharType="begin"/>
        </w:r>
        <w:r w:rsidR="00BC783F">
          <w:rPr>
            <w:noProof/>
          </w:rPr>
          <w:instrText xml:space="preserve"> PAGEREF _Toc382848927 \h </w:instrText>
        </w:r>
        <w:r w:rsidR="00BC783F">
          <w:rPr>
            <w:noProof/>
          </w:rPr>
        </w:r>
        <w:r w:rsidR="00BC783F">
          <w:rPr>
            <w:noProof/>
          </w:rPr>
          <w:fldChar w:fldCharType="separate"/>
        </w:r>
        <w:r w:rsidR="00BC783F">
          <w:rPr>
            <w:noProof/>
          </w:rPr>
          <w:t>3</w:t>
        </w:r>
        <w:r w:rsidR="00BC783F">
          <w:rPr>
            <w:noProof/>
          </w:rPr>
          <w:fldChar w:fldCharType="end"/>
        </w:r>
      </w:hyperlink>
    </w:p>
    <w:p w14:paraId="3ADD25C1" w14:textId="77777777" w:rsidR="00BC783F" w:rsidRDefault="009E7C9A">
      <w:pPr>
        <w:pStyle w:val="TOC2"/>
        <w:rPr>
          <w:rFonts w:asciiTheme="minorHAnsi" w:eastAsiaTheme="minorEastAsia" w:hAnsiTheme="minorHAnsi"/>
          <w:noProof/>
          <w:sz w:val="22"/>
          <w:lang w:val="pt-BR" w:eastAsia="pt-BR"/>
        </w:rPr>
      </w:pPr>
      <w:hyperlink w:anchor="_Toc382848928" w:history="1">
        <w:r w:rsidR="00BC783F" w:rsidRPr="00313ED8">
          <w:rPr>
            <w:rStyle w:val="Hyperlink"/>
            <w:noProof/>
            <w:lang w:val="es-ES_tradnl"/>
          </w:rPr>
          <w:t>Una agenda en ascenso</w:t>
        </w:r>
        <w:r w:rsidR="00BC783F">
          <w:rPr>
            <w:noProof/>
          </w:rPr>
          <w:tab/>
        </w:r>
        <w:r w:rsidR="00BC783F">
          <w:rPr>
            <w:noProof/>
          </w:rPr>
          <w:fldChar w:fldCharType="begin"/>
        </w:r>
        <w:r w:rsidR="00BC783F">
          <w:rPr>
            <w:noProof/>
          </w:rPr>
          <w:instrText xml:space="preserve"> PAGEREF _Toc382848928 \h </w:instrText>
        </w:r>
        <w:r w:rsidR="00BC783F">
          <w:rPr>
            <w:noProof/>
          </w:rPr>
        </w:r>
        <w:r w:rsidR="00BC783F">
          <w:rPr>
            <w:noProof/>
          </w:rPr>
          <w:fldChar w:fldCharType="separate"/>
        </w:r>
        <w:r w:rsidR="00BC783F">
          <w:rPr>
            <w:noProof/>
          </w:rPr>
          <w:t>4</w:t>
        </w:r>
        <w:r w:rsidR="00BC783F">
          <w:rPr>
            <w:noProof/>
          </w:rPr>
          <w:fldChar w:fldCharType="end"/>
        </w:r>
      </w:hyperlink>
    </w:p>
    <w:p w14:paraId="50FE2079" w14:textId="77777777" w:rsidR="00BC783F" w:rsidRDefault="009E7C9A">
      <w:pPr>
        <w:pStyle w:val="TOC2"/>
        <w:rPr>
          <w:rFonts w:asciiTheme="minorHAnsi" w:eastAsiaTheme="minorEastAsia" w:hAnsiTheme="minorHAnsi"/>
          <w:noProof/>
          <w:sz w:val="22"/>
          <w:lang w:val="pt-BR" w:eastAsia="pt-BR"/>
        </w:rPr>
      </w:pPr>
      <w:hyperlink w:anchor="_Toc382848929" w:history="1">
        <w:r w:rsidR="00BC783F" w:rsidRPr="00313ED8">
          <w:rPr>
            <w:rStyle w:val="Hyperlink"/>
            <w:noProof/>
            <w:lang w:val="es-ES_tradnl"/>
          </w:rPr>
          <w:t>Calculando una cifra</w:t>
        </w:r>
        <w:r w:rsidR="00BC783F">
          <w:rPr>
            <w:noProof/>
          </w:rPr>
          <w:tab/>
        </w:r>
        <w:r w:rsidR="00BC783F">
          <w:rPr>
            <w:noProof/>
          </w:rPr>
          <w:fldChar w:fldCharType="begin"/>
        </w:r>
        <w:r w:rsidR="00BC783F">
          <w:rPr>
            <w:noProof/>
          </w:rPr>
          <w:instrText xml:space="preserve"> PAGEREF _Toc382848929 \h </w:instrText>
        </w:r>
        <w:r w:rsidR="00BC783F">
          <w:rPr>
            <w:noProof/>
          </w:rPr>
        </w:r>
        <w:r w:rsidR="00BC783F">
          <w:rPr>
            <w:noProof/>
          </w:rPr>
          <w:fldChar w:fldCharType="separate"/>
        </w:r>
        <w:r w:rsidR="00BC783F">
          <w:rPr>
            <w:noProof/>
          </w:rPr>
          <w:t>5</w:t>
        </w:r>
        <w:r w:rsidR="00BC783F">
          <w:rPr>
            <w:noProof/>
          </w:rPr>
          <w:fldChar w:fldCharType="end"/>
        </w:r>
      </w:hyperlink>
    </w:p>
    <w:p w14:paraId="4030A71C" w14:textId="77777777" w:rsidR="00BC783F" w:rsidRDefault="009E7C9A">
      <w:pPr>
        <w:pStyle w:val="TOC1"/>
        <w:rPr>
          <w:rFonts w:asciiTheme="minorHAnsi" w:eastAsiaTheme="minorEastAsia" w:hAnsiTheme="minorHAnsi"/>
          <w:caps w:val="0"/>
          <w:noProof/>
          <w:sz w:val="22"/>
          <w:lang w:val="pt-BR" w:eastAsia="pt-BR"/>
        </w:rPr>
      </w:pPr>
      <w:hyperlink w:anchor="_Toc382848930" w:history="1">
        <w:r w:rsidR="00BC783F" w:rsidRPr="00313ED8">
          <w:rPr>
            <w:rStyle w:val="Hyperlink"/>
            <w:noProof/>
            <w:lang w:val="es-ES_tradnl"/>
          </w:rPr>
          <w:t>Los MóvilES</w:t>
        </w:r>
        <w:r w:rsidR="00BC783F">
          <w:rPr>
            <w:noProof/>
          </w:rPr>
          <w:tab/>
        </w:r>
        <w:r w:rsidR="00BC783F">
          <w:rPr>
            <w:noProof/>
          </w:rPr>
          <w:fldChar w:fldCharType="begin"/>
        </w:r>
        <w:r w:rsidR="00BC783F">
          <w:rPr>
            <w:noProof/>
          </w:rPr>
          <w:instrText xml:space="preserve"> PAGEREF _Toc382848930 \h </w:instrText>
        </w:r>
        <w:r w:rsidR="00BC783F">
          <w:rPr>
            <w:noProof/>
          </w:rPr>
        </w:r>
        <w:r w:rsidR="00BC783F">
          <w:rPr>
            <w:noProof/>
          </w:rPr>
          <w:fldChar w:fldCharType="separate"/>
        </w:r>
        <w:r w:rsidR="00BC783F">
          <w:rPr>
            <w:noProof/>
          </w:rPr>
          <w:t>6</w:t>
        </w:r>
        <w:r w:rsidR="00BC783F">
          <w:rPr>
            <w:noProof/>
          </w:rPr>
          <w:fldChar w:fldCharType="end"/>
        </w:r>
      </w:hyperlink>
    </w:p>
    <w:p w14:paraId="2587BF41" w14:textId="77777777" w:rsidR="00BC783F" w:rsidRDefault="009E7C9A">
      <w:pPr>
        <w:pStyle w:val="TOC2"/>
        <w:rPr>
          <w:rFonts w:asciiTheme="minorHAnsi" w:eastAsiaTheme="minorEastAsia" w:hAnsiTheme="minorHAnsi"/>
          <w:noProof/>
          <w:sz w:val="22"/>
          <w:lang w:val="pt-BR" w:eastAsia="pt-BR"/>
        </w:rPr>
      </w:pPr>
      <w:hyperlink w:anchor="_Toc382848931" w:history="1">
        <w:r w:rsidR="00BC783F" w:rsidRPr="00313ED8">
          <w:rPr>
            <w:rStyle w:val="Hyperlink"/>
            <w:noProof/>
            <w:lang w:val="es-ES_tradnl"/>
          </w:rPr>
          <w:t>Grupos empresariales como “socios igualitarios” del gobierno</w:t>
        </w:r>
        <w:r w:rsidR="00BC783F">
          <w:rPr>
            <w:noProof/>
          </w:rPr>
          <w:tab/>
        </w:r>
        <w:r w:rsidR="00BC783F">
          <w:rPr>
            <w:noProof/>
          </w:rPr>
          <w:fldChar w:fldCharType="begin"/>
        </w:r>
        <w:r w:rsidR="00BC783F">
          <w:rPr>
            <w:noProof/>
          </w:rPr>
          <w:instrText xml:space="preserve"> PAGEREF _Toc382848931 \h </w:instrText>
        </w:r>
        <w:r w:rsidR="00BC783F">
          <w:rPr>
            <w:noProof/>
          </w:rPr>
        </w:r>
        <w:r w:rsidR="00BC783F">
          <w:rPr>
            <w:noProof/>
          </w:rPr>
          <w:fldChar w:fldCharType="separate"/>
        </w:r>
        <w:r w:rsidR="00BC783F">
          <w:rPr>
            <w:noProof/>
          </w:rPr>
          <w:t>7</w:t>
        </w:r>
        <w:r w:rsidR="00BC783F">
          <w:rPr>
            <w:noProof/>
          </w:rPr>
          <w:fldChar w:fldCharType="end"/>
        </w:r>
      </w:hyperlink>
    </w:p>
    <w:p w14:paraId="63C0F189" w14:textId="77777777" w:rsidR="00BC783F" w:rsidRDefault="009E7C9A">
      <w:pPr>
        <w:pStyle w:val="TOC2"/>
        <w:rPr>
          <w:rFonts w:asciiTheme="minorHAnsi" w:eastAsiaTheme="minorEastAsia" w:hAnsiTheme="minorHAnsi"/>
          <w:noProof/>
          <w:sz w:val="22"/>
          <w:lang w:val="pt-BR" w:eastAsia="pt-BR"/>
        </w:rPr>
      </w:pPr>
      <w:hyperlink w:anchor="_Toc382848932" w:history="1">
        <w:r w:rsidR="00BC783F" w:rsidRPr="00313ED8">
          <w:rPr>
            <w:rStyle w:val="Hyperlink"/>
            <w:noProof/>
            <w:lang w:val="es-ES_tradnl"/>
          </w:rPr>
          <w:t>Apalancamiento y ayuda condicionada</w:t>
        </w:r>
        <w:r w:rsidR="00BC783F">
          <w:rPr>
            <w:noProof/>
          </w:rPr>
          <w:tab/>
        </w:r>
        <w:r w:rsidR="00BC783F">
          <w:rPr>
            <w:noProof/>
          </w:rPr>
          <w:fldChar w:fldCharType="begin"/>
        </w:r>
        <w:r w:rsidR="00BC783F">
          <w:rPr>
            <w:noProof/>
          </w:rPr>
          <w:instrText xml:space="preserve"> PAGEREF _Toc382848932 \h </w:instrText>
        </w:r>
        <w:r w:rsidR="00BC783F">
          <w:rPr>
            <w:noProof/>
          </w:rPr>
        </w:r>
        <w:r w:rsidR="00BC783F">
          <w:rPr>
            <w:noProof/>
          </w:rPr>
          <w:fldChar w:fldCharType="separate"/>
        </w:r>
        <w:r w:rsidR="00BC783F">
          <w:rPr>
            <w:noProof/>
          </w:rPr>
          <w:t>7</w:t>
        </w:r>
        <w:r w:rsidR="00BC783F">
          <w:rPr>
            <w:noProof/>
          </w:rPr>
          <w:fldChar w:fldCharType="end"/>
        </w:r>
      </w:hyperlink>
    </w:p>
    <w:p w14:paraId="7BFEF533" w14:textId="77777777" w:rsidR="00BC783F" w:rsidRDefault="009E7C9A">
      <w:pPr>
        <w:pStyle w:val="TOC2"/>
        <w:rPr>
          <w:rFonts w:asciiTheme="minorHAnsi" w:eastAsiaTheme="minorEastAsia" w:hAnsiTheme="minorHAnsi"/>
          <w:noProof/>
          <w:sz w:val="22"/>
          <w:lang w:val="pt-BR" w:eastAsia="pt-BR"/>
        </w:rPr>
      </w:pPr>
      <w:hyperlink w:anchor="_Toc382848933" w:history="1">
        <w:r w:rsidR="00BC783F" w:rsidRPr="00313ED8">
          <w:rPr>
            <w:rStyle w:val="Hyperlink"/>
            <w:noProof/>
            <w:lang w:val="es-ES_tradnl"/>
          </w:rPr>
          <w:t>Negocios inclusivos</w:t>
        </w:r>
        <w:r w:rsidR="00BC783F">
          <w:rPr>
            <w:noProof/>
          </w:rPr>
          <w:tab/>
        </w:r>
        <w:r w:rsidR="00BC783F">
          <w:rPr>
            <w:noProof/>
          </w:rPr>
          <w:fldChar w:fldCharType="begin"/>
        </w:r>
        <w:r w:rsidR="00BC783F">
          <w:rPr>
            <w:noProof/>
          </w:rPr>
          <w:instrText xml:space="preserve"> PAGEREF _Toc382848933 \h </w:instrText>
        </w:r>
        <w:r w:rsidR="00BC783F">
          <w:rPr>
            <w:noProof/>
          </w:rPr>
        </w:r>
        <w:r w:rsidR="00BC783F">
          <w:rPr>
            <w:noProof/>
          </w:rPr>
          <w:fldChar w:fldCharType="separate"/>
        </w:r>
        <w:r w:rsidR="00BC783F">
          <w:rPr>
            <w:noProof/>
          </w:rPr>
          <w:t>8</w:t>
        </w:r>
        <w:r w:rsidR="00BC783F">
          <w:rPr>
            <w:noProof/>
          </w:rPr>
          <w:fldChar w:fldCharType="end"/>
        </w:r>
      </w:hyperlink>
    </w:p>
    <w:p w14:paraId="7F119CF6" w14:textId="492F51EF" w:rsidR="00BC783F" w:rsidRDefault="009E7C9A">
      <w:pPr>
        <w:pStyle w:val="TOC1"/>
        <w:rPr>
          <w:rFonts w:asciiTheme="minorHAnsi" w:eastAsiaTheme="minorEastAsia" w:hAnsiTheme="minorHAnsi"/>
          <w:caps w:val="0"/>
          <w:noProof/>
          <w:sz w:val="22"/>
          <w:lang w:val="pt-BR" w:eastAsia="pt-BR"/>
        </w:rPr>
      </w:pPr>
      <w:hyperlink w:anchor="_Toc382848934" w:history="1">
        <w:r w:rsidR="00BC783F" w:rsidRPr="00313ED8">
          <w:rPr>
            <w:rStyle w:val="Hyperlink"/>
            <w:noProof/>
            <w:lang w:val="es-ES_tradnl"/>
          </w:rPr>
          <w:fldChar w:fldCharType="begin"/>
        </w:r>
        <w:r w:rsidR="00BC783F" w:rsidRPr="00313ED8">
          <w:rPr>
            <w:rStyle w:val="Hyperlink"/>
            <w:noProof/>
            <w:lang w:val="es-ES_tradnl"/>
          </w:rPr>
          <w:instrText xml:space="preserve"> MACROBUTTON NUMBERING </w:instrText>
        </w:r>
        <w:r w:rsidR="00BC783F" w:rsidRPr="00313ED8">
          <w:rPr>
            <w:rStyle w:val="Hyperlink"/>
            <w:noProof/>
            <w:lang w:val="es-ES_tradnl"/>
          </w:rPr>
          <w:fldChar w:fldCharType="begin"/>
        </w:r>
        <w:r w:rsidR="00BC783F" w:rsidRPr="00313ED8">
          <w:rPr>
            <w:rStyle w:val="Hyperlink"/>
            <w:noProof/>
            <w:lang w:val="es-ES_tradnl"/>
          </w:rPr>
          <w:instrText xml:space="preserve"> SEQ  cpara \h \r 0</w:instrText>
        </w:r>
        <w:r w:rsidR="00BC783F" w:rsidRPr="00313ED8">
          <w:rPr>
            <w:rStyle w:val="Hyperlink"/>
            <w:noProof/>
            <w:lang w:val="es-ES_tradnl"/>
          </w:rPr>
          <w:fldChar w:fldCharType="end"/>
        </w:r>
        <w:r w:rsidR="00BC783F" w:rsidRPr="00313ED8">
          <w:rPr>
            <w:rStyle w:val="Hyperlink"/>
            <w:noProof/>
            <w:lang w:val="es-ES_tradnl"/>
          </w:rPr>
          <w:fldChar w:fldCharType="begin"/>
        </w:r>
        <w:r w:rsidR="00BC783F" w:rsidRPr="00313ED8">
          <w:rPr>
            <w:rStyle w:val="Hyperlink"/>
            <w:noProof/>
            <w:lang w:val="es-ES_tradnl"/>
          </w:rPr>
          <w:instrText xml:space="preserve"> SEQ  ccount \h</w:instrText>
        </w:r>
        <w:r w:rsidR="00BC783F" w:rsidRPr="00313ED8">
          <w:rPr>
            <w:rStyle w:val="Hyperlink"/>
            <w:noProof/>
            <w:lang w:val="es-ES_tradnl"/>
          </w:rPr>
          <w:fldChar w:fldCharType="end"/>
        </w:r>
        <w:r w:rsidR="00BC783F" w:rsidRPr="00313ED8">
          <w:rPr>
            <w:rStyle w:val="Hyperlink"/>
            <w:noProof/>
            <w:lang w:val="es-ES_tradnl"/>
          </w:rPr>
          <w:fldChar w:fldCharType="end"/>
        </w:r>
        <w:r w:rsidR="00BC783F" w:rsidRPr="00313ED8">
          <w:rPr>
            <w:rStyle w:val="Hyperlink"/>
            <w:noProof/>
            <w:lang w:val="es-ES_tradnl"/>
          </w:rPr>
          <w:t>PRIORIDADES DE POLÍTICA</w:t>
        </w:r>
        <w:r w:rsidR="00BC783F">
          <w:rPr>
            <w:noProof/>
          </w:rPr>
          <w:tab/>
        </w:r>
        <w:r w:rsidR="00BC783F">
          <w:rPr>
            <w:noProof/>
          </w:rPr>
          <w:fldChar w:fldCharType="begin"/>
        </w:r>
        <w:r w:rsidR="00BC783F">
          <w:rPr>
            <w:noProof/>
          </w:rPr>
          <w:instrText xml:space="preserve"> PAGEREF _Toc382848934 \h </w:instrText>
        </w:r>
        <w:r w:rsidR="00BC783F">
          <w:rPr>
            <w:noProof/>
          </w:rPr>
        </w:r>
        <w:r w:rsidR="00BC783F">
          <w:rPr>
            <w:noProof/>
          </w:rPr>
          <w:fldChar w:fldCharType="separate"/>
        </w:r>
        <w:r w:rsidR="00BC783F">
          <w:rPr>
            <w:noProof/>
          </w:rPr>
          <w:t>9</w:t>
        </w:r>
        <w:r w:rsidR="00BC783F">
          <w:rPr>
            <w:noProof/>
          </w:rPr>
          <w:fldChar w:fldCharType="end"/>
        </w:r>
      </w:hyperlink>
    </w:p>
    <w:p w14:paraId="61BF77BC" w14:textId="77777777" w:rsidR="00BC783F" w:rsidRDefault="009E7C9A">
      <w:pPr>
        <w:pStyle w:val="TOC2"/>
        <w:rPr>
          <w:rFonts w:asciiTheme="minorHAnsi" w:eastAsiaTheme="minorEastAsia" w:hAnsiTheme="minorHAnsi"/>
          <w:noProof/>
          <w:sz w:val="22"/>
          <w:lang w:val="pt-BR" w:eastAsia="pt-BR"/>
        </w:rPr>
      </w:pPr>
      <w:hyperlink w:anchor="_Toc382848935" w:history="1">
        <w:r w:rsidR="00BC783F" w:rsidRPr="00313ED8">
          <w:rPr>
            <w:rStyle w:val="Hyperlink"/>
            <w:noProof/>
            <w:lang w:val="es-ES_tradnl"/>
          </w:rPr>
          <w:t>Afirmando el rol del Estado en el desarrollo</w:t>
        </w:r>
        <w:r w:rsidR="00BC783F">
          <w:rPr>
            <w:noProof/>
          </w:rPr>
          <w:tab/>
        </w:r>
        <w:r w:rsidR="00BC783F">
          <w:rPr>
            <w:noProof/>
          </w:rPr>
          <w:fldChar w:fldCharType="begin"/>
        </w:r>
        <w:r w:rsidR="00BC783F">
          <w:rPr>
            <w:noProof/>
          </w:rPr>
          <w:instrText xml:space="preserve"> PAGEREF _Toc382848935 \h </w:instrText>
        </w:r>
        <w:r w:rsidR="00BC783F">
          <w:rPr>
            <w:noProof/>
          </w:rPr>
        </w:r>
        <w:r w:rsidR="00BC783F">
          <w:rPr>
            <w:noProof/>
          </w:rPr>
          <w:fldChar w:fldCharType="separate"/>
        </w:r>
        <w:r w:rsidR="00BC783F">
          <w:rPr>
            <w:noProof/>
          </w:rPr>
          <w:t>9</w:t>
        </w:r>
        <w:r w:rsidR="00BC783F">
          <w:rPr>
            <w:noProof/>
          </w:rPr>
          <w:fldChar w:fldCharType="end"/>
        </w:r>
      </w:hyperlink>
    </w:p>
    <w:p w14:paraId="09615692" w14:textId="77777777" w:rsidR="00BC783F" w:rsidRDefault="009E7C9A">
      <w:pPr>
        <w:pStyle w:val="TOC2"/>
        <w:rPr>
          <w:rFonts w:asciiTheme="minorHAnsi" w:eastAsiaTheme="minorEastAsia" w:hAnsiTheme="minorHAnsi"/>
          <w:noProof/>
          <w:sz w:val="22"/>
          <w:lang w:val="pt-BR" w:eastAsia="pt-BR"/>
        </w:rPr>
      </w:pPr>
      <w:hyperlink w:anchor="_Toc382848936" w:history="1">
        <w:r w:rsidR="00BC783F" w:rsidRPr="00313ED8">
          <w:rPr>
            <w:rStyle w:val="Hyperlink"/>
            <w:noProof/>
            <w:lang w:val="es-ES_tradnl"/>
          </w:rPr>
          <w:t>Sosteniendo un abordaje del desarrollo basado en derechos a través del Estado de derecho y el diálogo social</w:t>
        </w:r>
        <w:r w:rsidR="00BC783F">
          <w:rPr>
            <w:noProof/>
          </w:rPr>
          <w:tab/>
        </w:r>
        <w:r w:rsidR="00BC783F">
          <w:rPr>
            <w:noProof/>
          </w:rPr>
          <w:fldChar w:fldCharType="begin"/>
        </w:r>
        <w:r w:rsidR="00BC783F">
          <w:rPr>
            <w:noProof/>
          </w:rPr>
          <w:instrText xml:space="preserve"> PAGEREF _Toc382848936 \h </w:instrText>
        </w:r>
        <w:r w:rsidR="00BC783F">
          <w:rPr>
            <w:noProof/>
          </w:rPr>
        </w:r>
        <w:r w:rsidR="00BC783F">
          <w:rPr>
            <w:noProof/>
          </w:rPr>
          <w:fldChar w:fldCharType="separate"/>
        </w:r>
        <w:r w:rsidR="00BC783F">
          <w:rPr>
            <w:noProof/>
          </w:rPr>
          <w:t>10</w:t>
        </w:r>
        <w:r w:rsidR="00BC783F">
          <w:rPr>
            <w:noProof/>
          </w:rPr>
          <w:fldChar w:fldCharType="end"/>
        </w:r>
      </w:hyperlink>
    </w:p>
    <w:p w14:paraId="7642C866" w14:textId="77777777" w:rsidR="00BC783F" w:rsidRDefault="009E7C9A">
      <w:pPr>
        <w:pStyle w:val="TOC2"/>
        <w:rPr>
          <w:rFonts w:asciiTheme="minorHAnsi" w:eastAsiaTheme="minorEastAsia" w:hAnsiTheme="minorHAnsi"/>
          <w:noProof/>
          <w:sz w:val="22"/>
          <w:lang w:val="pt-BR" w:eastAsia="pt-BR"/>
        </w:rPr>
      </w:pPr>
      <w:hyperlink w:anchor="_Toc382848937" w:history="1">
        <w:r w:rsidR="00BC783F" w:rsidRPr="00313ED8">
          <w:rPr>
            <w:rStyle w:val="Hyperlink"/>
            <w:noProof/>
            <w:lang w:val="es-ES_tradnl"/>
          </w:rPr>
          <w:t>Pidiendo cuentas a las multinacionales</w:t>
        </w:r>
        <w:r w:rsidR="00BC783F">
          <w:rPr>
            <w:noProof/>
          </w:rPr>
          <w:tab/>
        </w:r>
        <w:r w:rsidR="00BC783F">
          <w:rPr>
            <w:noProof/>
          </w:rPr>
          <w:fldChar w:fldCharType="begin"/>
        </w:r>
        <w:r w:rsidR="00BC783F">
          <w:rPr>
            <w:noProof/>
          </w:rPr>
          <w:instrText xml:space="preserve"> PAGEREF _Toc382848937 \h </w:instrText>
        </w:r>
        <w:r w:rsidR="00BC783F">
          <w:rPr>
            <w:noProof/>
          </w:rPr>
        </w:r>
        <w:r w:rsidR="00BC783F">
          <w:rPr>
            <w:noProof/>
          </w:rPr>
          <w:fldChar w:fldCharType="separate"/>
        </w:r>
        <w:r w:rsidR="00BC783F">
          <w:rPr>
            <w:noProof/>
          </w:rPr>
          <w:t>10</w:t>
        </w:r>
        <w:r w:rsidR="00BC783F">
          <w:rPr>
            <w:noProof/>
          </w:rPr>
          <w:fldChar w:fldCharType="end"/>
        </w:r>
      </w:hyperlink>
    </w:p>
    <w:p w14:paraId="7B0ED515" w14:textId="77777777" w:rsidR="00BC783F" w:rsidRDefault="009E7C9A">
      <w:pPr>
        <w:pStyle w:val="TOC2"/>
        <w:rPr>
          <w:rFonts w:asciiTheme="minorHAnsi" w:eastAsiaTheme="minorEastAsia" w:hAnsiTheme="minorHAnsi"/>
          <w:noProof/>
          <w:sz w:val="22"/>
          <w:lang w:val="pt-BR" w:eastAsia="pt-BR"/>
        </w:rPr>
      </w:pPr>
      <w:hyperlink w:anchor="_Toc382848938" w:history="1">
        <w:r w:rsidR="00BC783F" w:rsidRPr="00313ED8">
          <w:rPr>
            <w:rStyle w:val="Hyperlink"/>
            <w:noProof/>
            <w:lang w:val="es-ES_tradnl"/>
          </w:rPr>
          <w:t>Estableciendo estándares para la eficacia de la ayuda, midiendo impactos y resultados</w:t>
        </w:r>
        <w:r w:rsidR="00BC783F">
          <w:rPr>
            <w:noProof/>
          </w:rPr>
          <w:tab/>
        </w:r>
        <w:r w:rsidR="00BC783F">
          <w:rPr>
            <w:noProof/>
          </w:rPr>
          <w:fldChar w:fldCharType="begin"/>
        </w:r>
        <w:r w:rsidR="00BC783F">
          <w:rPr>
            <w:noProof/>
          </w:rPr>
          <w:instrText xml:space="preserve"> PAGEREF _Toc382848938 \h </w:instrText>
        </w:r>
        <w:r w:rsidR="00BC783F">
          <w:rPr>
            <w:noProof/>
          </w:rPr>
        </w:r>
        <w:r w:rsidR="00BC783F">
          <w:rPr>
            <w:noProof/>
          </w:rPr>
          <w:fldChar w:fldCharType="separate"/>
        </w:r>
        <w:r w:rsidR="00BC783F">
          <w:rPr>
            <w:noProof/>
          </w:rPr>
          <w:t>11</w:t>
        </w:r>
        <w:r w:rsidR="00BC783F">
          <w:rPr>
            <w:noProof/>
          </w:rPr>
          <w:fldChar w:fldCharType="end"/>
        </w:r>
      </w:hyperlink>
    </w:p>
    <w:p w14:paraId="0311735B" w14:textId="77777777" w:rsidR="00BC783F" w:rsidRDefault="009E7C9A">
      <w:pPr>
        <w:pStyle w:val="TOC2"/>
        <w:rPr>
          <w:rFonts w:asciiTheme="minorHAnsi" w:eastAsiaTheme="minorEastAsia" w:hAnsiTheme="minorHAnsi"/>
          <w:noProof/>
          <w:sz w:val="22"/>
          <w:lang w:val="pt-BR" w:eastAsia="pt-BR"/>
        </w:rPr>
      </w:pPr>
      <w:hyperlink w:anchor="_Toc382848939" w:history="1">
        <w:r w:rsidR="00BC783F" w:rsidRPr="00313ED8">
          <w:rPr>
            <w:rStyle w:val="Hyperlink"/>
            <w:noProof/>
            <w:lang w:val="es-ES_tradnl"/>
          </w:rPr>
          <w:t>Apoyando a las PyMEs y al emprendedorismo, combatiendo la informalidad</w:t>
        </w:r>
        <w:r w:rsidR="00BC783F">
          <w:rPr>
            <w:noProof/>
          </w:rPr>
          <w:tab/>
        </w:r>
        <w:r w:rsidR="00BC783F">
          <w:rPr>
            <w:noProof/>
          </w:rPr>
          <w:fldChar w:fldCharType="begin"/>
        </w:r>
        <w:r w:rsidR="00BC783F">
          <w:rPr>
            <w:noProof/>
          </w:rPr>
          <w:instrText xml:space="preserve"> PAGEREF _Toc382848939 \h </w:instrText>
        </w:r>
        <w:r w:rsidR="00BC783F">
          <w:rPr>
            <w:noProof/>
          </w:rPr>
        </w:r>
        <w:r w:rsidR="00BC783F">
          <w:rPr>
            <w:noProof/>
          </w:rPr>
          <w:fldChar w:fldCharType="separate"/>
        </w:r>
        <w:r w:rsidR="00BC783F">
          <w:rPr>
            <w:noProof/>
          </w:rPr>
          <w:t>11</w:t>
        </w:r>
        <w:r w:rsidR="00BC783F">
          <w:rPr>
            <w:noProof/>
          </w:rPr>
          <w:fldChar w:fldCharType="end"/>
        </w:r>
      </w:hyperlink>
    </w:p>
    <w:p w14:paraId="4F830CC0" w14:textId="77777777" w:rsidR="00BC783F" w:rsidRDefault="009E7C9A">
      <w:pPr>
        <w:pStyle w:val="TOC1"/>
        <w:rPr>
          <w:rFonts w:asciiTheme="minorHAnsi" w:eastAsiaTheme="minorEastAsia" w:hAnsiTheme="minorHAnsi"/>
          <w:caps w:val="0"/>
          <w:noProof/>
          <w:sz w:val="22"/>
          <w:lang w:val="pt-BR" w:eastAsia="pt-BR"/>
        </w:rPr>
      </w:pPr>
      <w:hyperlink w:anchor="_Toc382848940" w:history="1">
        <w:r w:rsidR="00BC783F" w:rsidRPr="00313ED8">
          <w:rPr>
            <w:rStyle w:val="Hyperlink"/>
            <w:noProof/>
            <w:lang w:val="es-ES_tradnl"/>
          </w:rPr>
          <w:t>conclusión</w:t>
        </w:r>
        <w:r w:rsidR="00BC783F">
          <w:rPr>
            <w:noProof/>
          </w:rPr>
          <w:tab/>
        </w:r>
        <w:r w:rsidR="00BC783F">
          <w:rPr>
            <w:noProof/>
          </w:rPr>
          <w:fldChar w:fldCharType="begin"/>
        </w:r>
        <w:r w:rsidR="00BC783F">
          <w:rPr>
            <w:noProof/>
          </w:rPr>
          <w:instrText xml:space="preserve"> PAGEREF _Toc382848940 \h </w:instrText>
        </w:r>
        <w:r w:rsidR="00BC783F">
          <w:rPr>
            <w:noProof/>
          </w:rPr>
        </w:r>
        <w:r w:rsidR="00BC783F">
          <w:rPr>
            <w:noProof/>
          </w:rPr>
          <w:fldChar w:fldCharType="separate"/>
        </w:r>
        <w:r w:rsidR="00BC783F">
          <w:rPr>
            <w:noProof/>
          </w:rPr>
          <w:t>12</w:t>
        </w:r>
        <w:r w:rsidR="00BC783F">
          <w:rPr>
            <w:noProof/>
          </w:rPr>
          <w:fldChar w:fldCharType="end"/>
        </w:r>
      </w:hyperlink>
    </w:p>
    <w:p w14:paraId="224746AE" w14:textId="51A74192" w:rsidR="00EF7788" w:rsidRPr="001121C9" w:rsidRDefault="00EF7788">
      <w:pPr>
        <w:rPr>
          <w:b/>
          <w:noProof/>
          <w:lang w:val="es-ES_tradnl"/>
        </w:rPr>
      </w:pPr>
      <w:r w:rsidRPr="001121C9">
        <w:rPr>
          <w:b/>
          <w:noProof/>
          <w:lang w:val="es-ES_tradnl"/>
        </w:rPr>
        <w:fldChar w:fldCharType="end"/>
      </w:r>
      <w:r w:rsidRPr="001121C9">
        <w:rPr>
          <w:b/>
          <w:noProof/>
          <w:lang w:val="es-ES_tradnl"/>
        </w:rPr>
        <w:fldChar w:fldCharType="begin"/>
      </w:r>
      <w:r w:rsidRPr="001121C9">
        <w:rPr>
          <w:b/>
          <w:noProof/>
          <w:lang w:val="es-ES_tradnl"/>
        </w:rPr>
        <w:instrText xml:space="preserve"> SEQ ccount \h \r0 </w:instrText>
      </w:r>
      <w:r w:rsidRPr="001121C9">
        <w:rPr>
          <w:b/>
          <w:noProof/>
          <w:lang w:val="es-ES_tradnl"/>
        </w:rPr>
        <w:fldChar w:fldCharType="end"/>
      </w:r>
    </w:p>
    <w:p w14:paraId="236F482C" w14:textId="77777777" w:rsidR="00EF7788" w:rsidRPr="001121C9" w:rsidRDefault="00EF7788">
      <w:pPr>
        <w:rPr>
          <w:b/>
          <w:noProof/>
          <w:lang w:val="es-ES_tradnl"/>
        </w:rPr>
      </w:pPr>
    </w:p>
    <w:p w14:paraId="7F3073FB" w14:textId="77777777" w:rsidR="00EF7788" w:rsidRPr="001121C9" w:rsidRDefault="00EF7788">
      <w:pPr>
        <w:rPr>
          <w:lang w:val="es-ES_tradnl"/>
        </w:rPr>
      </w:pPr>
      <w:r w:rsidRPr="001121C9">
        <w:rPr>
          <w:lang w:val="es-ES_tradnl"/>
        </w:rPr>
        <w:br w:type="page"/>
      </w:r>
    </w:p>
    <w:bookmarkEnd w:id="0"/>
    <w:p w14:paraId="00DE66A3" w14:textId="77777777" w:rsidR="00FE5B73" w:rsidRPr="001121C9" w:rsidRDefault="00FE5B73">
      <w:pPr>
        <w:rPr>
          <w:lang w:val="es-ES_tradnl"/>
        </w:rPr>
      </w:pPr>
    </w:p>
    <w:p w14:paraId="6F1437D4" w14:textId="77777777" w:rsidR="00FE5B73" w:rsidRPr="001121C9" w:rsidRDefault="00FE5B73" w:rsidP="008E7283">
      <w:pPr>
        <w:rPr>
          <w:lang w:val="es-ES_tradnl"/>
        </w:rPr>
      </w:pPr>
    </w:p>
    <w:p w14:paraId="75AEBE31" w14:textId="77777777" w:rsidR="008E7283" w:rsidRPr="001121C9" w:rsidRDefault="008E7283" w:rsidP="008E7283">
      <w:pPr>
        <w:pStyle w:val="Heading1"/>
        <w:rPr>
          <w:lang w:val="es-ES_tradnl"/>
        </w:rPr>
      </w:pPr>
      <w:bookmarkStart w:id="2" w:name="_Toc378166812"/>
      <w:bookmarkStart w:id="3" w:name="_Toc381823846"/>
      <w:bookmarkStart w:id="4" w:name="_Toc382332816"/>
      <w:bookmarkStart w:id="5" w:name="_Toc382848926"/>
      <w:r w:rsidRPr="001121C9">
        <w:rPr>
          <w:lang w:val="es-ES_tradnl"/>
        </w:rPr>
        <w:t>Introduc</w:t>
      </w:r>
      <w:r w:rsidR="009F03C4">
        <w:rPr>
          <w:lang w:val="es-ES_tradnl"/>
        </w:rPr>
        <w:t>CIÓN</w:t>
      </w:r>
      <w:bookmarkEnd w:id="2"/>
      <w:bookmarkEnd w:id="3"/>
      <w:bookmarkEnd w:id="4"/>
      <w:bookmarkEnd w:id="5"/>
    </w:p>
    <w:p w14:paraId="4BC3650C" w14:textId="06C2347D" w:rsidR="00913B0C" w:rsidRDefault="003B570D" w:rsidP="00BC783F">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1</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9F03C4">
        <w:rPr>
          <w:lang w:val="es-ES_tradnl"/>
        </w:rPr>
        <w:t>Un creciente coro de voces</w:t>
      </w:r>
      <w:r w:rsidR="00913B0C">
        <w:rPr>
          <w:lang w:val="es-ES_tradnl"/>
        </w:rPr>
        <w:t xml:space="preserve"> al interior de las instituciones multilaterales y agencias de cooperación está defendiendo el rol del sector privado</w:t>
      </w:r>
      <w:r w:rsidR="00FB6215">
        <w:rPr>
          <w:lang w:val="es-ES_tradnl"/>
        </w:rPr>
        <w:t xml:space="preserve"> en el desarrollo, en un momento –</w:t>
      </w:r>
      <w:r w:rsidR="00913B0C">
        <w:rPr>
          <w:lang w:val="es-ES_tradnl"/>
        </w:rPr>
        <w:t xml:space="preserve"> muy probablemente no </w:t>
      </w:r>
      <w:r w:rsidR="00FB6215">
        <w:rPr>
          <w:lang w:val="es-ES_tradnl"/>
        </w:rPr>
        <w:t xml:space="preserve">se trata de una </w:t>
      </w:r>
      <w:r w:rsidR="00913B0C">
        <w:rPr>
          <w:lang w:val="es-ES_tradnl"/>
        </w:rPr>
        <w:t>casual</w:t>
      </w:r>
      <w:r w:rsidR="00FB6215">
        <w:rPr>
          <w:lang w:val="es-ES_tradnl"/>
        </w:rPr>
        <w:t>idad –</w:t>
      </w:r>
      <w:r w:rsidR="00913B0C">
        <w:rPr>
          <w:lang w:val="es-ES_tradnl"/>
        </w:rPr>
        <w:t xml:space="preserve"> en que el presupuesto de la Ayuda Oficial al Desarrollo (AOD) está </w:t>
      </w:r>
      <w:r w:rsidR="00FB6215">
        <w:rPr>
          <w:lang w:val="es-ES_tradnl"/>
        </w:rPr>
        <w:t>menguando</w:t>
      </w:r>
      <w:r w:rsidR="00913B0C">
        <w:rPr>
          <w:lang w:val="es-ES_tradnl"/>
        </w:rPr>
        <w:t xml:space="preserve">, los </w:t>
      </w:r>
      <w:r w:rsidR="00FB6215">
        <w:rPr>
          <w:lang w:val="es-ES_tradnl"/>
        </w:rPr>
        <w:t xml:space="preserve">plazos de los </w:t>
      </w:r>
      <w:r w:rsidR="00913B0C">
        <w:rPr>
          <w:lang w:val="es-ES_tradnl"/>
        </w:rPr>
        <w:t xml:space="preserve">Objetivos de Desarrollo del Milenio para 2015 se están acercando rápidamente y la agenda de </w:t>
      </w:r>
      <w:r w:rsidR="00FB6215">
        <w:rPr>
          <w:lang w:val="es-ES_tradnl"/>
        </w:rPr>
        <w:t xml:space="preserve">la </w:t>
      </w:r>
      <w:r w:rsidR="00913B0C">
        <w:rPr>
          <w:lang w:val="es-ES_tradnl"/>
        </w:rPr>
        <w:t>cooperación para el desarrollo post 2015 está tomando forma. Aunque no existe un método establecido para medir el volumen de iniciativas d</w:t>
      </w:r>
      <w:r w:rsidR="00FB6215">
        <w:rPr>
          <w:lang w:val="es-ES_tradnl"/>
        </w:rPr>
        <w:t>el sector privado orientadas a</w:t>
      </w:r>
      <w:r w:rsidR="00913B0C">
        <w:rPr>
          <w:lang w:val="es-ES_tradnl"/>
        </w:rPr>
        <w:t xml:space="preserve">l desarrollo, está claro que la </w:t>
      </w:r>
      <w:r w:rsidR="0072242D">
        <w:rPr>
          <w:lang w:val="es-ES_tradnl"/>
        </w:rPr>
        <w:t xml:space="preserve">AOD destinada al sector privado para el desarrollo se incrementa continuamente. </w:t>
      </w:r>
    </w:p>
    <w:p w14:paraId="220851F5" w14:textId="77777777" w:rsidR="008E7283" w:rsidRPr="001121C9" w:rsidRDefault="008E7283" w:rsidP="00BC783F">
      <w:pPr>
        <w:pStyle w:val="Num-DocParagraph"/>
        <w:jc w:val="both"/>
        <w:rPr>
          <w:lang w:val="es-ES_tradnl"/>
        </w:rPr>
      </w:pPr>
    </w:p>
    <w:p w14:paraId="343CDA41" w14:textId="2D1CCF7D" w:rsidR="003B570D" w:rsidRPr="001121C9" w:rsidRDefault="003B570D" w:rsidP="00BC783F">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2</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72242D">
        <w:rPr>
          <w:lang w:val="es-ES_tradnl"/>
        </w:rPr>
        <w:t>En lo que sigue, trataremos de ofrecer una definición estable y exhaustiva de sector privado para el desarrollo</w:t>
      </w:r>
      <w:r w:rsidR="00FB6215">
        <w:rPr>
          <w:lang w:val="es-ES_tradnl"/>
        </w:rPr>
        <w:t xml:space="preserve"> (lo cual no es necesariamente un</w:t>
      </w:r>
      <w:r w:rsidR="0072242D">
        <w:rPr>
          <w:lang w:val="es-ES_tradnl"/>
        </w:rPr>
        <w:t xml:space="preserve"> ejercicio sencillo), identificar cuáles son </w:t>
      </w:r>
      <w:r w:rsidR="000256EE">
        <w:rPr>
          <w:lang w:val="es-ES_tradnl"/>
        </w:rPr>
        <w:t>sus</w:t>
      </w:r>
      <w:r w:rsidR="0072242D">
        <w:rPr>
          <w:lang w:val="es-ES_tradnl"/>
        </w:rPr>
        <w:t xml:space="preserve"> foros e iniciativas relevantes a nivel internacional y</w:t>
      </w:r>
      <w:r w:rsidR="00070373">
        <w:rPr>
          <w:lang w:val="es-ES_tradnl"/>
        </w:rPr>
        <w:t>,</w:t>
      </w:r>
      <w:r w:rsidR="0072242D">
        <w:rPr>
          <w:lang w:val="es-ES_tradnl"/>
        </w:rPr>
        <w:t xml:space="preserve"> finalmente</w:t>
      </w:r>
      <w:r w:rsidR="00070373">
        <w:rPr>
          <w:lang w:val="es-ES_tradnl"/>
        </w:rPr>
        <w:t>,</w:t>
      </w:r>
      <w:r w:rsidR="0072242D">
        <w:rPr>
          <w:lang w:val="es-ES_tradnl"/>
        </w:rPr>
        <w:t xml:space="preserve"> ayudar a evaluar la escala y el volumen de</w:t>
      </w:r>
      <w:r w:rsidR="000256EE">
        <w:rPr>
          <w:lang w:val="es-ES_tradnl"/>
        </w:rPr>
        <w:t xml:space="preserve"> su</w:t>
      </w:r>
      <w:r w:rsidR="0072242D">
        <w:rPr>
          <w:lang w:val="es-ES_tradnl"/>
        </w:rPr>
        <w:t xml:space="preserve"> financiamiento comparado al de la AOD “tradicional”.</w:t>
      </w:r>
    </w:p>
    <w:p w14:paraId="1D8DB693" w14:textId="77777777" w:rsidR="003B570D" w:rsidRPr="001121C9" w:rsidRDefault="003B570D" w:rsidP="00BC783F">
      <w:pPr>
        <w:pStyle w:val="Num-DocParagraph"/>
        <w:jc w:val="both"/>
        <w:rPr>
          <w:lang w:val="es-ES_tradnl"/>
        </w:rPr>
      </w:pPr>
    </w:p>
    <w:p w14:paraId="60A1D967" w14:textId="77777777" w:rsidR="008E7283" w:rsidRPr="001121C9" w:rsidRDefault="0072242D" w:rsidP="00BC783F">
      <w:pPr>
        <w:pStyle w:val="Heading2"/>
        <w:jc w:val="both"/>
        <w:rPr>
          <w:lang w:val="es-ES_tradnl"/>
        </w:rPr>
      </w:pPr>
      <w:bookmarkStart w:id="6" w:name="_Toc378166813"/>
      <w:bookmarkStart w:id="7" w:name="_Toc378149365"/>
      <w:bookmarkStart w:id="8" w:name="_Toc381823847"/>
      <w:bookmarkStart w:id="9" w:name="_Toc382332817"/>
      <w:bookmarkStart w:id="10" w:name="_Toc382848927"/>
      <w:r>
        <w:rPr>
          <w:lang w:val="es-ES_tradnl"/>
        </w:rPr>
        <w:t>¿Qué es el sector privado para el desarrollo</w:t>
      </w:r>
      <w:r w:rsidR="008E7283" w:rsidRPr="001121C9">
        <w:rPr>
          <w:lang w:val="es-ES_tradnl"/>
        </w:rPr>
        <w:t>?</w:t>
      </w:r>
      <w:bookmarkEnd w:id="6"/>
      <w:bookmarkEnd w:id="7"/>
      <w:bookmarkEnd w:id="8"/>
      <w:bookmarkEnd w:id="9"/>
      <w:bookmarkEnd w:id="10"/>
    </w:p>
    <w:p w14:paraId="3C1E2081" w14:textId="0C42D12B" w:rsidR="008E7283" w:rsidRPr="001121C9" w:rsidRDefault="008E7283" w:rsidP="00BC783F">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3</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715594">
        <w:rPr>
          <w:lang w:val="es-ES_tradnl"/>
        </w:rPr>
        <w:t xml:space="preserve">El concepto de </w:t>
      </w:r>
      <w:r w:rsidR="00AE02D6">
        <w:rPr>
          <w:lang w:val="es-ES_tradnl"/>
        </w:rPr>
        <w:t>sector privado para el desarrollo se refiere a las varias formas de compromiso contractual entre una parte pública por un lado – que puede ser un donante público, otro tipo de institución pública relacionada a la ayuda, o una administración pública –</w:t>
      </w:r>
      <w:r w:rsidR="00715594">
        <w:rPr>
          <w:lang w:val="es-ES_tradnl"/>
        </w:rPr>
        <w:t xml:space="preserve"> y una parte privada por </w:t>
      </w:r>
      <w:r w:rsidR="00AE02D6">
        <w:rPr>
          <w:lang w:val="es-ES_tradnl"/>
        </w:rPr>
        <w:t>e</w:t>
      </w:r>
      <w:r w:rsidR="00715594">
        <w:rPr>
          <w:lang w:val="es-ES_tradnl"/>
        </w:rPr>
        <w:t>l</w:t>
      </w:r>
      <w:r w:rsidR="00AE02D6">
        <w:rPr>
          <w:lang w:val="es-ES_tradnl"/>
        </w:rPr>
        <w:t xml:space="preserve"> otro – una empresa privada y/o un inversor – con el propósito de alcanzar un determinado objetivo relacionado al desarrollo. El sector privado para el desarrollo puede apuntar a una variedad de objetivos, entre ellos – no sorprende – el apoyo a mercados locales y sector privado doméstico, pero también, crecientemente, el financiamiento y operación de infraestructura, al igual que</w:t>
      </w:r>
      <w:r w:rsidR="00715594">
        <w:rPr>
          <w:lang w:val="es-ES_tradnl"/>
        </w:rPr>
        <w:t xml:space="preserve"> de</w:t>
      </w:r>
      <w:r w:rsidR="00AE02D6">
        <w:rPr>
          <w:lang w:val="es-ES_tradnl"/>
        </w:rPr>
        <w:t xml:space="preserve"> servicios públicos y comunitarios.</w:t>
      </w:r>
    </w:p>
    <w:p w14:paraId="6AD1D7C4" w14:textId="77777777" w:rsidR="008E7283" w:rsidRPr="001121C9" w:rsidRDefault="008E7283" w:rsidP="00BC783F">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4</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093176">
        <w:rPr>
          <w:lang w:val="es-ES_tradnl"/>
        </w:rPr>
        <w:t>Cuando esto ocurre, la empresa privada puede actuar como</w:t>
      </w:r>
      <w:r w:rsidRPr="001121C9">
        <w:rPr>
          <w:lang w:val="es-ES_tradnl"/>
        </w:rPr>
        <w:t>:</w:t>
      </w:r>
    </w:p>
    <w:p w14:paraId="0F4F716B" w14:textId="77777777" w:rsidR="008E7283" w:rsidRPr="001121C9" w:rsidRDefault="00093176" w:rsidP="00BC783F">
      <w:pPr>
        <w:pStyle w:val="ListBullet"/>
        <w:spacing w:after="0"/>
        <w:jc w:val="both"/>
        <w:rPr>
          <w:lang w:val="es-ES_tradnl"/>
        </w:rPr>
      </w:pPr>
      <w:r>
        <w:rPr>
          <w:lang w:val="es-ES_tradnl"/>
        </w:rPr>
        <w:t>un receptor directo de ayuda pública, incluida AOD, para sus inversiones y actividades (subsidios y préstamos)</w:t>
      </w:r>
      <w:r w:rsidR="008E7283" w:rsidRPr="001121C9">
        <w:rPr>
          <w:lang w:val="es-ES_tradnl"/>
        </w:rPr>
        <w:t>;</w:t>
      </w:r>
    </w:p>
    <w:p w14:paraId="75BEC90B" w14:textId="77777777" w:rsidR="008E7283" w:rsidRPr="001121C9" w:rsidRDefault="00093176" w:rsidP="00BC783F">
      <w:pPr>
        <w:pStyle w:val="ListBullet"/>
        <w:spacing w:after="0"/>
        <w:jc w:val="both"/>
        <w:rPr>
          <w:lang w:val="es-ES_tradnl"/>
        </w:rPr>
      </w:pPr>
      <w:r>
        <w:rPr>
          <w:lang w:val="es-ES_tradnl"/>
        </w:rPr>
        <w:t>un</w:t>
      </w:r>
      <w:r w:rsidR="008E7283" w:rsidRPr="001121C9">
        <w:rPr>
          <w:lang w:val="es-ES_tradnl"/>
        </w:rPr>
        <w:t xml:space="preserve"> contra</w:t>
      </w:r>
      <w:r w:rsidR="001E3E8F">
        <w:rPr>
          <w:lang w:val="es-ES_tradnl"/>
        </w:rPr>
        <w:t>tista que implementa proyectos de ayuda</w:t>
      </w:r>
      <w:r w:rsidR="008E7283" w:rsidRPr="001121C9">
        <w:rPr>
          <w:lang w:val="es-ES_tradnl"/>
        </w:rPr>
        <w:t xml:space="preserve"> (</w:t>
      </w:r>
      <w:r w:rsidR="001E3E8F">
        <w:rPr>
          <w:lang w:val="es-ES_tradnl"/>
        </w:rPr>
        <w:t>mediante procesos tradicionales de contratación pública</w:t>
      </w:r>
      <w:r w:rsidR="008E7283" w:rsidRPr="001121C9">
        <w:rPr>
          <w:lang w:val="es-ES_tradnl"/>
        </w:rPr>
        <w:t>);</w:t>
      </w:r>
    </w:p>
    <w:p w14:paraId="3333AD86" w14:textId="7E518C01" w:rsidR="008E7283" w:rsidRPr="001121C9" w:rsidRDefault="001E3E8F" w:rsidP="00BC783F">
      <w:pPr>
        <w:pStyle w:val="ListBullet"/>
        <w:spacing w:after="0"/>
        <w:jc w:val="both"/>
        <w:rPr>
          <w:lang w:val="es-ES_tradnl"/>
        </w:rPr>
      </w:pPr>
      <w:r>
        <w:rPr>
          <w:lang w:val="es-ES_tradnl"/>
        </w:rPr>
        <w:t>un socio co</w:t>
      </w:r>
      <w:r w:rsidR="008E7283" w:rsidRPr="001121C9">
        <w:rPr>
          <w:lang w:val="es-ES_tradnl"/>
        </w:rPr>
        <w:t xml:space="preserve">mercial </w:t>
      </w:r>
      <w:r>
        <w:rPr>
          <w:lang w:val="es-ES_tradnl"/>
        </w:rPr>
        <w:t>y/o</w:t>
      </w:r>
      <w:r w:rsidR="008E7283" w:rsidRPr="001121C9">
        <w:rPr>
          <w:lang w:val="es-ES_tradnl"/>
        </w:rPr>
        <w:t xml:space="preserve"> financi</w:t>
      </w:r>
      <w:r>
        <w:rPr>
          <w:lang w:val="es-ES_tradnl"/>
        </w:rPr>
        <w:t>ero</w:t>
      </w:r>
      <w:r w:rsidR="008E7283" w:rsidRPr="001121C9">
        <w:rPr>
          <w:lang w:val="es-ES_tradnl"/>
        </w:rPr>
        <w:t xml:space="preserve"> </w:t>
      </w:r>
      <w:r>
        <w:rPr>
          <w:lang w:val="es-ES_tradnl"/>
        </w:rPr>
        <w:t xml:space="preserve">en una </w:t>
      </w:r>
      <w:r w:rsidR="00B81EC9">
        <w:rPr>
          <w:lang w:val="es-ES_tradnl"/>
        </w:rPr>
        <w:t>asociación</w:t>
      </w:r>
      <w:r>
        <w:rPr>
          <w:lang w:val="es-ES_tradnl"/>
        </w:rPr>
        <w:t xml:space="preserve"> público-privada establecida o a través de combinaciones de préstamos comerciales y concesiones de ayuda</w:t>
      </w:r>
      <w:r w:rsidR="008E7283" w:rsidRPr="001121C9">
        <w:rPr>
          <w:lang w:val="es-ES_tradnl"/>
        </w:rPr>
        <w:t>;</w:t>
      </w:r>
    </w:p>
    <w:p w14:paraId="6094B157" w14:textId="77777777" w:rsidR="008E7283" w:rsidRPr="001121C9" w:rsidRDefault="001E3E8F" w:rsidP="00BC783F">
      <w:pPr>
        <w:pStyle w:val="ListBullet"/>
        <w:spacing w:after="0"/>
        <w:jc w:val="both"/>
        <w:rPr>
          <w:lang w:val="es-ES_tradnl"/>
        </w:rPr>
      </w:pPr>
      <w:r>
        <w:rPr>
          <w:lang w:val="es-ES_tradnl"/>
        </w:rPr>
        <w:lastRenderedPageBreak/>
        <w:t>un proveedor de recursos para el desarrollo equivalentes a ayuda (fundaciones filantrópicas y donaciones corporativas); y/o</w:t>
      </w:r>
    </w:p>
    <w:p w14:paraId="43643145" w14:textId="126B3412" w:rsidR="008E7283" w:rsidRPr="001121C9" w:rsidRDefault="001E3E8F" w:rsidP="00BC783F">
      <w:pPr>
        <w:pStyle w:val="ListBullet"/>
        <w:spacing w:after="0"/>
        <w:jc w:val="both"/>
        <w:rPr>
          <w:lang w:val="es-ES_tradnl"/>
        </w:rPr>
      </w:pPr>
      <w:r>
        <w:rPr>
          <w:lang w:val="es-ES_tradnl"/>
        </w:rPr>
        <w:t>un facilitador e</w:t>
      </w:r>
      <w:r w:rsidR="008E7283" w:rsidRPr="001121C9">
        <w:rPr>
          <w:lang w:val="es-ES_tradnl"/>
        </w:rPr>
        <w:t xml:space="preserve">n </w:t>
      </w:r>
      <w:r>
        <w:rPr>
          <w:lang w:val="es-ES_tradnl"/>
        </w:rPr>
        <w:t>la const</w:t>
      </w:r>
      <w:r w:rsidR="00715594">
        <w:rPr>
          <w:lang w:val="es-ES_tradnl"/>
        </w:rPr>
        <w:t>rucción de redes de contactos y</w:t>
      </w:r>
      <w:r w:rsidR="00A4056E">
        <w:rPr>
          <w:lang w:val="es-ES_tradnl"/>
        </w:rPr>
        <w:t xml:space="preserve"> </w:t>
      </w:r>
      <w:r>
        <w:rPr>
          <w:lang w:val="es-ES_tradnl"/>
        </w:rPr>
        <w:t xml:space="preserve">procesos de </w:t>
      </w:r>
      <w:r w:rsidR="00A4056E">
        <w:rPr>
          <w:lang w:val="es-ES_tradnl"/>
        </w:rPr>
        <w:t>formulación de políticas por medio de foros y redes empresariales</w:t>
      </w:r>
      <w:r w:rsidR="008E7283" w:rsidRPr="001121C9">
        <w:rPr>
          <w:lang w:val="es-ES_tradnl"/>
        </w:rPr>
        <w:t>.</w:t>
      </w:r>
    </w:p>
    <w:p w14:paraId="75C2F5A9" w14:textId="77777777" w:rsidR="006C1426" w:rsidRPr="001121C9" w:rsidRDefault="006C1426" w:rsidP="00BC783F">
      <w:pPr>
        <w:pStyle w:val="ListBullet"/>
        <w:numPr>
          <w:ilvl w:val="0"/>
          <w:numId w:val="0"/>
        </w:numPr>
        <w:spacing w:after="0"/>
        <w:jc w:val="both"/>
        <w:rPr>
          <w:lang w:val="es-ES_tradnl"/>
        </w:rPr>
      </w:pPr>
    </w:p>
    <w:p w14:paraId="53574D2E" w14:textId="77777777" w:rsidR="008E7283" w:rsidRPr="001121C9" w:rsidRDefault="00A4056E" w:rsidP="00BC783F">
      <w:pPr>
        <w:pStyle w:val="Heading2"/>
        <w:jc w:val="both"/>
        <w:rPr>
          <w:lang w:val="es-ES_tradnl"/>
        </w:rPr>
      </w:pPr>
      <w:bookmarkStart w:id="11" w:name="_Toc378166814"/>
      <w:bookmarkStart w:id="12" w:name="_Toc381823848"/>
      <w:bookmarkStart w:id="13" w:name="_Toc382332818"/>
      <w:bookmarkStart w:id="14" w:name="_Toc382848928"/>
      <w:r>
        <w:rPr>
          <w:lang w:val="es-ES_tradnl"/>
        </w:rPr>
        <w:t>Una agenda en ascenso</w:t>
      </w:r>
      <w:bookmarkEnd w:id="11"/>
      <w:bookmarkEnd w:id="12"/>
      <w:bookmarkEnd w:id="13"/>
      <w:bookmarkEnd w:id="14"/>
    </w:p>
    <w:p w14:paraId="5738B00E" w14:textId="32DAE7E1" w:rsidR="008E7283" w:rsidRPr="001121C9" w:rsidRDefault="008E7283" w:rsidP="00BC783F">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5</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74715E">
        <w:rPr>
          <w:lang w:val="es-ES_tradnl"/>
        </w:rPr>
        <w:t xml:space="preserve">Muchos foros internacionales y regionales </w:t>
      </w:r>
      <w:r w:rsidR="00B81EC9">
        <w:rPr>
          <w:lang w:val="es-ES_tradnl"/>
        </w:rPr>
        <w:t>consideran e</w:t>
      </w:r>
      <w:r w:rsidR="0074715E">
        <w:rPr>
          <w:lang w:val="es-ES_tradnl"/>
        </w:rPr>
        <w:t xml:space="preserve">l sector privado para el desarrollo como un área de </w:t>
      </w:r>
      <w:r w:rsidR="009677C6">
        <w:rPr>
          <w:lang w:val="es-ES_tradnl"/>
        </w:rPr>
        <w:t>política independiente</w:t>
      </w:r>
      <w:r w:rsidR="0074715E">
        <w:rPr>
          <w:lang w:val="es-ES_tradnl"/>
        </w:rPr>
        <w:t xml:space="preserve">, </w:t>
      </w:r>
      <w:r w:rsidR="00B81EC9">
        <w:rPr>
          <w:lang w:val="es-ES_tradnl"/>
        </w:rPr>
        <w:t>siendo</w:t>
      </w:r>
      <w:r w:rsidR="0074715E">
        <w:rPr>
          <w:lang w:val="es-ES_tradnl"/>
        </w:rPr>
        <w:t xml:space="preserve"> la </w:t>
      </w:r>
      <w:r w:rsidR="009677C6">
        <w:rPr>
          <w:lang w:val="es-ES_tradnl"/>
        </w:rPr>
        <w:t>Alianza Mundial para una Cooperación al Desarrollo Eficaz, las Instituciones Financieras Internacionales, los bancos nacionales de desarrollo, la OCDE y</w:t>
      </w:r>
      <w:r w:rsidR="00B81EC9">
        <w:rPr>
          <w:lang w:val="es-ES_tradnl"/>
        </w:rPr>
        <w:t>,</w:t>
      </w:r>
      <w:r w:rsidR="009677C6">
        <w:rPr>
          <w:lang w:val="es-ES_tradnl"/>
        </w:rPr>
        <w:t xml:space="preserve"> en alguna medida</w:t>
      </w:r>
      <w:r w:rsidR="00B81EC9">
        <w:rPr>
          <w:lang w:val="es-ES_tradnl"/>
        </w:rPr>
        <w:t>,</w:t>
      </w:r>
      <w:r w:rsidR="009677C6">
        <w:rPr>
          <w:lang w:val="es-ES_tradnl"/>
        </w:rPr>
        <w:t xml:space="preserve"> el Proceso del G20</w:t>
      </w:r>
      <w:r w:rsidR="00B81EC9">
        <w:rPr>
          <w:lang w:val="es-ES_tradnl"/>
        </w:rPr>
        <w:t>,</w:t>
      </w:r>
      <w:r w:rsidR="009677C6">
        <w:rPr>
          <w:lang w:val="es-ES_tradnl"/>
        </w:rPr>
        <w:t xml:space="preserve"> sus mayores impul</w:t>
      </w:r>
      <w:r w:rsidR="00B81EC9">
        <w:rPr>
          <w:lang w:val="es-ES_tradnl"/>
        </w:rPr>
        <w:t>sores. Igualmente, a esta altura</w:t>
      </w:r>
      <w:r w:rsidR="009677C6">
        <w:rPr>
          <w:lang w:val="es-ES_tradnl"/>
        </w:rPr>
        <w:t xml:space="preserve"> de las discusiones sobre una a</w:t>
      </w:r>
      <w:r w:rsidR="00B81EC9">
        <w:rPr>
          <w:lang w:val="es-ES_tradnl"/>
        </w:rPr>
        <w:t>genda de desarrollo sostenible p</w:t>
      </w:r>
      <w:r w:rsidR="009677C6">
        <w:rPr>
          <w:lang w:val="es-ES_tradnl"/>
        </w:rPr>
        <w:t xml:space="preserve">ost 2015, el rol del sector privado está siendo enfatizado, quizás más que cualquier otra cosa, como un componente esencial de un </w:t>
      </w:r>
      <w:r w:rsidR="00B81EC9">
        <w:rPr>
          <w:lang w:val="es-ES_tradnl"/>
        </w:rPr>
        <w:t>marco normativo</w:t>
      </w:r>
      <w:r w:rsidR="00F7095A">
        <w:rPr>
          <w:lang w:val="es-ES_tradnl"/>
        </w:rPr>
        <w:t xml:space="preserve"> futuro.</w:t>
      </w:r>
      <w:r w:rsidR="009677C6">
        <w:rPr>
          <w:lang w:val="es-ES_tradnl"/>
        </w:rPr>
        <w:t xml:space="preserve"> </w:t>
      </w:r>
    </w:p>
    <w:p w14:paraId="34C6FAD4" w14:textId="77777777" w:rsidR="008E7283" w:rsidRPr="001121C9" w:rsidRDefault="008E7283" w:rsidP="00BC783F">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6</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F7095A">
        <w:rPr>
          <w:lang w:val="es-ES_tradnl"/>
        </w:rPr>
        <w:t>Estos foros difieren en naturaleza y alcance geográfico y no necesariamente se sobreponen. Hay, sin embargo, aspectos comunes entre ellos en el diseño y objetivos del sector privado para el desarrollo. Tienen en común:</w:t>
      </w:r>
    </w:p>
    <w:p w14:paraId="50916684" w14:textId="3018ADE0" w:rsidR="008E7283" w:rsidRPr="001121C9" w:rsidRDefault="0086659D" w:rsidP="00BC783F">
      <w:pPr>
        <w:pStyle w:val="ListBullet"/>
        <w:spacing w:after="0"/>
        <w:jc w:val="both"/>
        <w:rPr>
          <w:lang w:val="es-ES_tradnl"/>
        </w:rPr>
      </w:pPr>
      <w:r>
        <w:rPr>
          <w:lang w:val="es-ES_tradnl"/>
        </w:rPr>
        <w:t>el apoyo y promoción activos y quizás acríticos de las A</w:t>
      </w:r>
      <w:r w:rsidR="00B81EC9">
        <w:rPr>
          <w:lang w:val="es-ES_tradnl"/>
        </w:rPr>
        <w:t>sociaciones</w:t>
      </w:r>
      <w:r>
        <w:rPr>
          <w:lang w:val="es-ES_tradnl"/>
        </w:rPr>
        <w:t xml:space="preserve"> Público-Privadas (</w:t>
      </w:r>
      <w:proofErr w:type="spellStart"/>
      <w:r>
        <w:rPr>
          <w:lang w:val="es-ES_tradnl"/>
        </w:rPr>
        <w:t>APP</w:t>
      </w:r>
      <w:r w:rsidR="00B81EC9">
        <w:rPr>
          <w:lang w:val="es-ES_tradnl"/>
        </w:rPr>
        <w:t>s</w:t>
      </w:r>
      <w:proofErr w:type="spellEnd"/>
      <w:r>
        <w:rPr>
          <w:lang w:val="es-ES_tradnl"/>
        </w:rPr>
        <w:t>) como esquemas de financiación – en oposición a la contratación</w:t>
      </w:r>
      <w:r w:rsidR="00B81EC9">
        <w:rPr>
          <w:lang w:val="es-ES_tradnl"/>
        </w:rPr>
        <w:t xml:space="preserve"> pública y</w:t>
      </w:r>
      <w:r>
        <w:rPr>
          <w:lang w:val="es-ES_tradnl"/>
        </w:rPr>
        <w:t xml:space="preserve"> servicios públicos</w:t>
      </w:r>
      <w:r w:rsidR="008E7283" w:rsidRPr="001121C9">
        <w:rPr>
          <w:lang w:val="es-ES_tradnl"/>
        </w:rPr>
        <w:t>;</w:t>
      </w:r>
    </w:p>
    <w:p w14:paraId="7516A513" w14:textId="3600BBC7" w:rsidR="008E7283" w:rsidRPr="001121C9" w:rsidRDefault="0086659D" w:rsidP="00BC783F">
      <w:pPr>
        <w:pStyle w:val="ListBullet"/>
        <w:spacing w:after="0"/>
        <w:jc w:val="both"/>
        <w:rPr>
          <w:lang w:val="es-ES_tradnl"/>
        </w:rPr>
      </w:pPr>
      <w:r>
        <w:rPr>
          <w:lang w:val="es-ES_tradnl"/>
        </w:rPr>
        <w:t>un</w:t>
      </w:r>
      <w:r w:rsidR="008E7283" w:rsidRPr="001121C9">
        <w:rPr>
          <w:lang w:val="es-ES_tradnl"/>
        </w:rPr>
        <w:t xml:space="preserve"> reco</w:t>
      </w:r>
      <w:r>
        <w:rPr>
          <w:lang w:val="es-ES_tradnl"/>
        </w:rPr>
        <w:t xml:space="preserve">nocimiento </w:t>
      </w:r>
      <w:r w:rsidR="00DB74AA">
        <w:rPr>
          <w:lang w:val="es-ES_tradnl"/>
        </w:rPr>
        <w:t>de l</w:t>
      </w:r>
      <w:r w:rsidR="00B81EC9">
        <w:rPr>
          <w:lang w:val="es-ES_tradnl"/>
        </w:rPr>
        <w:t>os grupos empresariales como un aliado</w:t>
      </w:r>
      <w:r w:rsidR="00DB74AA">
        <w:rPr>
          <w:lang w:val="es-ES_tradnl"/>
        </w:rPr>
        <w:t xml:space="preserve"> clave, cuando no un “socio igualitario”</w:t>
      </w:r>
      <w:r w:rsidR="00B06C01">
        <w:rPr>
          <w:lang w:val="es-ES_tradnl"/>
        </w:rPr>
        <w:t>,</w:t>
      </w:r>
      <w:r w:rsidR="00DB74AA">
        <w:rPr>
          <w:lang w:val="es-ES_tradnl"/>
        </w:rPr>
        <w:t xml:space="preserve"> en la promoción de políticas</w:t>
      </w:r>
      <w:r w:rsidR="008E7283" w:rsidRPr="001121C9">
        <w:rPr>
          <w:lang w:val="es-ES_tradnl"/>
        </w:rPr>
        <w:t>;</w:t>
      </w:r>
    </w:p>
    <w:p w14:paraId="00C7C2EA" w14:textId="5530943D" w:rsidR="008E7283" w:rsidRPr="001121C9" w:rsidRDefault="00DB74AA" w:rsidP="00BC783F">
      <w:pPr>
        <w:pStyle w:val="ListBullet"/>
        <w:spacing w:after="0"/>
        <w:jc w:val="both"/>
        <w:rPr>
          <w:lang w:val="es-ES_tradnl"/>
        </w:rPr>
      </w:pPr>
      <w:r>
        <w:rPr>
          <w:lang w:val="es-ES_tradnl"/>
        </w:rPr>
        <w:t>una necesidad de cambiar el “modelo de negocios” de la cooperación al desarrollo y de</w:t>
      </w:r>
      <w:r w:rsidR="00B06C01">
        <w:rPr>
          <w:lang w:val="es-ES_tradnl"/>
        </w:rPr>
        <w:t xml:space="preserve"> </w:t>
      </w:r>
      <w:r>
        <w:rPr>
          <w:lang w:val="es-ES_tradnl"/>
        </w:rPr>
        <w:t>los bancos de desarrollo para que se comporten como los banqueros de inversión del sector privado</w:t>
      </w:r>
      <w:r w:rsidR="008E7283" w:rsidRPr="001121C9">
        <w:rPr>
          <w:lang w:val="es-ES_tradnl"/>
        </w:rPr>
        <w:t>;</w:t>
      </w:r>
    </w:p>
    <w:p w14:paraId="0A8D4BF9" w14:textId="3EEC009C" w:rsidR="008E7283" w:rsidRPr="001121C9" w:rsidRDefault="00DB74AA" w:rsidP="00BC783F">
      <w:pPr>
        <w:pStyle w:val="ListBullet"/>
        <w:spacing w:after="0"/>
        <w:jc w:val="both"/>
        <w:rPr>
          <w:lang w:val="es-ES_tradnl"/>
        </w:rPr>
      </w:pPr>
      <w:r>
        <w:rPr>
          <w:lang w:val="es-ES_tradnl"/>
        </w:rPr>
        <w:t xml:space="preserve">mejorar el </w:t>
      </w:r>
      <w:r w:rsidR="008E7283" w:rsidRPr="001121C9">
        <w:rPr>
          <w:lang w:val="es-ES_tradnl"/>
        </w:rPr>
        <w:t>“</w:t>
      </w:r>
      <w:r>
        <w:rPr>
          <w:lang w:val="es-ES_tradnl"/>
        </w:rPr>
        <w:t>clima de negocios</w:t>
      </w:r>
      <w:r w:rsidR="008E7283" w:rsidRPr="001121C9">
        <w:rPr>
          <w:lang w:val="es-ES_tradnl"/>
        </w:rPr>
        <w:t xml:space="preserve">” </w:t>
      </w:r>
      <w:r>
        <w:rPr>
          <w:lang w:val="es-ES_tradnl"/>
        </w:rPr>
        <w:t xml:space="preserve">como una prioridad central, </w:t>
      </w:r>
      <w:r w:rsidR="00DC199D">
        <w:rPr>
          <w:lang w:val="es-ES_tradnl"/>
        </w:rPr>
        <w:t>simultánea a ninguna o muy poca aceptación del efectivo cumplimiento de los derechos de otras partes interesadas, tales como los dispuestos en las normas</w:t>
      </w:r>
      <w:r w:rsidR="00B06C01">
        <w:rPr>
          <w:lang w:val="es-ES_tradnl"/>
        </w:rPr>
        <w:t xml:space="preserve"> laborales fundamentales de la </w:t>
      </w:r>
      <w:r w:rsidR="00DC199D">
        <w:rPr>
          <w:lang w:val="es-ES_tradnl"/>
        </w:rPr>
        <w:t>O</w:t>
      </w:r>
      <w:r w:rsidR="00B06C01">
        <w:rPr>
          <w:lang w:val="es-ES_tradnl"/>
        </w:rPr>
        <w:t>I</w:t>
      </w:r>
      <w:r w:rsidR="00DC199D">
        <w:rPr>
          <w:lang w:val="es-ES_tradnl"/>
        </w:rPr>
        <w:t>T</w:t>
      </w:r>
      <w:r w:rsidR="008E7283" w:rsidRPr="001121C9">
        <w:rPr>
          <w:lang w:val="es-ES_tradnl"/>
        </w:rPr>
        <w:t>.</w:t>
      </w:r>
    </w:p>
    <w:p w14:paraId="69A85570" w14:textId="77777777" w:rsidR="006C1426" w:rsidRPr="001121C9" w:rsidRDefault="006C1426" w:rsidP="00BC783F">
      <w:pPr>
        <w:pStyle w:val="Num-DocParagraph"/>
        <w:jc w:val="both"/>
        <w:rPr>
          <w:lang w:val="es-ES_tradnl"/>
        </w:rPr>
      </w:pPr>
    </w:p>
    <w:p w14:paraId="79E2A80D" w14:textId="6615D2F3" w:rsidR="00016F8E" w:rsidRPr="001121C9" w:rsidRDefault="006C1426" w:rsidP="00BC783F">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7</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DC199D">
        <w:rPr>
          <w:lang w:val="es-ES_tradnl"/>
        </w:rPr>
        <w:t>La Alianza Mundial para una Cooperación a</w:t>
      </w:r>
      <w:r w:rsidR="007F4AD0">
        <w:rPr>
          <w:lang w:val="es-ES_tradnl"/>
        </w:rPr>
        <w:t>l Desarrollo Eficaz realizará su</w:t>
      </w:r>
      <w:r w:rsidR="00DC199D">
        <w:rPr>
          <w:lang w:val="es-ES_tradnl"/>
        </w:rPr>
        <w:t xml:space="preserve"> primer “Encuentro de Alto Nivel” en México</w:t>
      </w:r>
      <w:r w:rsidR="007F4AD0">
        <w:rPr>
          <w:lang w:val="es-ES_tradnl"/>
        </w:rPr>
        <w:t>,</w:t>
      </w:r>
      <w:r w:rsidR="00DC199D">
        <w:rPr>
          <w:lang w:val="es-ES_tradnl"/>
        </w:rPr>
        <w:t xml:space="preserve"> en abril de 2014</w:t>
      </w:r>
      <w:r w:rsidR="007F4AD0">
        <w:rPr>
          <w:lang w:val="es-ES_tradnl"/>
        </w:rPr>
        <w:t>,</w:t>
      </w:r>
      <w:r w:rsidR="00DC199D">
        <w:rPr>
          <w:lang w:val="es-ES_tradnl"/>
        </w:rPr>
        <w:t xml:space="preserve"> para </w:t>
      </w:r>
      <w:r w:rsidR="00006091">
        <w:rPr>
          <w:lang w:val="es-ES_tradnl"/>
        </w:rPr>
        <w:t xml:space="preserve">extraer enseñanzas </w:t>
      </w:r>
      <w:r w:rsidR="007F4AD0">
        <w:rPr>
          <w:lang w:val="es-ES_tradnl"/>
        </w:rPr>
        <w:t>de los</w:t>
      </w:r>
      <w:r w:rsidR="00006091">
        <w:rPr>
          <w:lang w:val="es-ES_tradnl"/>
        </w:rPr>
        <w:t xml:space="preserve"> tres años </w:t>
      </w:r>
      <w:r w:rsidR="007F4AD0">
        <w:rPr>
          <w:lang w:val="es-ES_tradnl"/>
        </w:rPr>
        <w:t>pasados desde la</w:t>
      </w:r>
      <w:r w:rsidR="00006091">
        <w:rPr>
          <w:lang w:val="es-ES_tradnl"/>
        </w:rPr>
        <w:t xml:space="preserve"> implementación del Foro de Alto Nivel sobre Eficacia de la Ayuda en Busan, Corea del Sur. En ese momento, la comunidad del desarrollo se comprometió con cuatro “principios compartidos”:</w:t>
      </w:r>
      <w:r w:rsidR="00016F8E" w:rsidRPr="001121C9">
        <w:rPr>
          <w:lang w:val="es-ES_tradnl"/>
        </w:rPr>
        <w:t xml:space="preserve"> (i) </w:t>
      </w:r>
      <w:r w:rsidR="00006091">
        <w:rPr>
          <w:lang w:val="es-ES_tradnl"/>
        </w:rPr>
        <w:t>apropiación de las prioridades del desarrollo por parte de los países en desarrollo</w:t>
      </w:r>
      <w:r w:rsidR="00016F8E" w:rsidRPr="001121C9">
        <w:rPr>
          <w:lang w:val="es-ES_tradnl"/>
        </w:rPr>
        <w:t xml:space="preserve">, (ii) </w:t>
      </w:r>
      <w:r w:rsidR="00006091">
        <w:rPr>
          <w:lang w:val="es-ES_tradnl"/>
        </w:rPr>
        <w:t>eficacia centrada en resultados</w:t>
      </w:r>
      <w:r w:rsidR="00016F8E" w:rsidRPr="001121C9">
        <w:rPr>
          <w:lang w:val="es-ES_tradnl"/>
        </w:rPr>
        <w:t>, (iii) implementa</w:t>
      </w:r>
      <w:r w:rsidR="00006091">
        <w:rPr>
          <w:lang w:val="es-ES_tradnl"/>
        </w:rPr>
        <w:t>ción</w:t>
      </w:r>
      <w:r w:rsidR="00016F8E" w:rsidRPr="001121C9">
        <w:rPr>
          <w:lang w:val="es-ES_tradnl"/>
        </w:rPr>
        <w:t xml:space="preserve"> </w:t>
      </w:r>
      <w:r w:rsidR="00E66617">
        <w:rPr>
          <w:lang w:val="es-ES_tradnl"/>
        </w:rPr>
        <w:t xml:space="preserve">mediante </w:t>
      </w:r>
      <w:r w:rsidR="00016F8E" w:rsidRPr="001121C9">
        <w:rPr>
          <w:lang w:val="es-ES_tradnl"/>
        </w:rPr>
        <w:t>“</w:t>
      </w:r>
      <w:r w:rsidR="007F4AD0">
        <w:rPr>
          <w:lang w:val="es-ES_tradnl"/>
        </w:rPr>
        <w:t>asociaciones</w:t>
      </w:r>
      <w:r w:rsidR="00E66617">
        <w:rPr>
          <w:lang w:val="es-ES_tradnl"/>
        </w:rPr>
        <w:t xml:space="preserve"> inclusivas</w:t>
      </w:r>
      <w:r w:rsidR="00016F8E" w:rsidRPr="001121C9">
        <w:rPr>
          <w:lang w:val="es-ES_tradnl"/>
        </w:rPr>
        <w:t xml:space="preserve">” </w:t>
      </w:r>
      <w:r w:rsidR="00E66617">
        <w:rPr>
          <w:lang w:val="es-ES_tradnl"/>
        </w:rPr>
        <w:t>y, finalmente</w:t>
      </w:r>
      <w:r w:rsidR="00016F8E" w:rsidRPr="001121C9">
        <w:rPr>
          <w:lang w:val="es-ES_tradnl"/>
        </w:rPr>
        <w:t xml:space="preserve">, (iv) </w:t>
      </w:r>
      <w:r w:rsidR="00A038D3">
        <w:rPr>
          <w:lang w:val="es-ES_tradnl"/>
        </w:rPr>
        <w:t>rendición de cuentas a través de mayor transparencia hacia los beneficiarios y ciudadanos en general (con la relevante advertencia de que la transparencia de la participación del sector privado es “tema de legítimas preocupaciones sobre información comercialmente sensible</w:t>
      </w:r>
      <w:r w:rsidR="00016F8E" w:rsidRPr="001121C9">
        <w:rPr>
          <w:lang w:val="es-ES_tradnl"/>
        </w:rPr>
        <w:t>”).</w:t>
      </w:r>
    </w:p>
    <w:p w14:paraId="0755F4B6" w14:textId="7DE37B18" w:rsidR="002E6F7E" w:rsidRPr="001121C9" w:rsidRDefault="006C1426" w:rsidP="00BC783F">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8</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B60904">
        <w:rPr>
          <w:lang w:val="es-ES_tradnl"/>
        </w:rPr>
        <w:t xml:space="preserve">El resultado del encuentro de México puede ser instructivo sobre en qué medida los puntos </w:t>
      </w:r>
      <w:r w:rsidR="007F4AD0">
        <w:rPr>
          <w:lang w:val="es-ES_tradnl"/>
        </w:rPr>
        <w:t xml:space="preserve">mencionados </w:t>
      </w:r>
      <w:r w:rsidR="00B60904">
        <w:rPr>
          <w:lang w:val="es-ES_tradnl"/>
        </w:rPr>
        <w:t>arriba encuentran apoyo y articulación. Basado en una propuesta tentativa de comunicado final, el encuentr</w:t>
      </w:r>
      <w:r w:rsidR="007F4AD0">
        <w:rPr>
          <w:lang w:val="es-ES_tradnl"/>
        </w:rPr>
        <w:t>o de México podría destacar a “las empresas</w:t>
      </w:r>
      <w:r w:rsidR="00B60904">
        <w:rPr>
          <w:lang w:val="es-ES_tradnl"/>
        </w:rPr>
        <w:t xml:space="preserve"> como un aliado en el desarrollo” </w:t>
      </w:r>
      <w:r w:rsidR="005973F9">
        <w:rPr>
          <w:lang w:val="es-ES_tradnl"/>
        </w:rPr>
        <w:t>y</w:t>
      </w:r>
      <w:r w:rsidR="007F4AD0">
        <w:rPr>
          <w:lang w:val="es-ES_tradnl"/>
        </w:rPr>
        <w:t>,</w:t>
      </w:r>
      <w:r w:rsidR="005973F9">
        <w:rPr>
          <w:lang w:val="es-ES_tradnl"/>
        </w:rPr>
        <w:t xml:space="preserve"> más que eso, la “importancia crucial de promover un ambiente de negocios </w:t>
      </w:r>
      <w:r w:rsidR="005973F9">
        <w:rPr>
          <w:lang w:val="es-ES_tradnl"/>
        </w:rPr>
        <w:lastRenderedPageBreak/>
        <w:t xml:space="preserve">propicio”, la necesidad de facilitar y promover “plataformas y centros” para el diálogo </w:t>
      </w:r>
      <w:r w:rsidR="0069107D">
        <w:rPr>
          <w:lang w:val="es-ES_tradnl"/>
        </w:rPr>
        <w:t>orientado a</w:t>
      </w:r>
      <w:r w:rsidR="005973F9">
        <w:rPr>
          <w:lang w:val="es-ES_tradnl"/>
        </w:rPr>
        <w:t xml:space="preserve"> negocios gubernamentales estru</w:t>
      </w:r>
      <w:r w:rsidR="007F4AD0">
        <w:rPr>
          <w:lang w:val="es-ES_tradnl"/>
        </w:rPr>
        <w:t>cturados, además de promover “un</w:t>
      </w:r>
      <w:r w:rsidR="005973F9">
        <w:rPr>
          <w:lang w:val="es-ES_tradnl"/>
        </w:rPr>
        <w:t xml:space="preserve"> amplio rango de </w:t>
      </w:r>
      <w:r w:rsidR="0069107D">
        <w:rPr>
          <w:lang w:val="es-ES_tradnl"/>
        </w:rPr>
        <w:t>asociaciones</w:t>
      </w:r>
      <w:r w:rsidR="005973F9">
        <w:rPr>
          <w:lang w:val="es-ES_tradnl"/>
        </w:rPr>
        <w:t xml:space="preserve"> público-privadas”, incluyendo los meca</w:t>
      </w:r>
      <w:r w:rsidR="0069107D">
        <w:rPr>
          <w:lang w:val="es-ES_tradnl"/>
        </w:rPr>
        <w:t>nismos “innovadores” de financiamiento público</w:t>
      </w:r>
      <w:r w:rsidR="005973F9">
        <w:rPr>
          <w:lang w:val="es-ES_tradnl"/>
        </w:rPr>
        <w:t xml:space="preserve"> que pueden ayudar a mitigar el ri</w:t>
      </w:r>
      <w:r w:rsidR="007F4AD0">
        <w:rPr>
          <w:lang w:val="es-ES_tradnl"/>
        </w:rPr>
        <w:t>e</w:t>
      </w:r>
      <w:r w:rsidR="005973F9">
        <w:rPr>
          <w:lang w:val="es-ES_tradnl"/>
        </w:rPr>
        <w:t xml:space="preserve">sgo para los inversores privados. </w:t>
      </w:r>
    </w:p>
    <w:p w14:paraId="07999282" w14:textId="77777777" w:rsidR="006C1426" w:rsidRPr="001121C9" w:rsidRDefault="006C1426" w:rsidP="00BC783F">
      <w:pPr>
        <w:pStyle w:val="Num-DocParagraph"/>
        <w:jc w:val="both"/>
        <w:rPr>
          <w:lang w:val="es-ES_tradnl"/>
        </w:rPr>
      </w:pPr>
    </w:p>
    <w:p w14:paraId="29963508" w14:textId="087F0A4A" w:rsidR="00376B9C" w:rsidRPr="001121C9" w:rsidRDefault="00FE6A31" w:rsidP="00BC783F">
      <w:pPr>
        <w:pStyle w:val="Heading2"/>
        <w:jc w:val="both"/>
        <w:rPr>
          <w:lang w:val="es-ES_tradnl"/>
        </w:rPr>
      </w:pPr>
      <w:bookmarkStart w:id="15" w:name="_Toc382848929"/>
      <w:r>
        <w:rPr>
          <w:lang w:val="es-ES_tradnl"/>
        </w:rPr>
        <w:t>Calculando una cifra</w:t>
      </w:r>
      <w:bookmarkEnd w:id="15"/>
    </w:p>
    <w:p w14:paraId="027D4967" w14:textId="092DBC00" w:rsidR="00376B9C" w:rsidRPr="001121C9" w:rsidRDefault="00376B9C" w:rsidP="00BC783F">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9</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FE6A31">
        <w:rPr>
          <w:lang w:val="es-ES_tradnl"/>
        </w:rPr>
        <w:t xml:space="preserve">No existe un método establecido para medir el volumen de las iniciativas de desarrollo centradas en el sector privado, debido en gran medida a la ambigüedad de su definición, ya que </w:t>
      </w:r>
      <w:r w:rsidR="0069107D">
        <w:rPr>
          <w:lang w:val="es-ES_tradnl"/>
        </w:rPr>
        <w:t>se las cualifica</w:t>
      </w:r>
      <w:r w:rsidR="00FE6A31">
        <w:rPr>
          <w:lang w:val="es-ES_tradnl"/>
        </w:rPr>
        <w:t xml:space="preserve"> como parte de las estadísticas de la AOD, pero no todas las iniciativas son consideradas como parte de la AOD en primera instancia. Para ilustrar, Australia </w:t>
      </w:r>
      <w:r w:rsidR="00A139EE">
        <w:rPr>
          <w:lang w:val="es-ES_tradnl"/>
        </w:rPr>
        <w:t>afirma que el 27% de su AOD en 2012/13 está destinada a</w:t>
      </w:r>
      <w:r w:rsidR="0069107D">
        <w:rPr>
          <w:lang w:val="es-ES_tradnl"/>
        </w:rPr>
        <w:t>l</w:t>
      </w:r>
      <w:r w:rsidR="00A139EE">
        <w:rPr>
          <w:lang w:val="es-ES_tradnl"/>
        </w:rPr>
        <w:t xml:space="preserve"> “desarrollo económico sostenible” y Canadá declara que en 2009/10 el 22,3% de las actividades de la CIDA (la agencia canadiense de AOD) estuvo destinado a</w:t>
      </w:r>
      <w:r w:rsidR="0069107D">
        <w:rPr>
          <w:lang w:val="es-ES_tradnl"/>
        </w:rPr>
        <w:t>l</w:t>
      </w:r>
      <w:r w:rsidR="00A139EE">
        <w:rPr>
          <w:lang w:val="es-ES_tradnl"/>
        </w:rPr>
        <w:t xml:space="preserve"> “crecimiento económico sostenible”. Sin embargo, incluso contando con este tipo de información, es difícil realizar cualquier tipo de ejercicio comparativo, dado que las definiciones de “desarrollo </w:t>
      </w:r>
      <w:r w:rsidR="0069107D">
        <w:rPr>
          <w:lang w:val="es-ES_tradnl"/>
        </w:rPr>
        <w:t>económico</w:t>
      </w:r>
      <w:r w:rsidR="00A139EE">
        <w:rPr>
          <w:lang w:val="es-ES_tradnl"/>
        </w:rPr>
        <w:t xml:space="preserve"> sostenible” de ambos países difiere sustancialmente. </w:t>
      </w:r>
    </w:p>
    <w:p w14:paraId="1B75B190" w14:textId="299AEAB5" w:rsidR="00376B9C" w:rsidRPr="001121C9" w:rsidRDefault="00376B9C" w:rsidP="00BC783F">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10</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D57324">
        <w:rPr>
          <w:lang w:val="es-ES_tradnl"/>
        </w:rPr>
        <w:t xml:space="preserve">Podemos, no obstante, identificar grandes tendencias. Como se muestra en </w:t>
      </w:r>
      <w:r w:rsidR="006568F7">
        <w:rPr>
          <w:lang w:val="es-ES_tradnl"/>
        </w:rPr>
        <w:t>la tabla y gráficos abajo, el “</w:t>
      </w:r>
      <w:r w:rsidR="00D57324">
        <w:rPr>
          <w:lang w:val="es-ES_tradnl"/>
        </w:rPr>
        <w:t xml:space="preserve">sistema </w:t>
      </w:r>
      <w:r w:rsidR="006568F7">
        <w:rPr>
          <w:lang w:val="es-ES_tradnl"/>
        </w:rPr>
        <w:t xml:space="preserve">de notificación de los países acreedores” </w:t>
      </w:r>
      <w:r w:rsidR="00D57324">
        <w:rPr>
          <w:lang w:val="es-ES_tradnl"/>
        </w:rPr>
        <w:t>de</w:t>
      </w:r>
      <w:r w:rsidR="006568F7">
        <w:rPr>
          <w:lang w:val="es-ES_tradnl"/>
        </w:rPr>
        <w:t>l</w:t>
      </w:r>
      <w:r w:rsidR="00D57324">
        <w:rPr>
          <w:lang w:val="es-ES_tradnl"/>
        </w:rPr>
        <w:t xml:space="preserve"> Comité de Asistencia al Desarrollo de la OCDE</w:t>
      </w:r>
      <w:r w:rsidR="006568F7">
        <w:rPr>
          <w:lang w:val="es-ES_tradnl"/>
        </w:rPr>
        <w:t xml:space="preserve"> indica que los flujos de AOD hacia proyectos de “Infraestructura y Servicios E</w:t>
      </w:r>
      <w:r w:rsidR="00D0412D">
        <w:rPr>
          <w:lang w:val="es-ES_tradnl"/>
        </w:rPr>
        <w:t xml:space="preserve">conómicos” y hacia “Sectores </w:t>
      </w:r>
      <w:r w:rsidR="006568F7">
        <w:rPr>
          <w:lang w:val="es-ES_tradnl"/>
        </w:rPr>
        <w:t>Produc</w:t>
      </w:r>
      <w:r w:rsidR="00D0412D">
        <w:rPr>
          <w:lang w:val="es-ES_tradnl"/>
        </w:rPr>
        <w:t>tivos</w:t>
      </w:r>
      <w:r w:rsidR="006568F7">
        <w:rPr>
          <w:lang w:val="es-ES_tradnl"/>
        </w:rPr>
        <w:t>” ha crecido a un paso mucho más acelerado que los demás sectores entre 2006 y 2012</w:t>
      </w:r>
      <w:r w:rsidRPr="001121C9">
        <w:rPr>
          <w:lang w:val="es-ES_tradnl"/>
        </w:rPr>
        <w:t xml:space="preserve"> (+</w:t>
      </w:r>
      <w:r w:rsidR="003D16E5" w:rsidRPr="001121C9">
        <w:rPr>
          <w:lang w:val="es-ES_tradnl"/>
        </w:rPr>
        <w:t>137</w:t>
      </w:r>
      <w:r w:rsidR="006568F7">
        <w:rPr>
          <w:lang w:val="es-ES_tradnl"/>
        </w:rPr>
        <w:t>% y</w:t>
      </w:r>
      <w:r w:rsidRPr="001121C9">
        <w:rPr>
          <w:lang w:val="es-ES_tradnl"/>
        </w:rPr>
        <w:t xml:space="preserve"> +</w:t>
      </w:r>
      <w:r w:rsidR="003D16E5" w:rsidRPr="001121C9">
        <w:rPr>
          <w:lang w:val="es-ES_tradnl"/>
        </w:rPr>
        <w:t>118</w:t>
      </w:r>
      <w:r w:rsidRPr="001121C9">
        <w:rPr>
          <w:lang w:val="es-ES_tradnl"/>
        </w:rPr>
        <w:t xml:space="preserve">%, </w:t>
      </w:r>
      <w:r w:rsidR="006568F7">
        <w:rPr>
          <w:lang w:val="es-ES_tradnl"/>
        </w:rPr>
        <w:t xml:space="preserve">en comparación con </w:t>
      </w:r>
      <w:r w:rsidRPr="001121C9">
        <w:rPr>
          <w:lang w:val="es-ES_tradnl"/>
        </w:rPr>
        <w:t>+4</w:t>
      </w:r>
      <w:r w:rsidR="003D16E5" w:rsidRPr="001121C9">
        <w:rPr>
          <w:lang w:val="es-ES_tradnl"/>
        </w:rPr>
        <w:t>3</w:t>
      </w:r>
      <w:r w:rsidRPr="001121C9">
        <w:rPr>
          <w:lang w:val="es-ES_tradnl"/>
        </w:rPr>
        <w:t xml:space="preserve">% </w:t>
      </w:r>
      <w:r w:rsidR="006568F7">
        <w:rPr>
          <w:lang w:val="es-ES_tradnl"/>
        </w:rPr>
        <w:t>para infraestructura</w:t>
      </w:r>
      <w:r w:rsidRPr="001121C9">
        <w:rPr>
          <w:lang w:val="es-ES_tradnl"/>
        </w:rPr>
        <w:t xml:space="preserve"> social), </w:t>
      </w:r>
      <w:r w:rsidR="006568F7">
        <w:rPr>
          <w:lang w:val="es-ES_tradnl"/>
        </w:rPr>
        <w:t>corroborando así la noción de que la AOD orientada al sector privado para el desarrollo está creciendo de forma sustentada.</w:t>
      </w:r>
      <w:r w:rsidRPr="001121C9">
        <w:rPr>
          <w:lang w:val="es-ES_tradnl"/>
        </w:rPr>
        <w:t xml:space="preserve"> </w:t>
      </w:r>
    </w:p>
    <w:p w14:paraId="0D299D30" w14:textId="77777777" w:rsidR="00376B9C" w:rsidRPr="001121C9" w:rsidRDefault="00376B9C" w:rsidP="00BC783F">
      <w:pPr>
        <w:jc w:val="both"/>
        <w:rPr>
          <w:lang w:val="es-ES_tradnl"/>
        </w:rPr>
      </w:pPr>
    </w:p>
    <w:p w14:paraId="107FE394" w14:textId="5262CFD7" w:rsidR="003D16E5" w:rsidRPr="001121C9" w:rsidRDefault="006839EA" w:rsidP="006C1426">
      <w:pPr>
        <w:pStyle w:val="Heading4"/>
        <w:rPr>
          <w:lang w:val="es-ES_tradnl"/>
        </w:rPr>
      </w:pPr>
      <w:r>
        <w:rPr>
          <w:lang w:val="es-ES_tradnl"/>
        </w:rPr>
        <w:t>Distribución sectorial de la AOD en la OCDE</w:t>
      </w:r>
      <w:r w:rsidR="003D16E5" w:rsidRPr="001121C9">
        <w:rPr>
          <w:lang w:val="es-ES_tradnl"/>
        </w:rPr>
        <w:t xml:space="preserve"> 2006-2012</w:t>
      </w:r>
    </w:p>
    <w:tbl>
      <w:tblPr>
        <w:tblW w:w="9457" w:type="dxa"/>
        <w:tblInd w:w="93" w:type="dxa"/>
        <w:shd w:val="clear" w:color="auto" w:fill="FFFFFF" w:themeFill="background1"/>
        <w:tblLayout w:type="fixed"/>
        <w:tblLook w:val="04A0" w:firstRow="1" w:lastRow="0" w:firstColumn="1" w:lastColumn="0" w:noHBand="0" w:noVBand="1"/>
      </w:tblPr>
      <w:tblGrid>
        <w:gridCol w:w="3928"/>
        <w:gridCol w:w="765"/>
        <w:gridCol w:w="1191"/>
        <w:gridCol w:w="1191"/>
        <w:gridCol w:w="1191"/>
        <w:gridCol w:w="1191"/>
      </w:tblGrid>
      <w:tr w:rsidR="006C1426" w:rsidRPr="001121C9" w14:paraId="2766B037" w14:textId="77777777" w:rsidTr="006C1426">
        <w:trPr>
          <w:cantSplit/>
          <w:trHeight w:val="277"/>
        </w:trPr>
        <w:tc>
          <w:tcPr>
            <w:tcW w:w="3928" w:type="dxa"/>
            <w:tcBorders>
              <w:top w:val="nil"/>
              <w:left w:val="single" w:sz="4" w:space="0" w:color="C0C0C0"/>
              <w:bottom w:val="single" w:sz="4" w:space="0" w:color="C0C0C0"/>
              <w:right w:val="single" w:sz="4" w:space="0" w:color="C0C0C0"/>
            </w:tcBorders>
            <w:shd w:val="clear" w:color="auto" w:fill="FFFFFF" w:themeFill="background1"/>
            <w:hideMark/>
          </w:tcPr>
          <w:p w14:paraId="154A4D88" w14:textId="07AC954D" w:rsidR="006C1426" w:rsidRPr="001121C9" w:rsidRDefault="006839EA" w:rsidP="006839EA">
            <w:pPr>
              <w:rPr>
                <w:rFonts w:eastAsia="Times New Roman" w:cs="Times New Roman"/>
                <w:b/>
                <w:sz w:val="18"/>
                <w:szCs w:val="18"/>
                <w:lang w:val="es-ES_tradnl" w:eastAsia="en-GB"/>
              </w:rPr>
            </w:pPr>
            <w:r>
              <w:rPr>
                <w:rFonts w:eastAsia="Times New Roman" w:cs="Times New Roman"/>
                <w:b/>
                <w:sz w:val="18"/>
                <w:szCs w:val="18"/>
                <w:lang w:val="es-ES_tradnl" w:eastAsia="en-GB"/>
              </w:rPr>
              <w:t>En miles de millones de dólares</w:t>
            </w:r>
          </w:p>
        </w:tc>
        <w:tc>
          <w:tcPr>
            <w:tcW w:w="765" w:type="dxa"/>
            <w:tcBorders>
              <w:top w:val="nil"/>
              <w:left w:val="nil"/>
              <w:bottom w:val="single" w:sz="4" w:space="0" w:color="C0C0C0"/>
              <w:right w:val="single" w:sz="4" w:space="0" w:color="C0C0C0"/>
            </w:tcBorders>
            <w:shd w:val="clear" w:color="auto" w:fill="FFFFFF" w:themeFill="background1"/>
            <w:noWrap/>
            <w:hideMark/>
          </w:tcPr>
          <w:p w14:paraId="5E8D06B0" w14:textId="77777777" w:rsidR="006C1426" w:rsidRPr="001121C9" w:rsidRDefault="006C1426" w:rsidP="004D295F">
            <w:pPr>
              <w:jc w:val="center"/>
              <w:rPr>
                <w:rFonts w:eastAsia="Times New Roman" w:cs="Times New Roman"/>
                <w:b/>
                <w:sz w:val="18"/>
                <w:szCs w:val="18"/>
                <w:lang w:val="es-ES_tradnl" w:eastAsia="en-GB"/>
              </w:rPr>
            </w:pPr>
            <w:r w:rsidRPr="001121C9">
              <w:rPr>
                <w:rFonts w:eastAsia="Times New Roman" w:cs="Times New Roman"/>
                <w:b/>
                <w:sz w:val="18"/>
                <w:szCs w:val="18"/>
                <w:lang w:val="es-ES_tradnl" w:eastAsia="en-GB"/>
              </w:rPr>
              <w:t>2006</w:t>
            </w:r>
          </w:p>
        </w:tc>
        <w:tc>
          <w:tcPr>
            <w:tcW w:w="1191" w:type="dxa"/>
            <w:tcBorders>
              <w:top w:val="nil"/>
              <w:left w:val="nil"/>
              <w:bottom w:val="single" w:sz="4" w:space="0" w:color="C0C0C0"/>
              <w:right w:val="single" w:sz="4" w:space="0" w:color="C0C0C0"/>
            </w:tcBorders>
            <w:shd w:val="clear" w:color="auto" w:fill="FFFFFF" w:themeFill="background1"/>
            <w:noWrap/>
            <w:hideMark/>
          </w:tcPr>
          <w:p w14:paraId="63467530" w14:textId="77777777" w:rsidR="006C1426" w:rsidRPr="001121C9" w:rsidRDefault="006C1426" w:rsidP="004D295F">
            <w:pPr>
              <w:jc w:val="center"/>
              <w:rPr>
                <w:rFonts w:eastAsia="Times New Roman" w:cs="Times New Roman"/>
                <w:b/>
                <w:sz w:val="18"/>
                <w:szCs w:val="18"/>
                <w:lang w:val="es-ES_tradnl" w:eastAsia="en-GB"/>
              </w:rPr>
            </w:pPr>
            <w:r w:rsidRPr="001121C9">
              <w:rPr>
                <w:rFonts w:eastAsia="Times New Roman" w:cs="Times New Roman"/>
                <w:b/>
                <w:sz w:val="18"/>
                <w:szCs w:val="18"/>
                <w:lang w:val="es-ES_tradnl" w:eastAsia="en-GB"/>
              </w:rPr>
              <w:t>2008</w:t>
            </w:r>
          </w:p>
        </w:tc>
        <w:tc>
          <w:tcPr>
            <w:tcW w:w="1191" w:type="dxa"/>
            <w:tcBorders>
              <w:top w:val="nil"/>
              <w:left w:val="nil"/>
              <w:bottom w:val="single" w:sz="4" w:space="0" w:color="C0C0C0"/>
              <w:right w:val="single" w:sz="4" w:space="0" w:color="C0C0C0"/>
            </w:tcBorders>
            <w:shd w:val="clear" w:color="auto" w:fill="FFFFFF" w:themeFill="background1"/>
            <w:noWrap/>
            <w:hideMark/>
          </w:tcPr>
          <w:p w14:paraId="210A97D1" w14:textId="77777777" w:rsidR="006C1426" w:rsidRPr="001121C9" w:rsidRDefault="006C1426" w:rsidP="004D295F">
            <w:pPr>
              <w:jc w:val="center"/>
              <w:rPr>
                <w:rFonts w:eastAsia="Times New Roman" w:cs="Times New Roman"/>
                <w:b/>
                <w:sz w:val="18"/>
                <w:szCs w:val="18"/>
                <w:lang w:val="es-ES_tradnl" w:eastAsia="en-GB"/>
              </w:rPr>
            </w:pPr>
            <w:r w:rsidRPr="001121C9">
              <w:rPr>
                <w:rFonts w:eastAsia="Times New Roman" w:cs="Times New Roman"/>
                <w:b/>
                <w:sz w:val="18"/>
                <w:szCs w:val="18"/>
                <w:lang w:val="es-ES_tradnl" w:eastAsia="en-GB"/>
              </w:rPr>
              <w:t>2010</w:t>
            </w:r>
          </w:p>
        </w:tc>
        <w:tc>
          <w:tcPr>
            <w:tcW w:w="1191" w:type="dxa"/>
            <w:tcBorders>
              <w:top w:val="nil"/>
              <w:left w:val="nil"/>
              <w:bottom w:val="single" w:sz="4" w:space="0" w:color="C0C0C0"/>
              <w:right w:val="single" w:sz="4" w:space="0" w:color="C0C0C0"/>
            </w:tcBorders>
            <w:shd w:val="clear" w:color="auto" w:fill="FFFFFF" w:themeFill="background1"/>
            <w:noWrap/>
            <w:hideMark/>
          </w:tcPr>
          <w:p w14:paraId="2E6EFD8D" w14:textId="77777777" w:rsidR="006C1426" w:rsidRPr="001121C9" w:rsidRDefault="006C1426" w:rsidP="004D295F">
            <w:pPr>
              <w:jc w:val="center"/>
              <w:rPr>
                <w:rFonts w:eastAsia="Times New Roman" w:cs="Times New Roman"/>
                <w:b/>
                <w:sz w:val="18"/>
                <w:szCs w:val="18"/>
                <w:lang w:val="es-ES_tradnl" w:eastAsia="en-GB"/>
              </w:rPr>
            </w:pPr>
            <w:r w:rsidRPr="001121C9">
              <w:rPr>
                <w:rFonts w:eastAsia="Times New Roman" w:cs="Times New Roman"/>
                <w:b/>
                <w:sz w:val="18"/>
                <w:szCs w:val="18"/>
                <w:lang w:val="es-ES_tradnl" w:eastAsia="en-GB"/>
              </w:rPr>
              <w:t>2012</w:t>
            </w:r>
          </w:p>
        </w:tc>
        <w:tc>
          <w:tcPr>
            <w:tcW w:w="1191" w:type="dxa"/>
            <w:tcBorders>
              <w:top w:val="nil"/>
              <w:left w:val="nil"/>
              <w:bottom w:val="nil"/>
              <w:right w:val="single" w:sz="4" w:space="0" w:color="C0C0C0"/>
            </w:tcBorders>
            <w:shd w:val="clear" w:color="auto" w:fill="FFFFFF" w:themeFill="background1"/>
            <w:noWrap/>
            <w:hideMark/>
          </w:tcPr>
          <w:p w14:paraId="7301CEC7" w14:textId="77777777" w:rsidR="006C1426" w:rsidRPr="001121C9" w:rsidRDefault="006C1426" w:rsidP="004D295F">
            <w:pPr>
              <w:jc w:val="center"/>
              <w:rPr>
                <w:rFonts w:eastAsia="Times New Roman" w:cs="Times New Roman"/>
                <w:b/>
                <w:sz w:val="18"/>
                <w:szCs w:val="18"/>
                <w:lang w:val="es-ES_tradnl" w:eastAsia="en-GB"/>
              </w:rPr>
            </w:pPr>
            <w:r w:rsidRPr="001121C9">
              <w:rPr>
                <w:rFonts w:eastAsia="Times New Roman" w:cs="Times New Roman"/>
                <w:b/>
                <w:sz w:val="18"/>
                <w:szCs w:val="18"/>
                <w:lang w:val="es-ES_tradnl" w:eastAsia="en-GB"/>
              </w:rPr>
              <w:t>2006-2012</w:t>
            </w:r>
          </w:p>
        </w:tc>
      </w:tr>
      <w:tr w:rsidR="003D16E5" w:rsidRPr="001121C9" w14:paraId="03534FB8" w14:textId="77777777" w:rsidTr="006C1426">
        <w:trPr>
          <w:cantSplit/>
          <w:trHeight w:val="277"/>
        </w:trPr>
        <w:tc>
          <w:tcPr>
            <w:tcW w:w="3928" w:type="dxa"/>
            <w:tcBorders>
              <w:top w:val="nil"/>
              <w:left w:val="single" w:sz="4" w:space="0" w:color="C0C0C0"/>
              <w:bottom w:val="single" w:sz="4" w:space="0" w:color="C0C0C0"/>
              <w:right w:val="single" w:sz="4" w:space="0" w:color="C0C0C0"/>
            </w:tcBorders>
            <w:shd w:val="clear" w:color="auto" w:fill="FFFFFF" w:themeFill="background1"/>
            <w:hideMark/>
          </w:tcPr>
          <w:p w14:paraId="2982F4A4" w14:textId="1333C62C" w:rsidR="003D16E5" w:rsidRPr="001121C9" w:rsidRDefault="003D16E5" w:rsidP="006839EA">
            <w:pPr>
              <w:rPr>
                <w:rFonts w:eastAsia="Times New Roman" w:cs="Times New Roman"/>
                <w:sz w:val="18"/>
                <w:szCs w:val="18"/>
                <w:lang w:val="es-ES_tradnl" w:eastAsia="en-GB"/>
              </w:rPr>
            </w:pPr>
            <w:r w:rsidRPr="001121C9">
              <w:rPr>
                <w:rFonts w:eastAsia="Times New Roman" w:cs="Times New Roman"/>
                <w:sz w:val="18"/>
                <w:szCs w:val="18"/>
                <w:lang w:val="es-ES_tradnl" w:eastAsia="en-GB"/>
              </w:rPr>
              <w:t xml:space="preserve">I. </w:t>
            </w:r>
            <w:r w:rsidR="006839EA">
              <w:rPr>
                <w:rFonts w:eastAsia="Times New Roman" w:cs="Times New Roman"/>
                <w:sz w:val="18"/>
                <w:szCs w:val="18"/>
                <w:lang w:val="es-ES_tradnl" w:eastAsia="en-GB"/>
              </w:rPr>
              <w:t xml:space="preserve">Infraestructura y Servicios </w:t>
            </w:r>
            <w:r w:rsidRPr="001121C9">
              <w:rPr>
                <w:rFonts w:eastAsia="Times New Roman" w:cs="Times New Roman"/>
                <w:sz w:val="18"/>
                <w:szCs w:val="18"/>
                <w:lang w:val="es-ES_tradnl" w:eastAsia="en-GB"/>
              </w:rPr>
              <w:t>Social</w:t>
            </w:r>
            <w:r w:rsidR="006839EA">
              <w:rPr>
                <w:rFonts w:eastAsia="Times New Roman" w:cs="Times New Roman"/>
                <w:sz w:val="18"/>
                <w:szCs w:val="18"/>
                <w:lang w:val="es-ES_tradnl" w:eastAsia="en-GB"/>
              </w:rPr>
              <w:t>es</w:t>
            </w:r>
          </w:p>
        </w:tc>
        <w:tc>
          <w:tcPr>
            <w:tcW w:w="765" w:type="dxa"/>
            <w:tcBorders>
              <w:top w:val="nil"/>
              <w:left w:val="nil"/>
              <w:bottom w:val="single" w:sz="4" w:space="0" w:color="C0C0C0"/>
              <w:right w:val="single" w:sz="4" w:space="0" w:color="C0C0C0"/>
            </w:tcBorders>
            <w:shd w:val="clear" w:color="auto" w:fill="FFFFFF" w:themeFill="background1"/>
            <w:noWrap/>
            <w:hideMark/>
          </w:tcPr>
          <w:p w14:paraId="1FEFF612"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46.6</w:t>
            </w:r>
          </w:p>
        </w:tc>
        <w:tc>
          <w:tcPr>
            <w:tcW w:w="1191" w:type="dxa"/>
            <w:tcBorders>
              <w:top w:val="nil"/>
              <w:left w:val="nil"/>
              <w:bottom w:val="single" w:sz="4" w:space="0" w:color="C0C0C0"/>
              <w:right w:val="single" w:sz="4" w:space="0" w:color="C0C0C0"/>
            </w:tcBorders>
            <w:shd w:val="clear" w:color="auto" w:fill="FFFFFF" w:themeFill="background1"/>
            <w:noWrap/>
            <w:hideMark/>
          </w:tcPr>
          <w:p w14:paraId="53BFD6BF"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62.0</w:t>
            </w:r>
          </w:p>
        </w:tc>
        <w:tc>
          <w:tcPr>
            <w:tcW w:w="1191" w:type="dxa"/>
            <w:tcBorders>
              <w:top w:val="nil"/>
              <w:left w:val="nil"/>
              <w:bottom w:val="single" w:sz="4" w:space="0" w:color="C0C0C0"/>
              <w:right w:val="single" w:sz="4" w:space="0" w:color="C0C0C0"/>
            </w:tcBorders>
            <w:shd w:val="clear" w:color="auto" w:fill="FFFFFF" w:themeFill="background1"/>
            <w:noWrap/>
            <w:hideMark/>
          </w:tcPr>
          <w:p w14:paraId="019E3ECC"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64.4</w:t>
            </w:r>
          </w:p>
        </w:tc>
        <w:tc>
          <w:tcPr>
            <w:tcW w:w="1191" w:type="dxa"/>
            <w:tcBorders>
              <w:top w:val="nil"/>
              <w:left w:val="nil"/>
              <w:bottom w:val="single" w:sz="4" w:space="0" w:color="C0C0C0"/>
              <w:right w:val="single" w:sz="4" w:space="0" w:color="C0C0C0"/>
            </w:tcBorders>
            <w:shd w:val="clear" w:color="auto" w:fill="FFFFFF" w:themeFill="background1"/>
            <w:noWrap/>
            <w:hideMark/>
          </w:tcPr>
          <w:p w14:paraId="2EDBD0AE"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66.8</w:t>
            </w:r>
          </w:p>
        </w:tc>
        <w:tc>
          <w:tcPr>
            <w:tcW w:w="1191" w:type="dxa"/>
            <w:tcBorders>
              <w:top w:val="nil"/>
              <w:left w:val="nil"/>
              <w:bottom w:val="nil"/>
              <w:right w:val="single" w:sz="4" w:space="0" w:color="C0C0C0"/>
            </w:tcBorders>
            <w:shd w:val="clear" w:color="auto" w:fill="FFFFFF" w:themeFill="background1"/>
            <w:noWrap/>
            <w:hideMark/>
          </w:tcPr>
          <w:p w14:paraId="41E1825F"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+43%</w:t>
            </w:r>
          </w:p>
        </w:tc>
      </w:tr>
      <w:tr w:rsidR="003D16E5" w:rsidRPr="001121C9" w14:paraId="13C85E76" w14:textId="77777777" w:rsidTr="006C1426">
        <w:trPr>
          <w:cantSplit/>
          <w:trHeight w:val="277"/>
        </w:trPr>
        <w:tc>
          <w:tcPr>
            <w:tcW w:w="3928" w:type="dxa"/>
            <w:tcBorders>
              <w:top w:val="nil"/>
              <w:left w:val="single" w:sz="4" w:space="0" w:color="C0C0C0"/>
              <w:bottom w:val="single" w:sz="4" w:space="0" w:color="C0C0C0"/>
              <w:right w:val="single" w:sz="4" w:space="0" w:color="C0C0C0"/>
            </w:tcBorders>
            <w:shd w:val="clear" w:color="auto" w:fill="FFFFFF" w:themeFill="background1"/>
            <w:hideMark/>
          </w:tcPr>
          <w:p w14:paraId="2E25EF81" w14:textId="64B95618" w:rsidR="003D16E5" w:rsidRPr="001121C9" w:rsidRDefault="003D16E5" w:rsidP="004557A0">
            <w:pPr>
              <w:rPr>
                <w:rFonts w:eastAsia="Times New Roman" w:cs="Times New Roman"/>
                <w:sz w:val="18"/>
                <w:szCs w:val="18"/>
                <w:lang w:val="es-ES_tradnl" w:eastAsia="en-GB"/>
              </w:rPr>
            </w:pPr>
            <w:r w:rsidRPr="001121C9">
              <w:rPr>
                <w:rFonts w:eastAsia="Times New Roman" w:cs="Times New Roman"/>
                <w:sz w:val="18"/>
                <w:szCs w:val="18"/>
                <w:lang w:val="es-ES_tradnl" w:eastAsia="en-GB"/>
              </w:rPr>
              <w:t xml:space="preserve">II. </w:t>
            </w:r>
            <w:r w:rsidR="004557A0">
              <w:rPr>
                <w:rFonts w:eastAsia="Times New Roman" w:cs="Times New Roman"/>
                <w:sz w:val="18"/>
                <w:szCs w:val="18"/>
                <w:lang w:val="es-ES_tradnl" w:eastAsia="en-GB"/>
              </w:rPr>
              <w:t>Infraestructura y Servicios Económicos</w:t>
            </w:r>
          </w:p>
        </w:tc>
        <w:tc>
          <w:tcPr>
            <w:tcW w:w="765" w:type="dxa"/>
            <w:tcBorders>
              <w:top w:val="nil"/>
              <w:left w:val="nil"/>
              <w:bottom w:val="single" w:sz="4" w:space="0" w:color="C0C0C0"/>
              <w:right w:val="single" w:sz="4" w:space="0" w:color="C0C0C0"/>
            </w:tcBorders>
            <w:shd w:val="clear" w:color="auto" w:fill="FFFFFF" w:themeFill="background1"/>
            <w:noWrap/>
            <w:hideMark/>
          </w:tcPr>
          <w:p w14:paraId="00620169"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15.8</w:t>
            </w:r>
          </w:p>
        </w:tc>
        <w:tc>
          <w:tcPr>
            <w:tcW w:w="1191" w:type="dxa"/>
            <w:tcBorders>
              <w:top w:val="nil"/>
              <w:left w:val="nil"/>
              <w:bottom w:val="single" w:sz="4" w:space="0" w:color="C0C0C0"/>
              <w:right w:val="single" w:sz="4" w:space="0" w:color="C0C0C0"/>
            </w:tcBorders>
            <w:shd w:val="clear" w:color="auto" w:fill="FFFFFF" w:themeFill="background1"/>
            <w:noWrap/>
            <w:hideMark/>
          </w:tcPr>
          <w:p w14:paraId="4ADCBF95"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27.5</w:t>
            </w:r>
          </w:p>
        </w:tc>
        <w:tc>
          <w:tcPr>
            <w:tcW w:w="1191" w:type="dxa"/>
            <w:tcBorders>
              <w:top w:val="nil"/>
              <w:left w:val="nil"/>
              <w:bottom w:val="single" w:sz="4" w:space="0" w:color="C0C0C0"/>
              <w:right w:val="single" w:sz="4" w:space="0" w:color="C0C0C0"/>
            </w:tcBorders>
            <w:shd w:val="clear" w:color="auto" w:fill="FFFFFF" w:themeFill="background1"/>
            <w:noWrap/>
            <w:hideMark/>
          </w:tcPr>
          <w:p w14:paraId="11AE97F1"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30.5</w:t>
            </w:r>
          </w:p>
        </w:tc>
        <w:tc>
          <w:tcPr>
            <w:tcW w:w="1191" w:type="dxa"/>
            <w:tcBorders>
              <w:top w:val="nil"/>
              <w:left w:val="nil"/>
              <w:bottom w:val="single" w:sz="4" w:space="0" w:color="C0C0C0"/>
              <w:right w:val="single" w:sz="4" w:space="0" w:color="C0C0C0"/>
            </w:tcBorders>
            <w:shd w:val="clear" w:color="auto" w:fill="FFFFFF" w:themeFill="background1"/>
            <w:noWrap/>
            <w:hideMark/>
          </w:tcPr>
          <w:p w14:paraId="7207AE1F"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37.5</w:t>
            </w:r>
          </w:p>
        </w:tc>
        <w:tc>
          <w:tcPr>
            <w:tcW w:w="1191" w:type="dxa"/>
            <w:tcBorders>
              <w:top w:val="nil"/>
              <w:left w:val="nil"/>
              <w:bottom w:val="nil"/>
              <w:right w:val="single" w:sz="4" w:space="0" w:color="C0C0C0"/>
            </w:tcBorders>
            <w:shd w:val="clear" w:color="auto" w:fill="FFFFFF" w:themeFill="background1"/>
            <w:noWrap/>
            <w:hideMark/>
          </w:tcPr>
          <w:p w14:paraId="2BAFD698" w14:textId="77777777" w:rsidR="003D16E5" w:rsidRPr="001121C9" w:rsidRDefault="003D16E5" w:rsidP="003D16E5">
            <w:pPr>
              <w:jc w:val="center"/>
              <w:rPr>
                <w:rFonts w:eastAsia="Times New Roman" w:cs="Times New Roman"/>
                <w:sz w:val="18"/>
                <w:szCs w:val="18"/>
                <w:u w:val="single"/>
                <w:lang w:val="es-ES_tradnl" w:eastAsia="en-GB"/>
              </w:rPr>
            </w:pPr>
            <w:r w:rsidRPr="001121C9">
              <w:rPr>
                <w:rFonts w:eastAsia="Times New Roman" w:cs="Times New Roman"/>
                <w:sz w:val="18"/>
                <w:szCs w:val="18"/>
                <w:u w:val="single"/>
                <w:lang w:val="es-ES_tradnl" w:eastAsia="en-GB"/>
              </w:rPr>
              <w:t>+137%</w:t>
            </w:r>
          </w:p>
        </w:tc>
      </w:tr>
      <w:tr w:rsidR="003D16E5" w:rsidRPr="001121C9" w14:paraId="64B83EDD" w14:textId="77777777" w:rsidTr="006C1426">
        <w:trPr>
          <w:cantSplit/>
          <w:trHeight w:val="277"/>
        </w:trPr>
        <w:tc>
          <w:tcPr>
            <w:tcW w:w="3928" w:type="dxa"/>
            <w:tcBorders>
              <w:top w:val="nil"/>
              <w:left w:val="single" w:sz="4" w:space="0" w:color="C0C0C0"/>
              <w:bottom w:val="single" w:sz="4" w:space="0" w:color="C0C0C0"/>
              <w:right w:val="single" w:sz="4" w:space="0" w:color="C0C0C0"/>
            </w:tcBorders>
            <w:shd w:val="clear" w:color="auto" w:fill="FFFFFF" w:themeFill="background1"/>
            <w:hideMark/>
          </w:tcPr>
          <w:p w14:paraId="08DC9529" w14:textId="3FFF7A30" w:rsidR="003D16E5" w:rsidRPr="001121C9" w:rsidRDefault="003D16E5" w:rsidP="00684D7D">
            <w:pPr>
              <w:rPr>
                <w:rFonts w:eastAsia="Times New Roman" w:cs="Times New Roman"/>
                <w:sz w:val="18"/>
                <w:szCs w:val="18"/>
                <w:lang w:val="es-ES_tradnl" w:eastAsia="en-GB"/>
              </w:rPr>
            </w:pPr>
            <w:r w:rsidRPr="001121C9">
              <w:rPr>
                <w:rFonts w:eastAsia="Times New Roman" w:cs="Times New Roman"/>
                <w:sz w:val="18"/>
                <w:szCs w:val="18"/>
                <w:lang w:val="es-ES_tradnl" w:eastAsia="en-GB"/>
              </w:rPr>
              <w:t xml:space="preserve">III. </w:t>
            </w:r>
            <w:r w:rsidR="00684D7D">
              <w:rPr>
                <w:rFonts w:eastAsia="Times New Roman" w:cs="Times New Roman"/>
                <w:sz w:val="18"/>
                <w:szCs w:val="18"/>
                <w:lang w:val="es-ES_tradnl" w:eastAsia="en-GB"/>
              </w:rPr>
              <w:t xml:space="preserve">Sectores </w:t>
            </w:r>
            <w:r w:rsidR="004557A0">
              <w:rPr>
                <w:rFonts w:eastAsia="Times New Roman" w:cs="Times New Roman"/>
                <w:sz w:val="18"/>
                <w:szCs w:val="18"/>
                <w:lang w:val="es-ES_tradnl" w:eastAsia="en-GB"/>
              </w:rPr>
              <w:t>Produc</w:t>
            </w:r>
            <w:r w:rsidR="00684D7D">
              <w:rPr>
                <w:rFonts w:eastAsia="Times New Roman" w:cs="Times New Roman"/>
                <w:sz w:val="18"/>
                <w:szCs w:val="18"/>
                <w:lang w:val="es-ES_tradnl" w:eastAsia="en-GB"/>
              </w:rPr>
              <w:t>tivos</w:t>
            </w:r>
          </w:p>
        </w:tc>
        <w:tc>
          <w:tcPr>
            <w:tcW w:w="765" w:type="dxa"/>
            <w:tcBorders>
              <w:top w:val="nil"/>
              <w:left w:val="nil"/>
              <w:bottom w:val="single" w:sz="4" w:space="0" w:color="C0C0C0"/>
              <w:right w:val="single" w:sz="4" w:space="0" w:color="C0C0C0"/>
            </w:tcBorders>
            <w:shd w:val="clear" w:color="auto" w:fill="FFFFFF" w:themeFill="background1"/>
            <w:noWrap/>
            <w:hideMark/>
          </w:tcPr>
          <w:p w14:paraId="1152F387"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8.1</w:t>
            </w:r>
          </w:p>
        </w:tc>
        <w:tc>
          <w:tcPr>
            <w:tcW w:w="1191" w:type="dxa"/>
            <w:tcBorders>
              <w:top w:val="nil"/>
              <w:left w:val="nil"/>
              <w:bottom w:val="single" w:sz="4" w:space="0" w:color="C0C0C0"/>
              <w:right w:val="single" w:sz="4" w:space="0" w:color="C0C0C0"/>
            </w:tcBorders>
            <w:shd w:val="clear" w:color="auto" w:fill="FFFFFF" w:themeFill="background1"/>
            <w:noWrap/>
            <w:hideMark/>
          </w:tcPr>
          <w:p w14:paraId="36554D46"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11.3</w:t>
            </w:r>
          </w:p>
        </w:tc>
        <w:tc>
          <w:tcPr>
            <w:tcW w:w="1191" w:type="dxa"/>
            <w:tcBorders>
              <w:top w:val="nil"/>
              <w:left w:val="nil"/>
              <w:bottom w:val="single" w:sz="4" w:space="0" w:color="C0C0C0"/>
              <w:right w:val="single" w:sz="4" w:space="0" w:color="C0C0C0"/>
            </w:tcBorders>
            <w:shd w:val="clear" w:color="auto" w:fill="FFFFFF" w:themeFill="background1"/>
            <w:noWrap/>
            <w:hideMark/>
          </w:tcPr>
          <w:p w14:paraId="018237FF"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12.9</w:t>
            </w:r>
          </w:p>
        </w:tc>
        <w:tc>
          <w:tcPr>
            <w:tcW w:w="1191" w:type="dxa"/>
            <w:tcBorders>
              <w:top w:val="nil"/>
              <w:left w:val="nil"/>
              <w:bottom w:val="single" w:sz="4" w:space="0" w:color="C0C0C0"/>
              <w:right w:val="single" w:sz="4" w:space="0" w:color="C0C0C0"/>
            </w:tcBorders>
            <w:shd w:val="clear" w:color="auto" w:fill="FFFFFF" w:themeFill="background1"/>
            <w:noWrap/>
            <w:hideMark/>
          </w:tcPr>
          <w:p w14:paraId="7BAAE2A3"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17.6</w:t>
            </w:r>
          </w:p>
        </w:tc>
        <w:tc>
          <w:tcPr>
            <w:tcW w:w="1191" w:type="dxa"/>
            <w:tcBorders>
              <w:top w:val="nil"/>
              <w:left w:val="nil"/>
              <w:bottom w:val="nil"/>
              <w:right w:val="single" w:sz="4" w:space="0" w:color="C0C0C0"/>
            </w:tcBorders>
            <w:shd w:val="clear" w:color="auto" w:fill="FFFFFF" w:themeFill="background1"/>
            <w:noWrap/>
            <w:hideMark/>
          </w:tcPr>
          <w:p w14:paraId="65C57F79" w14:textId="77777777" w:rsidR="003D16E5" w:rsidRPr="001121C9" w:rsidRDefault="003D16E5" w:rsidP="003D16E5">
            <w:pPr>
              <w:jc w:val="center"/>
              <w:rPr>
                <w:rFonts w:eastAsia="Times New Roman" w:cs="Times New Roman"/>
                <w:sz w:val="18"/>
                <w:szCs w:val="18"/>
                <w:u w:val="single"/>
                <w:lang w:val="es-ES_tradnl" w:eastAsia="en-GB"/>
              </w:rPr>
            </w:pPr>
            <w:r w:rsidRPr="001121C9">
              <w:rPr>
                <w:rFonts w:eastAsia="Times New Roman" w:cs="Times New Roman"/>
                <w:sz w:val="18"/>
                <w:szCs w:val="18"/>
                <w:u w:val="single"/>
                <w:lang w:val="es-ES_tradnl" w:eastAsia="en-GB"/>
              </w:rPr>
              <w:t>+118%</w:t>
            </w:r>
          </w:p>
        </w:tc>
      </w:tr>
      <w:tr w:rsidR="003D16E5" w:rsidRPr="001121C9" w14:paraId="7EC0C33A" w14:textId="77777777" w:rsidTr="006C1426">
        <w:trPr>
          <w:cantSplit/>
          <w:trHeight w:val="277"/>
        </w:trPr>
        <w:tc>
          <w:tcPr>
            <w:tcW w:w="3928" w:type="dxa"/>
            <w:tcBorders>
              <w:top w:val="nil"/>
              <w:left w:val="single" w:sz="4" w:space="0" w:color="C0C0C0"/>
              <w:bottom w:val="single" w:sz="4" w:space="0" w:color="C0C0C0"/>
              <w:right w:val="single" w:sz="4" w:space="0" w:color="C0C0C0"/>
            </w:tcBorders>
            <w:shd w:val="clear" w:color="auto" w:fill="FFFFFF" w:themeFill="background1"/>
            <w:hideMark/>
          </w:tcPr>
          <w:p w14:paraId="0B50926F" w14:textId="7F84F13C" w:rsidR="003D16E5" w:rsidRPr="001121C9" w:rsidRDefault="004557A0" w:rsidP="004557A0">
            <w:pPr>
              <w:rPr>
                <w:rFonts w:eastAsia="Times New Roman" w:cs="Times New Roman"/>
                <w:sz w:val="18"/>
                <w:szCs w:val="18"/>
                <w:lang w:val="es-ES_tradnl" w:eastAsia="en-GB"/>
              </w:rPr>
            </w:pPr>
            <w:r>
              <w:rPr>
                <w:rFonts w:eastAsia="Times New Roman" w:cs="Times New Roman"/>
                <w:sz w:val="18"/>
                <w:szCs w:val="18"/>
                <w:lang w:val="es-ES_tradnl" w:eastAsia="en-GB"/>
              </w:rPr>
              <w:t>IV. Multisectorial / Transversal</w:t>
            </w:r>
          </w:p>
        </w:tc>
        <w:tc>
          <w:tcPr>
            <w:tcW w:w="765" w:type="dxa"/>
            <w:tcBorders>
              <w:top w:val="nil"/>
              <w:left w:val="nil"/>
              <w:bottom w:val="single" w:sz="4" w:space="0" w:color="C0C0C0"/>
              <w:right w:val="single" w:sz="4" w:space="0" w:color="C0C0C0"/>
            </w:tcBorders>
            <w:shd w:val="clear" w:color="auto" w:fill="FFFFFF" w:themeFill="background1"/>
            <w:noWrap/>
            <w:hideMark/>
          </w:tcPr>
          <w:p w14:paraId="2D0E6040"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8.7</w:t>
            </w:r>
          </w:p>
        </w:tc>
        <w:tc>
          <w:tcPr>
            <w:tcW w:w="1191" w:type="dxa"/>
            <w:tcBorders>
              <w:top w:val="nil"/>
              <w:left w:val="nil"/>
              <w:bottom w:val="single" w:sz="4" w:space="0" w:color="C0C0C0"/>
              <w:right w:val="single" w:sz="4" w:space="0" w:color="C0C0C0"/>
            </w:tcBorders>
            <w:shd w:val="clear" w:color="auto" w:fill="FFFFFF" w:themeFill="background1"/>
            <w:noWrap/>
            <w:hideMark/>
          </w:tcPr>
          <w:p w14:paraId="1B8F4C5F"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11.9</w:t>
            </w:r>
          </w:p>
        </w:tc>
        <w:tc>
          <w:tcPr>
            <w:tcW w:w="1191" w:type="dxa"/>
            <w:tcBorders>
              <w:top w:val="nil"/>
              <w:left w:val="nil"/>
              <w:bottom w:val="single" w:sz="4" w:space="0" w:color="C0C0C0"/>
              <w:right w:val="single" w:sz="4" w:space="0" w:color="C0C0C0"/>
            </w:tcBorders>
            <w:shd w:val="clear" w:color="auto" w:fill="FFFFFF" w:themeFill="background1"/>
            <w:noWrap/>
            <w:hideMark/>
          </w:tcPr>
          <w:p w14:paraId="6371992C"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21.0</w:t>
            </w:r>
          </w:p>
        </w:tc>
        <w:tc>
          <w:tcPr>
            <w:tcW w:w="1191" w:type="dxa"/>
            <w:tcBorders>
              <w:top w:val="nil"/>
              <w:left w:val="nil"/>
              <w:bottom w:val="single" w:sz="4" w:space="0" w:color="C0C0C0"/>
              <w:right w:val="single" w:sz="4" w:space="0" w:color="C0C0C0"/>
            </w:tcBorders>
            <w:shd w:val="clear" w:color="auto" w:fill="FFFFFF" w:themeFill="background1"/>
            <w:noWrap/>
            <w:hideMark/>
          </w:tcPr>
          <w:p w14:paraId="180E23D3"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18.9</w:t>
            </w:r>
          </w:p>
        </w:tc>
        <w:tc>
          <w:tcPr>
            <w:tcW w:w="1191" w:type="dxa"/>
            <w:tcBorders>
              <w:top w:val="nil"/>
              <w:left w:val="nil"/>
              <w:bottom w:val="nil"/>
              <w:right w:val="single" w:sz="4" w:space="0" w:color="C0C0C0"/>
            </w:tcBorders>
            <w:shd w:val="clear" w:color="auto" w:fill="FFFFFF" w:themeFill="background1"/>
            <w:noWrap/>
            <w:hideMark/>
          </w:tcPr>
          <w:p w14:paraId="71810C46"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+117%</w:t>
            </w:r>
          </w:p>
        </w:tc>
      </w:tr>
      <w:tr w:rsidR="003D16E5" w:rsidRPr="001121C9" w14:paraId="299AF100" w14:textId="77777777" w:rsidTr="006C1426">
        <w:trPr>
          <w:cantSplit/>
          <w:trHeight w:val="277"/>
        </w:trPr>
        <w:tc>
          <w:tcPr>
            <w:tcW w:w="3928" w:type="dxa"/>
            <w:tcBorders>
              <w:top w:val="nil"/>
              <w:left w:val="single" w:sz="4" w:space="0" w:color="C0C0C0"/>
              <w:bottom w:val="single" w:sz="4" w:space="0" w:color="C0C0C0"/>
              <w:right w:val="single" w:sz="4" w:space="0" w:color="C0C0C0"/>
            </w:tcBorders>
            <w:shd w:val="clear" w:color="auto" w:fill="FFFFFF" w:themeFill="background1"/>
            <w:hideMark/>
          </w:tcPr>
          <w:p w14:paraId="440E7431" w14:textId="6BD11AF1" w:rsidR="003D16E5" w:rsidRPr="001121C9" w:rsidRDefault="003D16E5" w:rsidP="004557A0">
            <w:pPr>
              <w:rPr>
                <w:rFonts w:eastAsia="Times New Roman" w:cs="Times New Roman"/>
                <w:sz w:val="18"/>
                <w:szCs w:val="18"/>
                <w:lang w:val="es-ES_tradnl" w:eastAsia="en-GB"/>
              </w:rPr>
            </w:pPr>
            <w:r w:rsidRPr="001121C9">
              <w:rPr>
                <w:rFonts w:eastAsia="Times New Roman" w:cs="Times New Roman"/>
                <w:sz w:val="18"/>
                <w:szCs w:val="18"/>
                <w:lang w:val="es-ES_tradnl" w:eastAsia="en-GB"/>
              </w:rPr>
              <w:t>VII. Ac</w:t>
            </w:r>
            <w:r w:rsidR="004557A0">
              <w:rPr>
                <w:rFonts w:eastAsia="Times New Roman" w:cs="Times New Roman"/>
                <w:sz w:val="18"/>
                <w:szCs w:val="18"/>
                <w:lang w:val="es-ES_tradnl" w:eastAsia="en-GB"/>
              </w:rPr>
              <w:t>ción Relacionada a Deuda</w:t>
            </w:r>
          </w:p>
        </w:tc>
        <w:tc>
          <w:tcPr>
            <w:tcW w:w="765" w:type="dxa"/>
            <w:tcBorders>
              <w:top w:val="nil"/>
              <w:left w:val="nil"/>
              <w:bottom w:val="single" w:sz="4" w:space="0" w:color="C0C0C0"/>
              <w:right w:val="single" w:sz="4" w:space="0" w:color="C0C0C0"/>
            </w:tcBorders>
            <w:shd w:val="clear" w:color="auto" w:fill="FFFFFF" w:themeFill="background1"/>
            <w:noWrap/>
            <w:hideMark/>
          </w:tcPr>
          <w:p w14:paraId="798C59D5"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23.2</w:t>
            </w:r>
          </w:p>
        </w:tc>
        <w:tc>
          <w:tcPr>
            <w:tcW w:w="1191" w:type="dxa"/>
            <w:tcBorders>
              <w:top w:val="nil"/>
              <w:left w:val="nil"/>
              <w:bottom w:val="single" w:sz="4" w:space="0" w:color="C0C0C0"/>
              <w:right w:val="single" w:sz="4" w:space="0" w:color="C0C0C0"/>
            </w:tcBorders>
            <w:shd w:val="clear" w:color="auto" w:fill="FFFFFF" w:themeFill="background1"/>
            <w:noWrap/>
            <w:hideMark/>
          </w:tcPr>
          <w:p w14:paraId="185F3F03"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11.3</w:t>
            </w:r>
          </w:p>
        </w:tc>
        <w:tc>
          <w:tcPr>
            <w:tcW w:w="1191" w:type="dxa"/>
            <w:tcBorders>
              <w:top w:val="nil"/>
              <w:left w:val="nil"/>
              <w:bottom w:val="single" w:sz="4" w:space="0" w:color="C0C0C0"/>
              <w:right w:val="single" w:sz="4" w:space="0" w:color="C0C0C0"/>
            </w:tcBorders>
            <w:shd w:val="clear" w:color="auto" w:fill="FFFFFF" w:themeFill="background1"/>
            <w:noWrap/>
            <w:hideMark/>
          </w:tcPr>
          <w:p w14:paraId="190108AB"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4.9</w:t>
            </w:r>
          </w:p>
        </w:tc>
        <w:tc>
          <w:tcPr>
            <w:tcW w:w="1191" w:type="dxa"/>
            <w:tcBorders>
              <w:top w:val="nil"/>
              <w:left w:val="nil"/>
              <w:bottom w:val="single" w:sz="4" w:space="0" w:color="C0C0C0"/>
              <w:right w:val="single" w:sz="4" w:space="0" w:color="C0C0C0"/>
            </w:tcBorders>
            <w:shd w:val="clear" w:color="auto" w:fill="FFFFFF" w:themeFill="background1"/>
            <w:noWrap/>
            <w:hideMark/>
          </w:tcPr>
          <w:p w14:paraId="57B652E6"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2.9</w:t>
            </w:r>
          </w:p>
        </w:tc>
        <w:tc>
          <w:tcPr>
            <w:tcW w:w="1191" w:type="dxa"/>
            <w:tcBorders>
              <w:top w:val="nil"/>
              <w:left w:val="nil"/>
              <w:bottom w:val="nil"/>
              <w:right w:val="single" w:sz="4" w:space="0" w:color="C0C0C0"/>
            </w:tcBorders>
            <w:shd w:val="clear" w:color="auto" w:fill="FFFFFF" w:themeFill="background1"/>
            <w:noWrap/>
            <w:hideMark/>
          </w:tcPr>
          <w:p w14:paraId="0897260A"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-87%</w:t>
            </w:r>
          </w:p>
        </w:tc>
      </w:tr>
      <w:tr w:rsidR="003D16E5" w:rsidRPr="001121C9" w14:paraId="18D4AE3D" w14:textId="77777777" w:rsidTr="006C1426">
        <w:trPr>
          <w:cantSplit/>
          <w:trHeight w:val="277"/>
        </w:trPr>
        <w:tc>
          <w:tcPr>
            <w:tcW w:w="3928" w:type="dxa"/>
            <w:tcBorders>
              <w:top w:val="nil"/>
              <w:left w:val="single" w:sz="4" w:space="0" w:color="C0C0C0"/>
              <w:bottom w:val="single" w:sz="4" w:space="0" w:color="C0C0C0"/>
              <w:right w:val="single" w:sz="4" w:space="0" w:color="C0C0C0"/>
            </w:tcBorders>
            <w:shd w:val="clear" w:color="auto" w:fill="FFFFFF" w:themeFill="background1"/>
            <w:hideMark/>
          </w:tcPr>
          <w:p w14:paraId="381C5CA6" w14:textId="12DC5898" w:rsidR="003D16E5" w:rsidRPr="001121C9" w:rsidRDefault="003D16E5" w:rsidP="004557A0">
            <w:pPr>
              <w:rPr>
                <w:rFonts w:eastAsia="Times New Roman" w:cs="Times New Roman"/>
                <w:sz w:val="18"/>
                <w:szCs w:val="18"/>
                <w:lang w:val="es-ES_tradnl" w:eastAsia="en-GB"/>
              </w:rPr>
            </w:pPr>
            <w:r w:rsidRPr="001121C9">
              <w:rPr>
                <w:rFonts w:eastAsia="Times New Roman" w:cs="Times New Roman"/>
                <w:sz w:val="18"/>
                <w:szCs w:val="18"/>
                <w:lang w:val="es-ES_tradnl" w:eastAsia="en-GB"/>
              </w:rPr>
              <w:t xml:space="preserve">VIII. </w:t>
            </w:r>
            <w:r w:rsidR="004557A0">
              <w:rPr>
                <w:rFonts w:eastAsia="Times New Roman" w:cs="Times New Roman"/>
                <w:sz w:val="18"/>
                <w:szCs w:val="18"/>
                <w:lang w:val="es-ES_tradnl" w:eastAsia="en-GB"/>
              </w:rPr>
              <w:t>Ayuda Humanitaria</w:t>
            </w:r>
          </w:p>
        </w:tc>
        <w:tc>
          <w:tcPr>
            <w:tcW w:w="765" w:type="dxa"/>
            <w:tcBorders>
              <w:top w:val="nil"/>
              <w:left w:val="nil"/>
              <w:bottom w:val="single" w:sz="4" w:space="0" w:color="C0C0C0"/>
              <w:right w:val="single" w:sz="4" w:space="0" w:color="C0C0C0"/>
            </w:tcBorders>
            <w:shd w:val="clear" w:color="auto" w:fill="FFFFFF" w:themeFill="background1"/>
            <w:noWrap/>
            <w:hideMark/>
          </w:tcPr>
          <w:p w14:paraId="331B295E"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8.5</w:t>
            </w:r>
          </w:p>
        </w:tc>
        <w:tc>
          <w:tcPr>
            <w:tcW w:w="1191" w:type="dxa"/>
            <w:tcBorders>
              <w:top w:val="nil"/>
              <w:left w:val="nil"/>
              <w:bottom w:val="single" w:sz="4" w:space="0" w:color="C0C0C0"/>
              <w:right w:val="single" w:sz="4" w:space="0" w:color="C0C0C0"/>
            </w:tcBorders>
            <w:shd w:val="clear" w:color="auto" w:fill="FFFFFF" w:themeFill="background1"/>
            <w:noWrap/>
            <w:hideMark/>
          </w:tcPr>
          <w:p w14:paraId="340EC58E"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11.0</w:t>
            </w:r>
          </w:p>
        </w:tc>
        <w:tc>
          <w:tcPr>
            <w:tcW w:w="1191" w:type="dxa"/>
            <w:tcBorders>
              <w:top w:val="nil"/>
              <w:left w:val="nil"/>
              <w:bottom w:val="single" w:sz="4" w:space="0" w:color="C0C0C0"/>
              <w:right w:val="single" w:sz="4" w:space="0" w:color="C0C0C0"/>
            </w:tcBorders>
            <w:shd w:val="clear" w:color="auto" w:fill="FFFFFF" w:themeFill="background1"/>
            <w:noWrap/>
            <w:hideMark/>
          </w:tcPr>
          <w:p w14:paraId="35BD9A39"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13.4</w:t>
            </w:r>
          </w:p>
        </w:tc>
        <w:tc>
          <w:tcPr>
            <w:tcW w:w="1191" w:type="dxa"/>
            <w:tcBorders>
              <w:top w:val="nil"/>
              <w:left w:val="nil"/>
              <w:bottom w:val="single" w:sz="4" w:space="0" w:color="C0C0C0"/>
              <w:right w:val="single" w:sz="4" w:space="0" w:color="C0C0C0"/>
            </w:tcBorders>
            <w:shd w:val="clear" w:color="auto" w:fill="FFFFFF" w:themeFill="background1"/>
            <w:noWrap/>
            <w:hideMark/>
          </w:tcPr>
          <w:p w14:paraId="45D25B0B"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13.1</w:t>
            </w:r>
          </w:p>
        </w:tc>
        <w:tc>
          <w:tcPr>
            <w:tcW w:w="1191" w:type="dxa"/>
            <w:tcBorders>
              <w:top w:val="nil"/>
              <w:left w:val="nil"/>
              <w:bottom w:val="nil"/>
              <w:right w:val="single" w:sz="4" w:space="0" w:color="C0C0C0"/>
            </w:tcBorders>
            <w:shd w:val="clear" w:color="auto" w:fill="FFFFFF" w:themeFill="background1"/>
            <w:noWrap/>
            <w:hideMark/>
          </w:tcPr>
          <w:p w14:paraId="31FB82C6"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+54%</w:t>
            </w:r>
          </w:p>
        </w:tc>
      </w:tr>
      <w:tr w:rsidR="003D16E5" w:rsidRPr="001121C9" w14:paraId="5DBDA38F" w14:textId="77777777" w:rsidTr="006C1426">
        <w:trPr>
          <w:cantSplit/>
          <w:trHeight w:val="277"/>
        </w:trPr>
        <w:tc>
          <w:tcPr>
            <w:tcW w:w="3928" w:type="dxa"/>
            <w:tcBorders>
              <w:top w:val="nil"/>
              <w:left w:val="single" w:sz="4" w:space="0" w:color="C0C0C0"/>
              <w:bottom w:val="single" w:sz="4" w:space="0" w:color="C0C0C0"/>
              <w:right w:val="single" w:sz="4" w:space="0" w:color="C0C0C0"/>
            </w:tcBorders>
            <w:shd w:val="clear" w:color="auto" w:fill="FFFFFF" w:themeFill="background1"/>
            <w:hideMark/>
          </w:tcPr>
          <w:p w14:paraId="322D1880" w14:textId="1A7B1943" w:rsidR="003D16E5" w:rsidRPr="001121C9" w:rsidRDefault="003D16E5" w:rsidP="004557A0">
            <w:pPr>
              <w:rPr>
                <w:rFonts w:eastAsia="Times New Roman" w:cs="Times New Roman"/>
                <w:sz w:val="18"/>
                <w:szCs w:val="18"/>
                <w:lang w:val="es-ES_tradnl" w:eastAsia="en-GB"/>
              </w:rPr>
            </w:pPr>
            <w:r w:rsidRPr="001121C9">
              <w:rPr>
                <w:rFonts w:eastAsia="Times New Roman" w:cs="Times New Roman"/>
                <w:sz w:val="18"/>
                <w:szCs w:val="18"/>
                <w:lang w:val="es-ES_tradnl" w:eastAsia="en-GB"/>
              </w:rPr>
              <w:t xml:space="preserve">IX. </w:t>
            </w:r>
            <w:r w:rsidR="004557A0">
              <w:rPr>
                <w:rFonts w:eastAsia="Times New Roman" w:cs="Times New Roman"/>
                <w:sz w:val="18"/>
                <w:szCs w:val="18"/>
                <w:lang w:val="es-ES_tradnl" w:eastAsia="en-GB"/>
              </w:rPr>
              <w:t>No destinada</w:t>
            </w:r>
            <w:r w:rsidRPr="001121C9">
              <w:rPr>
                <w:rFonts w:eastAsia="Times New Roman" w:cs="Times New Roman"/>
                <w:sz w:val="18"/>
                <w:szCs w:val="18"/>
                <w:lang w:val="es-ES_tradnl" w:eastAsia="en-GB"/>
              </w:rPr>
              <w:t xml:space="preserve"> / </w:t>
            </w:r>
            <w:r w:rsidR="004557A0">
              <w:rPr>
                <w:rFonts w:eastAsia="Times New Roman" w:cs="Times New Roman"/>
                <w:sz w:val="18"/>
                <w:szCs w:val="18"/>
                <w:lang w:val="es-ES_tradnl" w:eastAsia="en-GB"/>
              </w:rPr>
              <w:t>No especificada</w:t>
            </w:r>
          </w:p>
        </w:tc>
        <w:tc>
          <w:tcPr>
            <w:tcW w:w="765" w:type="dxa"/>
            <w:tcBorders>
              <w:top w:val="nil"/>
              <w:left w:val="nil"/>
              <w:bottom w:val="single" w:sz="4" w:space="0" w:color="C0C0C0"/>
              <w:right w:val="single" w:sz="4" w:space="0" w:color="C0C0C0"/>
            </w:tcBorders>
            <w:shd w:val="clear" w:color="auto" w:fill="FFFFFF" w:themeFill="background1"/>
            <w:noWrap/>
            <w:hideMark/>
          </w:tcPr>
          <w:p w14:paraId="0711C523"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13.6</w:t>
            </w:r>
          </w:p>
        </w:tc>
        <w:tc>
          <w:tcPr>
            <w:tcW w:w="1191" w:type="dxa"/>
            <w:tcBorders>
              <w:top w:val="nil"/>
              <w:left w:val="nil"/>
              <w:bottom w:val="single" w:sz="4" w:space="0" w:color="C0C0C0"/>
              <w:right w:val="single" w:sz="4" w:space="0" w:color="C0C0C0"/>
            </w:tcBorders>
            <w:shd w:val="clear" w:color="auto" w:fill="FFFFFF" w:themeFill="background1"/>
            <w:noWrap/>
            <w:hideMark/>
          </w:tcPr>
          <w:p w14:paraId="4FC49300"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13.2</w:t>
            </w:r>
          </w:p>
        </w:tc>
        <w:tc>
          <w:tcPr>
            <w:tcW w:w="1191" w:type="dxa"/>
            <w:tcBorders>
              <w:top w:val="nil"/>
              <w:left w:val="nil"/>
              <w:bottom w:val="single" w:sz="4" w:space="0" w:color="C0C0C0"/>
              <w:right w:val="single" w:sz="4" w:space="0" w:color="C0C0C0"/>
            </w:tcBorders>
            <w:shd w:val="clear" w:color="auto" w:fill="FFFFFF" w:themeFill="background1"/>
            <w:noWrap/>
            <w:hideMark/>
          </w:tcPr>
          <w:p w14:paraId="4348452F"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12.9</w:t>
            </w:r>
          </w:p>
        </w:tc>
        <w:tc>
          <w:tcPr>
            <w:tcW w:w="1191" w:type="dxa"/>
            <w:tcBorders>
              <w:top w:val="nil"/>
              <w:left w:val="nil"/>
              <w:bottom w:val="single" w:sz="4" w:space="0" w:color="C0C0C0"/>
              <w:right w:val="single" w:sz="4" w:space="0" w:color="C0C0C0"/>
            </w:tcBorders>
            <w:shd w:val="clear" w:color="auto" w:fill="FFFFFF" w:themeFill="background1"/>
            <w:noWrap/>
            <w:hideMark/>
          </w:tcPr>
          <w:p w14:paraId="46930247"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14.7</w:t>
            </w:r>
          </w:p>
        </w:tc>
        <w:tc>
          <w:tcPr>
            <w:tcW w:w="1191" w:type="dxa"/>
            <w:tcBorders>
              <w:top w:val="nil"/>
              <w:left w:val="nil"/>
              <w:bottom w:val="nil"/>
              <w:right w:val="single" w:sz="4" w:space="0" w:color="C0C0C0"/>
            </w:tcBorders>
            <w:shd w:val="clear" w:color="auto" w:fill="FFFFFF" w:themeFill="background1"/>
            <w:noWrap/>
            <w:hideMark/>
          </w:tcPr>
          <w:p w14:paraId="10CB2E58" w14:textId="77777777" w:rsidR="003D16E5" w:rsidRPr="001121C9" w:rsidRDefault="003D16E5" w:rsidP="003D16E5">
            <w:pPr>
              <w:jc w:val="center"/>
              <w:rPr>
                <w:rFonts w:eastAsia="Times New Roman" w:cs="Times New Roman"/>
                <w:sz w:val="18"/>
                <w:szCs w:val="18"/>
                <w:lang w:val="es-ES_tradnl" w:eastAsia="en-GB"/>
              </w:rPr>
            </w:pPr>
            <w:r w:rsidRPr="001121C9">
              <w:rPr>
                <w:rFonts w:eastAsia="Times New Roman" w:cs="Times New Roman"/>
                <w:sz w:val="18"/>
                <w:szCs w:val="18"/>
                <w:lang w:val="es-ES_tradnl" w:eastAsia="en-GB"/>
              </w:rPr>
              <w:t>+8%</w:t>
            </w:r>
          </w:p>
        </w:tc>
      </w:tr>
    </w:tbl>
    <w:p w14:paraId="4F388AA0" w14:textId="475D4F95" w:rsidR="006C1426" w:rsidRPr="001121C9" w:rsidRDefault="004557A0" w:rsidP="006C1426">
      <w:pPr>
        <w:rPr>
          <w:sz w:val="20"/>
          <w:szCs w:val="20"/>
          <w:lang w:val="es-ES_tradnl"/>
        </w:rPr>
      </w:pPr>
      <w:r>
        <w:rPr>
          <w:sz w:val="20"/>
          <w:szCs w:val="20"/>
          <w:lang w:val="es-ES_tradnl"/>
        </w:rPr>
        <w:t>Fuente</w:t>
      </w:r>
      <w:r w:rsidR="006C1426" w:rsidRPr="001121C9">
        <w:rPr>
          <w:sz w:val="20"/>
          <w:szCs w:val="20"/>
          <w:lang w:val="es-ES_tradnl"/>
        </w:rPr>
        <w:t>: http://dotstat.oecd.org</w:t>
      </w:r>
    </w:p>
    <w:p w14:paraId="472B089F" w14:textId="77777777" w:rsidR="003D16E5" w:rsidRPr="001121C9" w:rsidRDefault="003D16E5" w:rsidP="003D16E5">
      <w:pPr>
        <w:rPr>
          <w:lang w:val="es-ES_tradnl"/>
        </w:rPr>
      </w:pPr>
    </w:p>
    <w:p w14:paraId="58F69633" w14:textId="77777777" w:rsidR="00376B9C" w:rsidRPr="001121C9" w:rsidRDefault="004356CB" w:rsidP="00BC783F">
      <w:pPr>
        <w:rPr>
          <w:lang w:val="es-ES_tradnl"/>
        </w:rPr>
      </w:pPr>
      <w:r w:rsidRPr="001121C9">
        <w:rPr>
          <w:noProof/>
          <w:lang w:val="fr-BE" w:eastAsia="fr-BE"/>
        </w:rPr>
        <w:lastRenderedPageBreak/>
        <w:drawing>
          <wp:inline distT="0" distB="0" distL="0" distR="0" wp14:anchorId="497C71AB" wp14:editId="462194D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ED0596" w14:textId="1974803E" w:rsidR="00376B9C" w:rsidRPr="001121C9" w:rsidRDefault="00D0412D" w:rsidP="00376B9C">
      <w:pPr>
        <w:rPr>
          <w:sz w:val="20"/>
          <w:szCs w:val="20"/>
          <w:lang w:val="es-ES_tradnl"/>
        </w:rPr>
      </w:pPr>
      <w:r>
        <w:rPr>
          <w:sz w:val="20"/>
          <w:szCs w:val="20"/>
          <w:lang w:val="es-ES_tradnl"/>
        </w:rPr>
        <w:t>Fuente</w:t>
      </w:r>
      <w:r w:rsidR="00376B9C" w:rsidRPr="001121C9">
        <w:rPr>
          <w:sz w:val="20"/>
          <w:szCs w:val="20"/>
          <w:lang w:val="es-ES_tradnl"/>
        </w:rPr>
        <w:t xml:space="preserve">: </w:t>
      </w:r>
      <w:r w:rsidR="004356CB" w:rsidRPr="001121C9">
        <w:rPr>
          <w:sz w:val="20"/>
          <w:szCs w:val="20"/>
          <w:lang w:val="es-ES_tradnl"/>
        </w:rPr>
        <w:t>http://dotstat.oecd.org</w:t>
      </w:r>
    </w:p>
    <w:p w14:paraId="4DFC03EA" w14:textId="77777777" w:rsidR="003D16E5" w:rsidRPr="001121C9" w:rsidRDefault="003D16E5" w:rsidP="00376B9C">
      <w:pPr>
        <w:rPr>
          <w:lang w:val="es-ES_tradnl"/>
        </w:rPr>
      </w:pPr>
    </w:p>
    <w:p w14:paraId="582EF93B" w14:textId="0CEB3B62" w:rsidR="00376B9C" w:rsidRPr="001121C9" w:rsidRDefault="004356CB" w:rsidP="00376B9C">
      <w:pPr>
        <w:rPr>
          <w:lang w:val="es-ES_tradnl"/>
        </w:rPr>
      </w:pPr>
      <w:r w:rsidRPr="001121C9">
        <w:rPr>
          <w:noProof/>
          <w:lang w:val="fr-BE" w:eastAsia="fr-BE"/>
        </w:rPr>
        <w:drawing>
          <wp:inline distT="0" distB="0" distL="0" distR="0" wp14:anchorId="1157251E" wp14:editId="5737A7CB">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C783F">
        <w:rPr>
          <w:rStyle w:val="FootnoteReference"/>
          <w:lang w:val="es-ES_tradnl"/>
        </w:rPr>
        <w:footnoteReference w:id="1"/>
      </w:r>
    </w:p>
    <w:p w14:paraId="1D1C2261" w14:textId="2B00121A" w:rsidR="003D16E5" w:rsidRPr="001121C9" w:rsidRDefault="00D0412D" w:rsidP="003D16E5">
      <w:pPr>
        <w:rPr>
          <w:sz w:val="20"/>
          <w:szCs w:val="20"/>
          <w:lang w:val="es-ES_tradnl"/>
        </w:rPr>
      </w:pPr>
      <w:r>
        <w:rPr>
          <w:sz w:val="20"/>
          <w:szCs w:val="20"/>
          <w:lang w:val="es-ES_tradnl"/>
        </w:rPr>
        <w:t>Fuente</w:t>
      </w:r>
      <w:r w:rsidR="003D16E5" w:rsidRPr="001121C9">
        <w:rPr>
          <w:sz w:val="20"/>
          <w:szCs w:val="20"/>
          <w:lang w:val="es-ES_tradnl"/>
        </w:rPr>
        <w:t>: http://dotstat.oecd.org</w:t>
      </w:r>
    </w:p>
    <w:p w14:paraId="5B5FA3D3" w14:textId="77777777" w:rsidR="00376B9C" w:rsidRPr="001121C9" w:rsidRDefault="00376B9C" w:rsidP="00376B9C">
      <w:pPr>
        <w:rPr>
          <w:lang w:val="es-ES_tradnl"/>
        </w:rPr>
      </w:pPr>
    </w:p>
    <w:p w14:paraId="7F1CC584" w14:textId="77777777" w:rsidR="003D1749" w:rsidRPr="001121C9" w:rsidRDefault="003D1749" w:rsidP="003D1749">
      <w:pPr>
        <w:rPr>
          <w:lang w:val="es-ES_tradnl"/>
        </w:rPr>
      </w:pPr>
    </w:p>
    <w:p w14:paraId="0DD2606D" w14:textId="02CFF36B" w:rsidR="008E7283" w:rsidRPr="001121C9" w:rsidRDefault="00605092" w:rsidP="008E7283">
      <w:pPr>
        <w:pStyle w:val="Heading1"/>
        <w:rPr>
          <w:lang w:val="es-ES_tradnl"/>
        </w:rPr>
      </w:pPr>
      <w:bookmarkStart w:id="16" w:name="_Toc381823851"/>
      <w:bookmarkStart w:id="17" w:name="_Toc382332821"/>
      <w:bookmarkStart w:id="18" w:name="_Toc382848930"/>
      <w:r>
        <w:rPr>
          <w:lang w:val="es-ES_tradnl"/>
        </w:rPr>
        <w:lastRenderedPageBreak/>
        <w:t>Los</w:t>
      </w:r>
      <w:r w:rsidR="003D1749" w:rsidRPr="001121C9">
        <w:rPr>
          <w:lang w:val="es-ES_tradnl"/>
        </w:rPr>
        <w:t xml:space="preserve"> </w:t>
      </w:r>
      <w:bookmarkEnd w:id="16"/>
      <w:bookmarkEnd w:id="17"/>
      <w:r w:rsidR="00D0412D">
        <w:rPr>
          <w:lang w:val="es-ES_tradnl"/>
        </w:rPr>
        <w:t>Móvil</w:t>
      </w:r>
      <w:r w:rsidR="000D6EC7">
        <w:rPr>
          <w:lang w:val="es-ES_tradnl"/>
        </w:rPr>
        <w:t>ES</w:t>
      </w:r>
      <w:bookmarkEnd w:id="18"/>
    </w:p>
    <w:p w14:paraId="29D6080C" w14:textId="0BD857AB" w:rsidR="00605092" w:rsidRDefault="006C1426"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11</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Pr="001121C9">
        <w:rPr>
          <w:lang w:val="es-ES_tradnl"/>
        </w:rPr>
        <w:t xml:space="preserve"> </w:t>
      </w:r>
      <w:r w:rsidR="00605092">
        <w:rPr>
          <w:lang w:val="es-ES_tradnl"/>
        </w:rPr>
        <w:t xml:space="preserve">Como se discutió en la introducción, no hay dudas sobre la </w:t>
      </w:r>
      <w:r w:rsidR="00D0412D">
        <w:rPr>
          <w:lang w:val="es-ES_tradnl"/>
        </w:rPr>
        <w:t>tendencia instalada</w:t>
      </w:r>
      <w:r w:rsidR="00605092">
        <w:rPr>
          <w:lang w:val="es-ES_tradnl"/>
        </w:rPr>
        <w:t xml:space="preserve"> en los círculos políticos a centrarse en el rol del sector privado para el desarrollo. Existe una clara gr</w:t>
      </w:r>
      <w:r w:rsidR="00631DC1">
        <w:rPr>
          <w:lang w:val="es-ES_tradnl"/>
        </w:rPr>
        <w:t xml:space="preserve">avitación </w:t>
      </w:r>
      <w:r w:rsidR="00D0412D">
        <w:rPr>
          <w:lang w:val="es-ES_tradnl"/>
        </w:rPr>
        <w:t xml:space="preserve">en ese sentido </w:t>
      </w:r>
      <w:r w:rsidR="00631DC1">
        <w:rPr>
          <w:lang w:val="es-ES_tradnl"/>
        </w:rPr>
        <w:t>tanto en el nivel internacional de formulación de políticas como en el nivel del donante individual. Algunos donantes muy importantes tienen orientacion</w:t>
      </w:r>
      <w:r w:rsidR="00D0412D">
        <w:rPr>
          <w:lang w:val="es-ES_tradnl"/>
        </w:rPr>
        <w:t>es plenamente integradas a</w:t>
      </w:r>
      <w:r w:rsidR="00631DC1">
        <w:rPr>
          <w:lang w:val="es-ES_tradnl"/>
        </w:rPr>
        <w:t xml:space="preserve">l sector privado para sus políticas de cooperación al desarrollo. </w:t>
      </w:r>
    </w:p>
    <w:p w14:paraId="5AC9F8A8" w14:textId="09E846FC" w:rsidR="006C1426" w:rsidRPr="001121C9" w:rsidRDefault="006C1426" w:rsidP="002D3C54">
      <w:pPr>
        <w:pStyle w:val="Num-DocParagraph"/>
        <w:jc w:val="both"/>
        <w:rPr>
          <w:lang w:val="es-ES_tradnl"/>
        </w:rPr>
      </w:pPr>
    </w:p>
    <w:p w14:paraId="115534AD" w14:textId="74227805" w:rsidR="008E7283" w:rsidRPr="001121C9" w:rsidRDefault="0076049F"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12</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Pr="001121C9">
        <w:rPr>
          <w:lang w:val="es-ES_tradnl"/>
        </w:rPr>
        <w:t xml:space="preserve"> </w:t>
      </w:r>
      <w:r w:rsidR="00631DC1">
        <w:rPr>
          <w:lang w:val="es-ES_tradnl"/>
        </w:rPr>
        <w:t xml:space="preserve">La pregunta es ¿qué hay por detrás de esta tendencia? Y ¿cuáles son las implicaciones en términos de política? ¿Estamos de forma lenta pero segura moviéndonos hacia una cooperación al desarrollo cogestionada, o al menos sustancialmente influenciada por los grupos empresariales y sus líderes? Llevándolo a un extremo, ¿podría la inversión extranjera directa ser considerada como cooperación al desarrollo en sí? Para plantearlo sin rodeos, </w:t>
      </w:r>
      <w:r w:rsidR="00D0412D">
        <w:rPr>
          <w:lang w:val="es-ES_tradnl"/>
        </w:rPr>
        <w:t>¿</w:t>
      </w:r>
      <w:r w:rsidR="00631DC1">
        <w:rPr>
          <w:lang w:val="es-ES_tradnl"/>
        </w:rPr>
        <w:t>está la AOD corriendo el riesgo de ser privatizada? A continuación de</w:t>
      </w:r>
      <w:r w:rsidR="000D6EC7">
        <w:rPr>
          <w:lang w:val="es-ES_tradnl"/>
        </w:rPr>
        <w:t>lineamos algunos de los “m</w:t>
      </w:r>
      <w:r w:rsidR="00D0412D">
        <w:rPr>
          <w:lang w:val="es-ES_tradnl"/>
        </w:rPr>
        <w:t>óviles</w:t>
      </w:r>
      <w:r w:rsidR="00631DC1">
        <w:rPr>
          <w:lang w:val="es-ES_tradnl"/>
        </w:rPr>
        <w:t xml:space="preserve">”, o </w:t>
      </w:r>
      <w:r w:rsidR="000D6EC7">
        <w:rPr>
          <w:lang w:val="es-ES_tradnl"/>
        </w:rPr>
        <w:t>factores impulsores</w:t>
      </w:r>
      <w:r w:rsidR="00631DC1">
        <w:rPr>
          <w:lang w:val="es-ES_tradnl"/>
        </w:rPr>
        <w:t xml:space="preserve"> de polí</w:t>
      </w:r>
      <w:r w:rsidR="000D6EC7">
        <w:rPr>
          <w:lang w:val="es-ES_tradnl"/>
        </w:rPr>
        <w:t xml:space="preserve">tica, por detrás de la agenda en ascenso sobre el sector privado para el desarrollo. </w:t>
      </w:r>
      <w:r w:rsidR="00631DC1">
        <w:rPr>
          <w:lang w:val="es-ES_tradnl"/>
        </w:rPr>
        <w:t xml:space="preserve">  </w:t>
      </w:r>
    </w:p>
    <w:p w14:paraId="0CD29D0E" w14:textId="77777777" w:rsidR="0076049F" w:rsidRPr="001121C9" w:rsidRDefault="0076049F" w:rsidP="002D3C54">
      <w:pPr>
        <w:pStyle w:val="Num-DocParagraph"/>
        <w:jc w:val="both"/>
        <w:rPr>
          <w:lang w:val="es-ES_tradnl"/>
        </w:rPr>
      </w:pPr>
    </w:p>
    <w:p w14:paraId="06DFCB27" w14:textId="7CD475C2" w:rsidR="008E7283" w:rsidRPr="001121C9" w:rsidRDefault="00761226" w:rsidP="002D3C54">
      <w:pPr>
        <w:pStyle w:val="Heading2"/>
        <w:jc w:val="both"/>
        <w:rPr>
          <w:lang w:val="es-ES_tradnl"/>
        </w:rPr>
      </w:pPr>
      <w:bookmarkStart w:id="19" w:name="_Toc378166816"/>
      <w:bookmarkStart w:id="20" w:name="_Toc381823852"/>
      <w:bookmarkStart w:id="21" w:name="_Toc382332822"/>
      <w:bookmarkStart w:id="22" w:name="_Toc382848931"/>
      <w:r>
        <w:rPr>
          <w:lang w:val="es-ES_tradnl"/>
        </w:rPr>
        <w:t xml:space="preserve">Grupos empresariales como </w:t>
      </w:r>
      <w:r w:rsidR="00886956">
        <w:rPr>
          <w:lang w:val="es-ES_tradnl"/>
        </w:rPr>
        <w:t>“socios igualitarios” del gobierno</w:t>
      </w:r>
      <w:bookmarkEnd w:id="19"/>
      <w:bookmarkEnd w:id="20"/>
      <w:bookmarkEnd w:id="21"/>
      <w:bookmarkEnd w:id="22"/>
    </w:p>
    <w:p w14:paraId="528138F6" w14:textId="0A406FEA" w:rsidR="008E7283" w:rsidRPr="001121C9" w:rsidRDefault="008E7283"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13</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886956">
        <w:rPr>
          <w:lang w:val="es-ES_tradnl"/>
        </w:rPr>
        <w:t xml:space="preserve">El sector privado siempre </w:t>
      </w:r>
      <w:r w:rsidR="00AE4467">
        <w:rPr>
          <w:lang w:val="es-ES_tradnl"/>
        </w:rPr>
        <w:t>h</w:t>
      </w:r>
      <w:r w:rsidR="00886956">
        <w:rPr>
          <w:lang w:val="es-ES_tradnl"/>
        </w:rPr>
        <w:t>a sido un elemento central de la cooperación al desarrollo. Muchos proyectos de ayuda apuntan a desarrollar el sector privado. Lo que distingue</w:t>
      </w:r>
      <w:r w:rsidR="00B90529">
        <w:rPr>
          <w:lang w:val="es-ES_tradnl"/>
        </w:rPr>
        <w:t>, empero,</w:t>
      </w:r>
      <w:r w:rsidR="00886956">
        <w:rPr>
          <w:lang w:val="es-ES_tradnl"/>
        </w:rPr>
        <w:t xml:space="preserve"> el marco </w:t>
      </w:r>
      <w:r w:rsidR="00B90529">
        <w:rPr>
          <w:lang w:val="es-ES_tradnl"/>
        </w:rPr>
        <w:t xml:space="preserve">normativo </w:t>
      </w:r>
      <w:r w:rsidR="00886956">
        <w:rPr>
          <w:lang w:val="es-ES_tradnl"/>
        </w:rPr>
        <w:t xml:space="preserve">del sector privado para el desarrollo del </w:t>
      </w:r>
      <w:r w:rsidR="00B90529">
        <w:rPr>
          <w:lang w:val="es-ES_tradnl"/>
        </w:rPr>
        <w:t>marco normativo la AOD tradicional es</w:t>
      </w:r>
      <w:r w:rsidR="00886956">
        <w:rPr>
          <w:lang w:val="es-ES_tradnl"/>
        </w:rPr>
        <w:t xml:space="preserve"> el reconocimiento de los grupos empresariales como un aliado clave, o hasta un “socio igualitario”</w:t>
      </w:r>
      <w:r w:rsidR="00B90529">
        <w:rPr>
          <w:lang w:val="es-ES_tradnl"/>
        </w:rPr>
        <w:t>,</w:t>
      </w:r>
      <w:r w:rsidR="00886956">
        <w:rPr>
          <w:lang w:val="es-ES_tradnl"/>
        </w:rPr>
        <w:t xml:space="preserve"> de los gobiernos y donantes en la formulación de políticas y diseño de proyectos. Es un marco normativo que claramente favorece reformas regulatorias pro-empresariales </w:t>
      </w:r>
      <w:r w:rsidR="00B738A9">
        <w:rPr>
          <w:lang w:val="es-ES_tradnl"/>
        </w:rPr>
        <w:t xml:space="preserve">en la arena doméstica (reducción de las exigencias de regulación del sector privado, facilitación del comercio, desarrollo de los mercados locales de crédito y de capital) y a menudo un “achicamiento” del rol del </w:t>
      </w:r>
      <w:r w:rsidR="00B90529">
        <w:rPr>
          <w:lang w:val="es-ES_tradnl"/>
        </w:rPr>
        <w:t>Estado</w:t>
      </w:r>
      <w:r w:rsidR="00B738A9">
        <w:rPr>
          <w:lang w:val="es-ES_tradnl"/>
        </w:rPr>
        <w:t xml:space="preserve"> (privatización, “</w:t>
      </w:r>
      <w:proofErr w:type="spellStart"/>
      <w:r w:rsidR="00B738A9">
        <w:rPr>
          <w:lang w:val="es-ES_tradnl"/>
        </w:rPr>
        <w:t>corporatización</w:t>
      </w:r>
      <w:proofErr w:type="spellEnd"/>
      <w:r w:rsidR="00B738A9">
        <w:rPr>
          <w:lang w:val="es-ES_tradnl"/>
        </w:rPr>
        <w:t>” de compañ</w:t>
      </w:r>
      <w:r w:rsidR="00D44608">
        <w:rPr>
          <w:lang w:val="es-ES_tradnl"/>
        </w:rPr>
        <w:t xml:space="preserve">ías de propiedad estatal, desregulación sectorial). La metodología del Banco Mundial del ranking de países </w:t>
      </w:r>
      <w:r w:rsidR="00D44608" w:rsidRPr="00B90529">
        <w:rPr>
          <w:i/>
          <w:lang w:val="es-ES_tradnl"/>
        </w:rPr>
        <w:t>“</w:t>
      </w:r>
      <w:proofErr w:type="spellStart"/>
      <w:r w:rsidR="00D44608" w:rsidRPr="00B90529">
        <w:rPr>
          <w:i/>
          <w:lang w:val="es-ES_tradnl"/>
        </w:rPr>
        <w:t>Doing</w:t>
      </w:r>
      <w:proofErr w:type="spellEnd"/>
      <w:r w:rsidR="00D44608" w:rsidRPr="00B90529">
        <w:rPr>
          <w:i/>
          <w:lang w:val="es-ES_tradnl"/>
        </w:rPr>
        <w:t xml:space="preserve"> Business”</w:t>
      </w:r>
      <w:r w:rsidR="00D44608">
        <w:rPr>
          <w:lang w:val="es-ES_tradnl"/>
        </w:rPr>
        <w:t xml:space="preserve"> es tal vez la herramienta más conocida de apoyo internacional a reformas pro-empresariales y es ampliamente </w:t>
      </w:r>
      <w:r w:rsidR="00FA65EE">
        <w:rPr>
          <w:lang w:val="es-ES_tradnl"/>
        </w:rPr>
        <w:t xml:space="preserve">usado como referencia cuando se considera el sector privado para el desarrollo. Y, aunque el foco principal está en desarrollar el sector privado lucrativo doméstico, </w:t>
      </w:r>
      <w:r w:rsidR="001A217C">
        <w:rPr>
          <w:lang w:val="es-ES_tradnl"/>
        </w:rPr>
        <w:t>en muchos aspectos la agenda de</w:t>
      </w:r>
      <w:r w:rsidR="00D72891">
        <w:rPr>
          <w:lang w:val="es-ES_tradnl"/>
        </w:rPr>
        <w:t>l</w:t>
      </w:r>
      <w:r w:rsidR="001A217C">
        <w:rPr>
          <w:lang w:val="es-ES_tradnl"/>
        </w:rPr>
        <w:t xml:space="preserve"> sector privado para el desarrollo está a menudo íntimamente conectada a</w:t>
      </w:r>
      <w:r w:rsidR="00FA65EE">
        <w:rPr>
          <w:lang w:val="es-ES_tradnl"/>
        </w:rPr>
        <w:t xml:space="preserve"> </w:t>
      </w:r>
      <w:r w:rsidR="001A217C">
        <w:rPr>
          <w:lang w:val="es-ES_tradnl"/>
        </w:rPr>
        <w:t xml:space="preserve">atractivos objetivos de inversión extranjera directa e intereses </w:t>
      </w:r>
      <w:proofErr w:type="gramStart"/>
      <w:r w:rsidR="001A217C">
        <w:rPr>
          <w:lang w:val="es-ES_tradnl"/>
        </w:rPr>
        <w:t>comerciales</w:t>
      </w:r>
      <w:proofErr w:type="gramEnd"/>
      <w:r w:rsidR="001A217C">
        <w:rPr>
          <w:lang w:val="es-ES_tradnl"/>
        </w:rPr>
        <w:t xml:space="preserve"> de empresas multinacionales. </w:t>
      </w:r>
    </w:p>
    <w:p w14:paraId="42730C22" w14:textId="6512227F" w:rsidR="008E7283" w:rsidRPr="001121C9" w:rsidRDefault="008E7283"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14</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334D78">
        <w:rPr>
          <w:lang w:val="es-ES_tradnl"/>
        </w:rPr>
        <w:t xml:space="preserve">A la vez que mejorar el </w:t>
      </w:r>
      <w:r w:rsidRPr="001121C9">
        <w:rPr>
          <w:lang w:val="es-ES_tradnl"/>
        </w:rPr>
        <w:t>“clima</w:t>
      </w:r>
      <w:r w:rsidR="00334D78">
        <w:rPr>
          <w:lang w:val="es-ES_tradnl"/>
        </w:rPr>
        <w:t xml:space="preserve"> de negocios” e</w:t>
      </w:r>
      <w:r w:rsidRPr="001121C9">
        <w:rPr>
          <w:lang w:val="es-ES_tradnl"/>
        </w:rPr>
        <w:t xml:space="preserve">s central </w:t>
      </w:r>
      <w:r w:rsidR="00334D78">
        <w:rPr>
          <w:lang w:val="es-ES_tradnl"/>
        </w:rPr>
        <w:t>e</w:t>
      </w:r>
      <w:r w:rsidR="0058623B" w:rsidRPr="001121C9">
        <w:rPr>
          <w:lang w:val="es-ES_tradnl"/>
        </w:rPr>
        <w:t xml:space="preserve">n </w:t>
      </w:r>
      <w:r w:rsidR="00334D78">
        <w:rPr>
          <w:lang w:val="es-ES_tradnl"/>
        </w:rPr>
        <w:t>la narrativa sobre</w:t>
      </w:r>
      <w:r w:rsidR="0058623B" w:rsidRPr="001121C9">
        <w:rPr>
          <w:lang w:val="es-ES_tradnl"/>
        </w:rPr>
        <w:t xml:space="preserve"> </w:t>
      </w:r>
      <w:r w:rsidR="00334D78">
        <w:rPr>
          <w:lang w:val="es-ES_tradnl"/>
        </w:rPr>
        <w:t>el sector privado para el desarrollo, hay muy poca aceptación para el cumplimiento efectivo de los derecho</w:t>
      </w:r>
      <w:r w:rsidR="00D72891">
        <w:rPr>
          <w:lang w:val="es-ES_tradnl"/>
        </w:rPr>
        <w:t>s</w:t>
      </w:r>
      <w:r w:rsidR="00334D78">
        <w:rPr>
          <w:lang w:val="es-ES_tradnl"/>
        </w:rPr>
        <w:t xml:space="preserve"> de otras partes interesadas (</w:t>
      </w:r>
      <w:r w:rsidR="00204FE3">
        <w:rPr>
          <w:lang w:val="es-ES_tradnl"/>
        </w:rPr>
        <w:t>que no sean</w:t>
      </w:r>
      <w:r w:rsidR="00334D78">
        <w:rPr>
          <w:lang w:val="es-ES_tradnl"/>
        </w:rPr>
        <w:t xml:space="preserve"> los derechos de los empresarios y los gerentes de negocios). En particular no hay ningún reconocimiento del diálogo social y del rol de los aliados sociales (sindicatos y organizaciones de empleadores) como cimientos esenciales para la elaboración de proyectos y políticas. </w:t>
      </w:r>
    </w:p>
    <w:p w14:paraId="52A55B3A" w14:textId="77777777" w:rsidR="008E7283" w:rsidRPr="001121C9" w:rsidRDefault="008E7283" w:rsidP="002D3C54">
      <w:pPr>
        <w:pStyle w:val="Num-DocParagraph"/>
        <w:jc w:val="both"/>
        <w:rPr>
          <w:lang w:val="es-ES_tradnl"/>
        </w:rPr>
      </w:pPr>
    </w:p>
    <w:p w14:paraId="2CA9A8F9" w14:textId="277AE4A8" w:rsidR="008E7283" w:rsidRPr="001121C9" w:rsidRDefault="00657257" w:rsidP="002D3C54">
      <w:pPr>
        <w:pStyle w:val="Heading2"/>
        <w:jc w:val="both"/>
        <w:rPr>
          <w:lang w:val="es-ES_tradnl"/>
        </w:rPr>
      </w:pPr>
      <w:bookmarkStart w:id="23" w:name="_Toc378166817"/>
      <w:bookmarkStart w:id="24" w:name="_Toc378149371"/>
      <w:bookmarkStart w:id="25" w:name="_Toc381823853"/>
      <w:bookmarkStart w:id="26" w:name="_Toc382332823"/>
      <w:bookmarkStart w:id="27" w:name="_Toc382848932"/>
      <w:r>
        <w:rPr>
          <w:lang w:val="es-ES_tradnl"/>
        </w:rPr>
        <w:lastRenderedPageBreak/>
        <w:t xml:space="preserve">Apalancamiento y ayuda </w:t>
      </w:r>
      <w:bookmarkEnd w:id="23"/>
      <w:bookmarkEnd w:id="24"/>
      <w:bookmarkEnd w:id="25"/>
      <w:bookmarkEnd w:id="26"/>
      <w:r w:rsidR="00FC4CA2">
        <w:rPr>
          <w:lang w:val="es-ES_tradnl"/>
        </w:rPr>
        <w:t>condicionada</w:t>
      </w:r>
      <w:bookmarkEnd w:id="27"/>
    </w:p>
    <w:p w14:paraId="03C41753" w14:textId="5D3059C0" w:rsidR="008E7283" w:rsidRPr="001121C9" w:rsidRDefault="008E7283"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15</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E4164C">
        <w:rPr>
          <w:lang w:val="es-ES_tradnl"/>
        </w:rPr>
        <w:t>Otro importante móvil</w:t>
      </w:r>
      <w:r w:rsidR="00657257">
        <w:rPr>
          <w:lang w:val="es-ES_tradnl"/>
        </w:rPr>
        <w:t xml:space="preserve"> </w:t>
      </w:r>
      <w:r w:rsidR="00E4164C">
        <w:rPr>
          <w:lang w:val="es-ES_tradnl"/>
        </w:rPr>
        <w:t xml:space="preserve">por detrás </w:t>
      </w:r>
      <w:r w:rsidR="00657257">
        <w:rPr>
          <w:lang w:val="es-ES_tradnl"/>
        </w:rPr>
        <w:t xml:space="preserve">del ascenso de la agenda del sector privado para el desarrollo, particularmente en el </w:t>
      </w:r>
      <w:r w:rsidR="00E4164C">
        <w:rPr>
          <w:lang w:val="es-ES_tradnl"/>
        </w:rPr>
        <w:t xml:space="preserve">período de </w:t>
      </w:r>
      <w:r w:rsidR="00657257">
        <w:rPr>
          <w:lang w:val="es-ES_tradnl"/>
        </w:rPr>
        <w:t>post crisis de 2</w:t>
      </w:r>
      <w:r w:rsidR="00E4164C">
        <w:rPr>
          <w:lang w:val="es-ES_tradnl"/>
        </w:rPr>
        <w:t xml:space="preserve">008, es la percepción de que </w:t>
      </w:r>
      <w:r w:rsidR="00657257">
        <w:rPr>
          <w:lang w:val="es-ES_tradnl"/>
        </w:rPr>
        <w:t>“</w:t>
      </w:r>
      <w:r w:rsidR="00E4164C">
        <w:rPr>
          <w:lang w:val="es-ES_tradnl"/>
        </w:rPr>
        <w:t xml:space="preserve">el </w:t>
      </w:r>
      <w:r w:rsidR="00657257">
        <w:rPr>
          <w:lang w:val="es-ES_tradnl"/>
        </w:rPr>
        <w:t>bolsillo público se ha secado” o</w:t>
      </w:r>
      <w:r w:rsidR="00E4164C">
        <w:rPr>
          <w:lang w:val="es-ES_tradnl"/>
        </w:rPr>
        <w:t>,</w:t>
      </w:r>
      <w:r w:rsidR="00657257">
        <w:rPr>
          <w:lang w:val="es-ES_tradnl"/>
        </w:rPr>
        <w:t xml:space="preserve"> más específicamente</w:t>
      </w:r>
      <w:r w:rsidR="00E4164C">
        <w:rPr>
          <w:lang w:val="es-ES_tradnl"/>
        </w:rPr>
        <w:t>,</w:t>
      </w:r>
      <w:r w:rsidR="00657257">
        <w:rPr>
          <w:lang w:val="es-ES_tradnl"/>
        </w:rPr>
        <w:t xml:space="preserve"> los decadentes flujos de AOD. Como los presupuestos públicos están apretados, el sector privado para el desarrollo es mostrado </w:t>
      </w:r>
      <w:r w:rsidR="00E4164C">
        <w:rPr>
          <w:lang w:val="es-ES_tradnl"/>
        </w:rPr>
        <w:t xml:space="preserve">como </w:t>
      </w:r>
      <w:r w:rsidR="00657257">
        <w:rPr>
          <w:lang w:val="es-ES_tradnl"/>
        </w:rPr>
        <w:t>forma alternativa viable de financi</w:t>
      </w:r>
      <w:r w:rsidR="00E4164C">
        <w:rPr>
          <w:lang w:val="es-ES_tradnl"/>
        </w:rPr>
        <w:t>ar el desarrollo</w:t>
      </w:r>
      <w:r w:rsidR="00657257">
        <w:rPr>
          <w:lang w:val="es-ES_tradnl"/>
        </w:rPr>
        <w:t xml:space="preserve">. Son claves para esta línea </w:t>
      </w:r>
      <w:r w:rsidR="00865E01">
        <w:rPr>
          <w:lang w:val="es-ES_tradnl"/>
        </w:rPr>
        <w:t>de pensamiento las nociones de rentabilidad</w:t>
      </w:r>
      <w:r w:rsidRPr="001121C9">
        <w:rPr>
          <w:lang w:val="es-ES_tradnl"/>
        </w:rPr>
        <w:t xml:space="preserve"> </w:t>
      </w:r>
      <w:r w:rsidR="00865E01">
        <w:rPr>
          <w:lang w:val="es-ES_tradnl"/>
        </w:rPr>
        <w:t>(</w:t>
      </w:r>
      <w:r w:rsidRPr="001121C9">
        <w:rPr>
          <w:lang w:val="es-ES_tradnl"/>
        </w:rPr>
        <w:t>“</w:t>
      </w:r>
      <w:proofErr w:type="spellStart"/>
      <w:r w:rsidRPr="001121C9">
        <w:rPr>
          <w:lang w:val="es-ES_tradnl"/>
        </w:rPr>
        <w:t>value</w:t>
      </w:r>
      <w:proofErr w:type="spellEnd"/>
      <w:r w:rsidRPr="001121C9">
        <w:rPr>
          <w:lang w:val="es-ES_tradnl"/>
        </w:rPr>
        <w:t xml:space="preserve"> </w:t>
      </w:r>
      <w:proofErr w:type="spellStart"/>
      <w:r w:rsidRPr="001121C9">
        <w:rPr>
          <w:lang w:val="es-ES_tradnl"/>
        </w:rPr>
        <w:t>for</w:t>
      </w:r>
      <w:proofErr w:type="spellEnd"/>
      <w:r w:rsidRPr="001121C9">
        <w:rPr>
          <w:lang w:val="es-ES_tradnl"/>
        </w:rPr>
        <w:t xml:space="preserve"> </w:t>
      </w:r>
      <w:proofErr w:type="spellStart"/>
      <w:r w:rsidRPr="001121C9">
        <w:rPr>
          <w:lang w:val="es-ES_tradnl"/>
        </w:rPr>
        <w:t>money</w:t>
      </w:r>
      <w:proofErr w:type="spellEnd"/>
      <w:r w:rsidRPr="001121C9">
        <w:rPr>
          <w:lang w:val="es-ES_tradnl"/>
        </w:rPr>
        <w:t>”</w:t>
      </w:r>
      <w:r w:rsidR="00865E01">
        <w:rPr>
          <w:lang w:val="es-ES_tradnl"/>
        </w:rPr>
        <w:t>)</w:t>
      </w:r>
      <w:r w:rsidRPr="001121C9">
        <w:rPr>
          <w:lang w:val="es-ES_tradnl"/>
        </w:rPr>
        <w:t xml:space="preserve"> </w:t>
      </w:r>
      <w:r w:rsidR="00865E01">
        <w:rPr>
          <w:lang w:val="es-ES_tradnl"/>
        </w:rPr>
        <w:t>y de apalancamiento (</w:t>
      </w:r>
      <w:r w:rsidRPr="001121C9">
        <w:rPr>
          <w:lang w:val="es-ES_tradnl"/>
        </w:rPr>
        <w:t>“</w:t>
      </w:r>
      <w:proofErr w:type="spellStart"/>
      <w:r w:rsidRPr="001121C9">
        <w:rPr>
          <w:lang w:val="es-ES_tradnl"/>
        </w:rPr>
        <w:t>leveraging</w:t>
      </w:r>
      <w:proofErr w:type="spellEnd"/>
      <w:r w:rsidRPr="001121C9">
        <w:rPr>
          <w:lang w:val="es-ES_tradnl"/>
        </w:rPr>
        <w:t>”</w:t>
      </w:r>
      <w:r w:rsidR="00865E01">
        <w:rPr>
          <w:lang w:val="es-ES_tradnl"/>
        </w:rPr>
        <w:t>)</w:t>
      </w:r>
      <w:r w:rsidRPr="001121C9">
        <w:rPr>
          <w:lang w:val="es-ES_tradnl"/>
        </w:rPr>
        <w:t xml:space="preserve"> </w:t>
      </w:r>
      <w:r w:rsidR="00865E01">
        <w:rPr>
          <w:lang w:val="es-ES_tradnl"/>
        </w:rPr>
        <w:t>de las finanzas privadas a través de soporte público</w:t>
      </w:r>
      <w:r w:rsidRPr="001121C9">
        <w:rPr>
          <w:lang w:val="es-ES_tradnl"/>
        </w:rPr>
        <w:t>.</w:t>
      </w:r>
    </w:p>
    <w:p w14:paraId="14BF8DD7" w14:textId="70B5C848" w:rsidR="008E7283" w:rsidRPr="001121C9" w:rsidRDefault="008E7283"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16</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043CA4">
        <w:rPr>
          <w:lang w:val="es-ES_tradnl"/>
        </w:rPr>
        <w:t xml:space="preserve">El inquebrantable y ciego apoyo a las </w:t>
      </w:r>
      <w:proofErr w:type="spellStart"/>
      <w:r w:rsidR="00043CA4">
        <w:rPr>
          <w:lang w:val="es-ES_tradnl"/>
        </w:rPr>
        <w:t>APPs</w:t>
      </w:r>
      <w:proofErr w:type="spellEnd"/>
      <w:r w:rsidR="00043CA4">
        <w:rPr>
          <w:lang w:val="es-ES_tradnl"/>
        </w:rPr>
        <w:t xml:space="preserve"> en los países en desarrollo – como opuestas a las contrataciones públicas y los servicios públicos – para financiar infraestructura es motivo de seria preocupación. En la práctica, </w:t>
      </w:r>
      <w:r w:rsidR="00805C60">
        <w:rPr>
          <w:lang w:val="es-ES_tradnl"/>
        </w:rPr>
        <w:t>l</w:t>
      </w:r>
      <w:r w:rsidR="005B6A6D">
        <w:rPr>
          <w:lang w:val="es-ES_tradnl"/>
        </w:rPr>
        <w:t xml:space="preserve">as </w:t>
      </w:r>
      <w:proofErr w:type="spellStart"/>
      <w:r w:rsidR="005B6A6D">
        <w:rPr>
          <w:lang w:val="es-ES_tradnl"/>
        </w:rPr>
        <w:t>APPs</w:t>
      </w:r>
      <w:proofErr w:type="spellEnd"/>
      <w:r w:rsidR="005B6A6D">
        <w:rPr>
          <w:lang w:val="es-ES_tradnl"/>
        </w:rPr>
        <w:t xml:space="preserve"> han demostrado ser un modelo </w:t>
      </w:r>
      <w:r w:rsidR="00805C60">
        <w:rPr>
          <w:lang w:val="es-ES_tradnl"/>
        </w:rPr>
        <w:t>plagado de fallas,</w:t>
      </w:r>
      <w:r w:rsidR="00267A02">
        <w:rPr>
          <w:lang w:val="es-ES_tradnl"/>
        </w:rPr>
        <w:t xml:space="preserve"> que conduce a servicios públicos con sobreprecio, y hay evidencia suficiente para corroborar esto. En contraste con la contratación pública, la experiencia en Europa muestra que</w:t>
      </w:r>
      <w:r w:rsidR="00805C60">
        <w:rPr>
          <w:lang w:val="es-ES_tradnl"/>
        </w:rPr>
        <w:t xml:space="preserve"> las </w:t>
      </w:r>
      <w:proofErr w:type="spellStart"/>
      <w:r w:rsidR="00805C60">
        <w:rPr>
          <w:lang w:val="es-ES_tradnl"/>
        </w:rPr>
        <w:t>APPs</w:t>
      </w:r>
      <w:proofErr w:type="spellEnd"/>
      <w:r w:rsidR="00805C60">
        <w:rPr>
          <w:lang w:val="es-ES_tradnl"/>
        </w:rPr>
        <w:t xml:space="preserve"> han escondido costos, además de ser</w:t>
      </w:r>
      <w:r w:rsidR="00267A02">
        <w:rPr>
          <w:lang w:val="es-ES_tradnl"/>
        </w:rPr>
        <w:t xml:space="preserve"> contratos excesivamente complejo</w:t>
      </w:r>
      <w:r w:rsidR="00805C60">
        <w:rPr>
          <w:lang w:val="es-ES_tradnl"/>
        </w:rPr>
        <w:t>s</w:t>
      </w:r>
      <w:r w:rsidR="00267A02">
        <w:rPr>
          <w:lang w:val="es-ES_tradnl"/>
        </w:rPr>
        <w:t xml:space="preserve"> de </w:t>
      </w:r>
      <w:r w:rsidR="00805C60">
        <w:rPr>
          <w:lang w:val="es-ES_tradnl"/>
        </w:rPr>
        <w:t>manejar</w:t>
      </w:r>
      <w:r w:rsidR="00267A02">
        <w:rPr>
          <w:lang w:val="es-ES_tradnl"/>
        </w:rPr>
        <w:t>. Pasan por alto todo riesgo posible asoc</w:t>
      </w:r>
      <w:r w:rsidR="00805C60">
        <w:rPr>
          <w:lang w:val="es-ES_tradnl"/>
        </w:rPr>
        <w:t>iado a la “combinación” y,</w:t>
      </w:r>
      <w:r w:rsidR="00267A02">
        <w:rPr>
          <w:lang w:val="es-ES_tradnl"/>
        </w:rPr>
        <w:t xml:space="preserve"> en particular</w:t>
      </w:r>
      <w:r w:rsidR="00805C60">
        <w:rPr>
          <w:lang w:val="es-ES_tradnl"/>
        </w:rPr>
        <w:t>,</w:t>
      </w:r>
      <w:r w:rsidR="00267A02">
        <w:rPr>
          <w:lang w:val="es-ES_tradnl"/>
        </w:rPr>
        <w:t xml:space="preserve"> la posibilidad de situaciones en que las ganancias son privatizadas y las pérdidas socializadas. </w:t>
      </w:r>
    </w:p>
    <w:p w14:paraId="13B13DE9" w14:textId="3DE42734" w:rsidR="008E7283" w:rsidRPr="001121C9" w:rsidRDefault="008E7283"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17</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194F88">
        <w:rPr>
          <w:lang w:val="es-ES_tradnl"/>
        </w:rPr>
        <w:t xml:space="preserve">Otro poderoso “factor </w:t>
      </w:r>
      <w:r w:rsidR="00267A02">
        <w:rPr>
          <w:lang w:val="es-ES_tradnl"/>
        </w:rPr>
        <w:t xml:space="preserve">de empuje” que explica el creciente interés en el rol del sector privado en los círculos del desarrollo es la oportunidad </w:t>
      </w:r>
      <w:r w:rsidR="00F71691">
        <w:rPr>
          <w:lang w:val="es-ES_tradnl"/>
        </w:rPr>
        <w:t>de</w:t>
      </w:r>
      <w:r w:rsidR="00267A02">
        <w:rPr>
          <w:lang w:val="es-ES_tradnl"/>
        </w:rPr>
        <w:t xml:space="preserve"> crear ayuda </w:t>
      </w:r>
      <w:r w:rsidR="00FC4CA2">
        <w:rPr>
          <w:lang w:val="es-ES_tradnl"/>
        </w:rPr>
        <w:t>condicionada</w:t>
      </w:r>
      <w:r w:rsidR="00267A02">
        <w:rPr>
          <w:lang w:val="es-ES_tradnl"/>
        </w:rPr>
        <w:t>. Algunos donantes son</w:t>
      </w:r>
      <w:r w:rsidR="00F71691">
        <w:rPr>
          <w:lang w:val="es-ES_tradnl"/>
        </w:rPr>
        <w:t>,</w:t>
      </w:r>
      <w:r w:rsidR="00267A02">
        <w:rPr>
          <w:lang w:val="es-ES_tradnl"/>
        </w:rPr>
        <w:t xml:space="preserve"> de hecho</w:t>
      </w:r>
      <w:r w:rsidR="00F71691">
        <w:rPr>
          <w:lang w:val="es-ES_tradnl"/>
        </w:rPr>
        <w:t>,</w:t>
      </w:r>
      <w:r w:rsidR="00267A02">
        <w:rPr>
          <w:lang w:val="es-ES_tradnl"/>
        </w:rPr>
        <w:t xml:space="preserve"> muy explícitos </w:t>
      </w:r>
      <w:r w:rsidR="00F71691">
        <w:rPr>
          <w:lang w:val="es-ES_tradnl"/>
        </w:rPr>
        <w:t xml:space="preserve">acerca de </w:t>
      </w:r>
      <w:r w:rsidR="00267A02">
        <w:rPr>
          <w:lang w:val="es-ES_tradnl"/>
        </w:rPr>
        <w:t>la conexión entre los esfuerzos alrededor del secto</w:t>
      </w:r>
      <w:r w:rsidR="00E82158">
        <w:rPr>
          <w:lang w:val="es-ES_tradnl"/>
        </w:rPr>
        <w:t xml:space="preserve">r privado y la ayuda </w:t>
      </w:r>
      <w:r w:rsidR="00FC4CA2">
        <w:rPr>
          <w:lang w:val="es-ES_tradnl"/>
        </w:rPr>
        <w:t>condicionada</w:t>
      </w:r>
      <w:r w:rsidR="00E82158">
        <w:rPr>
          <w:lang w:val="es-ES_tradnl"/>
        </w:rPr>
        <w:t xml:space="preserve">, a pesar de </w:t>
      </w:r>
      <w:r w:rsidR="00F71691">
        <w:rPr>
          <w:lang w:val="es-ES_tradnl"/>
        </w:rPr>
        <w:t xml:space="preserve">que </w:t>
      </w:r>
      <w:r w:rsidR="00E82158">
        <w:rPr>
          <w:lang w:val="es-ES_tradnl"/>
        </w:rPr>
        <w:t xml:space="preserve">la última corre en sentido contrario a los principios y compromisos acordados bajo la agenda de la Eficacia </w:t>
      </w:r>
      <w:r w:rsidR="00D72891">
        <w:rPr>
          <w:lang w:val="es-ES_tradnl"/>
        </w:rPr>
        <w:t>de</w:t>
      </w:r>
      <w:r w:rsidR="00E82158">
        <w:rPr>
          <w:lang w:val="es-ES_tradnl"/>
        </w:rPr>
        <w:t xml:space="preserve"> la Ayuda y el Desarrollo. La posibilidad de que el financiamiento público de AOD se vuelva un nuevo y obtuso instrumento </w:t>
      </w:r>
      <w:r w:rsidR="00F71691">
        <w:rPr>
          <w:lang w:val="es-ES_tradnl"/>
        </w:rPr>
        <w:t>de</w:t>
      </w:r>
      <w:r w:rsidR="00E82158">
        <w:rPr>
          <w:lang w:val="es-ES_tradnl"/>
        </w:rPr>
        <w:t xml:space="preserve"> ayuda </w:t>
      </w:r>
      <w:r w:rsidR="00FC4CA2">
        <w:rPr>
          <w:lang w:val="es-ES_tradnl"/>
        </w:rPr>
        <w:t>condicionada</w:t>
      </w:r>
      <w:r w:rsidR="00E82158">
        <w:rPr>
          <w:lang w:val="es-ES_tradnl"/>
        </w:rPr>
        <w:t xml:space="preserve"> y subsidio público para negoci</w:t>
      </w:r>
      <w:r w:rsidR="00F71691">
        <w:rPr>
          <w:lang w:val="es-ES_tradnl"/>
        </w:rPr>
        <w:t>os con base en la OCDE que operan en</w:t>
      </w:r>
      <w:r w:rsidR="00E82158">
        <w:rPr>
          <w:lang w:val="es-ES_tradnl"/>
        </w:rPr>
        <w:t xml:space="preserve"> países en desarrollo debe ser combatida. </w:t>
      </w:r>
    </w:p>
    <w:p w14:paraId="11A0CE17" w14:textId="77777777" w:rsidR="008E7283" w:rsidRPr="001121C9" w:rsidRDefault="008E7283" w:rsidP="002D3C54">
      <w:pPr>
        <w:pStyle w:val="Num-DocParagraph"/>
        <w:jc w:val="both"/>
        <w:rPr>
          <w:lang w:val="es-ES_tradnl"/>
        </w:rPr>
      </w:pPr>
    </w:p>
    <w:p w14:paraId="610F15E8" w14:textId="225A7C25" w:rsidR="008E7283" w:rsidRPr="001121C9" w:rsidRDefault="00E82158" w:rsidP="002D3C54">
      <w:pPr>
        <w:pStyle w:val="Heading2"/>
        <w:jc w:val="both"/>
        <w:rPr>
          <w:lang w:val="es-ES_tradnl"/>
        </w:rPr>
      </w:pPr>
      <w:bookmarkStart w:id="28" w:name="_Toc378149373"/>
      <w:bookmarkStart w:id="29" w:name="_Toc378166818"/>
      <w:bookmarkStart w:id="30" w:name="_Toc381823854"/>
      <w:bookmarkStart w:id="31" w:name="_Toc382332824"/>
      <w:bookmarkStart w:id="32" w:name="_Toc382848933"/>
      <w:r>
        <w:rPr>
          <w:lang w:val="es-ES_tradnl"/>
        </w:rPr>
        <w:t>Negocios inclusivos</w:t>
      </w:r>
      <w:bookmarkEnd w:id="28"/>
      <w:bookmarkEnd w:id="29"/>
      <w:bookmarkEnd w:id="30"/>
      <w:bookmarkEnd w:id="31"/>
      <w:bookmarkEnd w:id="32"/>
    </w:p>
    <w:p w14:paraId="1AC83F0C" w14:textId="74C0D4AC" w:rsidR="008E7283" w:rsidRPr="001121C9" w:rsidRDefault="008E7283"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18</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B83B27">
        <w:rPr>
          <w:lang w:val="es-ES_tradnl"/>
        </w:rPr>
        <w:t>Ya sea causa o consecuencia, el modelo de “negocios inclusivos” es concomitante a la creciente importancia de la agenda del sector privado para e</w:t>
      </w:r>
      <w:r w:rsidR="00B124A8">
        <w:rPr>
          <w:lang w:val="es-ES_tradnl"/>
        </w:rPr>
        <w:t>l</w:t>
      </w:r>
      <w:r w:rsidR="00B83B27">
        <w:rPr>
          <w:lang w:val="es-ES_tradnl"/>
        </w:rPr>
        <w:t xml:space="preserve"> desarrollo. Activamente apoyados por el Banco Mundial y, </w:t>
      </w:r>
      <w:r w:rsidR="00B124A8">
        <w:rPr>
          <w:lang w:val="es-ES_tradnl"/>
        </w:rPr>
        <w:t>en</w:t>
      </w:r>
      <w:r w:rsidR="00B83B27">
        <w:rPr>
          <w:lang w:val="es-ES_tradnl"/>
        </w:rPr>
        <w:t xml:space="preserve"> el sector privado</w:t>
      </w:r>
      <w:r w:rsidR="005C49C6">
        <w:rPr>
          <w:lang w:val="es-ES_tradnl"/>
        </w:rPr>
        <w:t xml:space="preserve">, por el Consejo Empresarial Mundial para el Desarrollo Sostenible (WBCSD, por sus siglas en inglés), los negocios inclusivos consisten en destrabar las oportunidades de negocios de los pobres que viven en la “base de la pirámide” para convertir a esas personas en un “modelo de negocios financieramente rentable”. Los pobres están representados como consumidores y algunas veces como emprendedores o “productores”, pero difícilmente como trabajadores o empleados, nunca como ciudadanos. </w:t>
      </w:r>
    </w:p>
    <w:p w14:paraId="3035D630" w14:textId="24ABC212" w:rsidR="00646695" w:rsidRPr="001121C9" w:rsidRDefault="008E7283"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19</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E43EDC">
        <w:rPr>
          <w:lang w:val="es-ES_tradnl"/>
        </w:rPr>
        <w:t>Es justo decir que, al menos implícitamente</w:t>
      </w:r>
      <w:r w:rsidR="00646695">
        <w:rPr>
          <w:lang w:val="es-ES_tradnl"/>
        </w:rPr>
        <w:t xml:space="preserve">, el modelo de negocios inclusivos favorece procesos de privatización de servicios públicos (tales como educación y servicios de salud). También es muy silencioso en cuanto a los derechos de las partes interesadas. No hay referencia a normas internacionales y convenios, ni siquiera a derechos humanos y estándares laborales fundamentales, en </w:t>
      </w:r>
      <w:r w:rsidR="00762443">
        <w:rPr>
          <w:lang w:val="es-ES_tradnl"/>
        </w:rPr>
        <w:t xml:space="preserve">total contraste </w:t>
      </w:r>
      <w:r w:rsidR="00646695">
        <w:rPr>
          <w:lang w:val="es-ES_tradnl"/>
        </w:rPr>
        <w:t xml:space="preserve">con los honrados derechos de propiedad y del inversor. El marco del </w:t>
      </w:r>
      <w:r w:rsidR="00646695" w:rsidRPr="001121C9">
        <w:rPr>
          <w:lang w:val="es-ES_tradnl"/>
        </w:rPr>
        <w:t>WBCSD</w:t>
      </w:r>
      <w:r w:rsidR="00646695">
        <w:rPr>
          <w:lang w:val="es-ES_tradnl"/>
        </w:rPr>
        <w:t xml:space="preserve"> sobre negocios inclu</w:t>
      </w:r>
      <w:r w:rsidR="00762443">
        <w:rPr>
          <w:lang w:val="es-ES_tradnl"/>
        </w:rPr>
        <w:t>sivos define, por ejemplo, el “E</w:t>
      </w:r>
      <w:r w:rsidR="00646695">
        <w:rPr>
          <w:lang w:val="es-ES_tradnl"/>
        </w:rPr>
        <w:t xml:space="preserve">stado de derecho” de una forma muy restrictiva: se limita esencialmente a asegurar la tenencia de la tierra y los derechos de </w:t>
      </w:r>
      <w:r w:rsidR="00646695">
        <w:rPr>
          <w:lang w:val="es-ES_tradnl"/>
        </w:rPr>
        <w:lastRenderedPageBreak/>
        <w:t xml:space="preserve">propiedad, al igual que el cumplimiento de los contratos (privados) – poco y nada siendo dicho sobre derechos humanos y democracia. </w:t>
      </w:r>
      <w:r w:rsidR="00B140CF">
        <w:rPr>
          <w:lang w:val="es-ES_tradnl"/>
        </w:rPr>
        <w:t>Por su parte, la Corporación Financiera Internacional del Banco Mundial (IFC) ha listado una serie de</w:t>
      </w:r>
      <w:r w:rsidR="00351E5B">
        <w:rPr>
          <w:lang w:val="es-ES_tradnl"/>
        </w:rPr>
        <w:t xml:space="preserve"> “obstáculos regulatorios” al “a</w:t>
      </w:r>
      <w:r w:rsidR="00762443">
        <w:rPr>
          <w:lang w:val="es-ES_tradnl"/>
        </w:rPr>
        <w:t>mbiente de negocios que conduce</w:t>
      </w:r>
      <w:r w:rsidR="00351E5B">
        <w:rPr>
          <w:lang w:val="es-ES_tradnl"/>
        </w:rPr>
        <w:t xml:space="preserve"> a modelos de negocios inclusivos” e incluyen la legislación “excesiva” de protección al consumidor y pérdida de protección de los derechos de propiedad intelectual, lo cuales tendrían que ser “repensados” en la medida en que “pueden no intencionalmente inhibir” la innovación.</w:t>
      </w:r>
    </w:p>
    <w:p w14:paraId="78829552" w14:textId="77777777" w:rsidR="008E7283" w:rsidRPr="001121C9" w:rsidRDefault="008E7283" w:rsidP="002D3C54">
      <w:pPr>
        <w:pStyle w:val="Num-DocParagraph"/>
        <w:jc w:val="both"/>
        <w:rPr>
          <w:lang w:val="es-ES_tradnl"/>
        </w:rPr>
      </w:pPr>
    </w:p>
    <w:bookmarkStart w:id="33" w:name="_Toc378166819"/>
    <w:p w14:paraId="44A75F01" w14:textId="6423F693" w:rsidR="008E7283" w:rsidRPr="001121C9" w:rsidRDefault="00FC5E14" w:rsidP="00FC5E14">
      <w:pPr>
        <w:pStyle w:val="Heading1"/>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cpara \h \r 0</w:instrText>
      </w:r>
      <w:r w:rsidRPr="001121C9">
        <w:rPr>
          <w:lang w:val="es-ES_tradnl"/>
        </w:rPr>
        <w:fldChar w:fldCharType="end"/>
      </w:r>
      <w:r w:rsidRPr="001121C9">
        <w:rPr>
          <w:lang w:val="es-ES_tradnl"/>
        </w:rPr>
        <w:fldChar w:fldCharType="begin"/>
      </w:r>
      <w:r w:rsidRPr="001121C9">
        <w:rPr>
          <w:lang w:val="es-ES_tradnl"/>
        </w:rPr>
        <w:instrText xml:space="preserve"> SEQ  ccount \h</w:instrText>
      </w:r>
      <w:r w:rsidRPr="001121C9">
        <w:rPr>
          <w:lang w:val="es-ES_tradnl"/>
        </w:rPr>
        <w:fldChar w:fldCharType="end"/>
      </w:r>
      <w:bookmarkStart w:id="34" w:name="_Toc381823855"/>
      <w:bookmarkStart w:id="35" w:name="_Toc382332825"/>
      <w:bookmarkStart w:id="36" w:name="_Toc382848934"/>
      <w:r w:rsidRPr="001121C9">
        <w:rPr>
          <w:lang w:val="es-ES_tradnl"/>
        </w:rPr>
        <w:fldChar w:fldCharType="end"/>
      </w:r>
      <w:r w:rsidR="00CB57E2">
        <w:rPr>
          <w:caps w:val="0"/>
          <w:lang w:val="es-ES_tradnl"/>
        </w:rPr>
        <w:t>PRIORIDADES DE POLÍTICA</w:t>
      </w:r>
      <w:bookmarkEnd w:id="33"/>
      <w:bookmarkEnd w:id="34"/>
      <w:bookmarkEnd w:id="35"/>
      <w:bookmarkEnd w:id="36"/>
    </w:p>
    <w:p w14:paraId="63F478B6" w14:textId="46264155" w:rsidR="005F1EC1" w:rsidRPr="001121C9" w:rsidRDefault="005F1EC1"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20</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CB57E2">
        <w:rPr>
          <w:lang w:val="es-ES_tradnl"/>
        </w:rPr>
        <w:t xml:space="preserve">Como se ha </w:t>
      </w:r>
      <w:r w:rsidR="00FB495B">
        <w:rPr>
          <w:lang w:val="es-ES_tradnl"/>
        </w:rPr>
        <w:t>mencionado</w:t>
      </w:r>
      <w:r w:rsidR="00CB57E2">
        <w:rPr>
          <w:lang w:val="es-ES_tradnl"/>
        </w:rPr>
        <w:t xml:space="preserve"> en este </w:t>
      </w:r>
      <w:r w:rsidR="00FB495B">
        <w:rPr>
          <w:lang w:val="es-ES_tradnl"/>
        </w:rPr>
        <w:t>documento</w:t>
      </w:r>
      <w:r w:rsidR="00CB57E2">
        <w:rPr>
          <w:lang w:val="es-ES_tradnl"/>
        </w:rPr>
        <w:t>, las iniciativas del sector privado para el desarrollo pueden asumir distintas formas, según el contexto nacional y local. Sería difícil, si no imposible, proponer un entendimiento definitivo y exhaustivo de sus elementos y de allí proponer un posicionamiento definitivo a ser adoptado por el movimiento sindical internacional. En algunos casos específicos, los proyectos y programas del sector privado para el desarrollo pueden</w:t>
      </w:r>
      <w:r w:rsidR="00FB495B">
        <w:rPr>
          <w:lang w:val="es-ES_tradnl"/>
        </w:rPr>
        <w:t>,</w:t>
      </w:r>
      <w:r w:rsidR="00CB57E2">
        <w:rPr>
          <w:lang w:val="es-ES_tradnl"/>
        </w:rPr>
        <w:t xml:space="preserve"> de hecho</w:t>
      </w:r>
      <w:r w:rsidR="00FB495B">
        <w:rPr>
          <w:lang w:val="es-ES_tradnl"/>
        </w:rPr>
        <w:t>,</w:t>
      </w:r>
      <w:r w:rsidR="00CB57E2">
        <w:rPr>
          <w:lang w:val="es-ES_tradnl"/>
        </w:rPr>
        <w:t xml:space="preserve"> ofrecer oportunidades para la acción </w:t>
      </w:r>
      <w:r w:rsidR="00FB495B">
        <w:rPr>
          <w:lang w:val="es-ES_tradnl"/>
        </w:rPr>
        <w:t>sindical. En otros, sin embargo –</w:t>
      </w:r>
      <w:r w:rsidR="00CB57E2">
        <w:rPr>
          <w:lang w:val="es-ES_tradnl"/>
        </w:rPr>
        <w:t xml:space="preserve"> y tal vez se t</w:t>
      </w:r>
      <w:r w:rsidR="00FB495B">
        <w:rPr>
          <w:lang w:val="es-ES_tradnl"/>
        </w:rPr>
        <w:t>rate de la mayoría de los casos –</w:t>
      </w:r>
      <w:r w:rsidR="00CB57E2">
        <w:rPr>
          <w:lang w:val="es-ES_tradnl"/>
        </w:rPr>
        <w:t xml:space="preserve"> pueden plantear serias preocupaciones y amenazas al abordaje de la cooperación al desarrollo basada en derechos que defienden los sindicatos. </w:t>
      </w:r>
    </w:p>
    <w:p w14:paraId="34C7C5AB" w14:textId="28CE4A26" w:rsidR="008E7283" w:rsidRPr="001121C9" w:rsidRDefault="00A34489"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21</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3C269E">
        <w:rPr>
          <w:lang w:val="es-ES_tradnl"/>
        </w:rPr>
        <w:t>Lo que interesa desde una perspectiva sindical es permanecer firmes y defender un modelo de desarrollo sostenible amigable para los trabajadores</w:t>
      </w:r>
      <w:r w:rsidR="00B233EA">
        <w:rPr>
          <w:lang w:val="es-ES_tradnl"/>
        </w:rPr>
        <w:t xml:space="preserve"> siempre que un debate sobre política recaiga sobre el rol del sector privado en la cooperación al desarrollo. En este capítulo se sugieren algunas prioridades de política para los sindicatos. </w:t>
      </w:r>
    </w:p>
    <w:p w14:paraId="6EF70C02" w14:textId="77777777" w:rsidR="00A34489" w:rsidRPr="001121C9" w:rsidRDefault="00A34489" w:rsidP="002D3C54">
      <w:pPr>
        <w:pStyle w:val="Num-DocParagraph"/>
        <w:jc w:val="both"/>
        <w:rPr>
          <w:lang w:val="es-ES_tradnl"/>
        </w:rPr>
      </w:pPr>
    </w:p>
    <w:p w14:paraId="16948F3B" w14:textId="2E1A34EA" w:rsidR="006C1426" w:rsidRPr="001121C9" w:rsidRDefault="009D36E3" w:rsidP="002D3C54">
      <w:pPr>
        <w:pStyle w:val="Heading2"/>
        <w:jc w:val="both"/>
        <w:rPr>
          <w:lang w:val="es-ES_tradnl"/>
        </w:rPr>
      </w:pPr>
      <w:bookmarkStart w:id="37" w:name="_Toc381823850"/>
      <w:bookmarkStart w:id="38" w:name="_Toc382332820"/>
      <w:bookmarkStart w:id="39" w:name="_Toc382848935"/>
      <w:r>
        <w:rPr>
          <w:lang w:val="es-ES_tradnl"/>
        </w:rPr>
        <w:t>Afirmando el rol del Estado</w:t>
      </w:r>
      <w:bookmarkEnd w:id="37"/>
      <w:bookmarkEnd w:id="38"/>
      <w:r w:rsidR="00E7414A">
        <w:rPr>
          <w:lang w:val="es-ES_tradnl"/>
        </w:rPr>
        <w:t xml:space="preserve"> en el desarrollo</w:t>
      </w:r>
      <w:bookmarkEnd w:id="39"/>
    </w:p>
    <w:p w14:paraId="5C47907D" w14:textId="590E75AC" w:rsidR="006C1426" w:rsidRPr="001121C9" w:rsidRDefault="006C1426"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22</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E7414A">
        <w:rPr>
          <w:lang w:val="es-ES_tradnl"/>
        </w:rPr>
        <w:t>Una preocupación importante de los sindicatos con esta gravitación hacia el sector privado es que mina el rol del Estado y sus instituciones en el desarrollo</w:t>
      </w:r>
      <w:r w:rsidR="00843214">
        <w:rPr>
          <w:lang w:val="es-ES_tradnl"/>
        </w:rPr>
        <w:t>,</w:t>
      </w:r>
      <w:r w:rsidR="00E7414A">
        <w:rPr>
          <w:lang w:val="es-ES_tradnl"/>
        </w:rPr>
        <w:t xml:space="preserve"> en el sentido de brindar servicios públicos, por ejemplo. La verdadera motivación por detrás de la actividad del sector privado, es decir, su naturaleza de búsqueda de la ganancia, no está necesariamente alineada con los objetivos del desarrollo. Los sindicatos no deberían aceptar</w:t>
      </w:r>
      <w:r w:rsidR="00B702A1">
        <w:rPr>
          <w:lang w:val="es-ES_tradnl"/>
        </w:rPr>
        <w:t xml:space="preserve"> que el sector privado se convierta en un sustituto viable para la provisión de servicios esenciales y, como resultado, las finanzas públicas deben seguir siendo usadas para fortalecer las instituciones del Estado.</w:t>
      </w:r>
    </w:p>
    <w:p w14:paraId="407F053E" w14:textId="6C41027B" w:rsidR="00DA4981" w:rsidRPr="001121C9" w:rsidRDefault="009A68E7"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23</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B702A1">
        <w:rPr>
          <w:lang w:val="es-ES_tradnl"/>
        </w:rPr>
        <w:t>La cooperación para el desarrollo debería sostener y reforzar el rol de la administración y servicios públicos en los países en desarrollo. Existe un riesgo real de que desviando los escasos recursos de AOD las iniciativas del sector priv</w:t>
      </w:r>
      <w:r w:rsidR="00843214">
        <w:rPr>
          <w:lang w:val="es-ES_tradnl"/>
        </w:rPr>
        <w:t>ado para el desarrollo terminar</w:t>
      </w:r>
      <w:r w:rsidR="00B702A1">
        <w:rPr>
          <w:lang w:val="es-ES_tradnl"/>
        </w:rPr>
        <w:t xml:space="preserve">an extendiendo la financiación de </w:t>
      </w:r>
      <w:proofErr w:type="spellStart"/>
      <w:r w:rsidR="00B702A1">
        <w:rPr>
          <w:lang w:val="es-ES_tradnl"/>
        </w:rPr>
        <w:t>APPs</w:t>
      </w:r>
      <w:proofErr w:type="spellEnd"/>
      <w:r w:rsidR="00B702A1">
        <w:rPr>
          <w:lang w:val="es-ES_tradnl"/>
        </w:rPr>
        <w:t xml:space="preserve"> y privatizaciones y por ende debilitando los servicios públicos. Los países de la OCDE se han comprometido, </w:t>
      </w:r>
      <w:r w:rsidR="002E0169">
        <w:rPr>
          <w:lang w:val="es-ES_tradnl"/>
        </w:rPr>
        <w:t>pero hasta ahora no han logrado aumentar la AOD a un 0,7% de los Producto</w:t>
      </w:r>
      <w:r w:rsidR="005C5118">
        <w:rPr>
          <w:lang w:val="es-ES_tradnl"/>
        </w:rPr>
        <w:t>s</w:t>
      </w:r>
      <w:r w:rsidR="002E0169">
        <w:rPr>
          <w:lang w:val="es-ES_tradnl"/>
        </w:rPr>
        <w:t xml:space="preserve"> Interno</w:t>
      </w:r>
      <w:r w:rsidR="005C5118">
        <w:rPr>
          <w:lang w:val="es-ES_tradnl"/>
        </w:rPr>
        <w:t>s</w:t>
      </w:r>
      <w:r w:rsidR="002E0169">
        <w:rPr>
          <w:lang w:val="es-ES_tradnl"/>
        </w:rPr>
        <w:t xml:space="preserve"> Bruto</w:t>
      </w:r>
      <w:r w:rsidR="005C5118">
        <w:rPr>
          <w:lang w:val="es-ES_tradnl"/>
        </w:rPr>
        <w:t>s</w:t>
      </w:r>
      <w:r w:rsidR="002E0169">
        <w:rPr>
          <w:lang w:val="es-ES_tradnl"/>
        </w:rPr>
        <w:t xml:space="preserve"> (PIB). En tiempos de cortes de la AOD</w:t>
      </w:r>
      <w:r w:rsidR="00DB3AEF">
        <w:rPr>
          <w:lang w:val="es-ES_tradnl"/>
        </w:rPr>
        <w:t>, relacionados</w:t>
      </w:r>
      <w:r w:rsidR="002E0169">
        <w:rPr>
          <w:lang w:val="es-ES_tradnl"/>
        </w:rPr>
        <w:t xml:space="preserve"> a la </w:t>
      </w:r>
      <w:r w:rsidR="002E0169">
        <w:rPr>
          <w:lang w:val="es-ES_tradnl"/>
        </w:rPr>
        <w:lastRenderedPageBreak/>
        <w:t>austeridad, también se corre el riesgo de que cualquier aumento en la ayuda a</w:t>
      </w:r>
      <w:r w:rsidR="00DB3AEF">
        <w:rPr>
          <w:lang w:val="es-ES_tradnl"/>
        </w:rPr>
        <w:t>l</w:t>
      </w:r>
      <w:r w:rsidR="002E0169">
        <w:rPr>
          <w:lang w:val="es-ES_tradnl"/>
        </w:rPr>
        <w:t xml:space="preserve"> sector privado para iniciativas de desarrollo termin</w:t>
      </w:r>
      <w:r w:rsidR="005C5118">
        <w:rPr>
          <w:lang w:val="es-ES_tradnl"/>
        </w:rPr>
        <w:t>e</w:t>
      </w:r>
      <w:r w:rsidR="002E0169">
        <w:rPr>
          <w:lang w:val="es-ES_tradnl"/>
        </w:rPr>
        <w:t xml:space="preserve"> privando a otros sectores tradicionales de </w:t>
      </w:r>
      <w:r w:rsidR="00DB3AEF">
        <w:rPr>
          <w:lang w:val="es-ES_tradnl"/>
        </w:rPr>
        <w:t xml:space="preserve">la </w:t>
      </w:r>
      <w:r w:rsidR="002E0169">
        <w:rPr>
          <w:lang w:val="es-ES_tradnl"/>
        </w:rPr>
        <w:t>AOD de sus medios.</w:t>
      </w:r>
    </w:p>
    <w:p w14:paraId="63F902B3" w14:textId="77777777" w:rsidR="003D1749" w:rsidRPr="001121C9" w:rsidRDefault="003D1749" w:rsidP="002D3C54">
      <w:pPr>
        <w:pStyle w:val="Num-DocParagraph"/>
        <w:jc w:val="both"/>
        <w:rPr>
          <w:lang w:val="es-ES_tradnl"/>
        </w:rPr>
      </w:pPr>
    </w:p>
    <w:p w14:paraId="62E96B6F" w14:textId="57F8F0E7" w:rsidR="008E7283" w:rsidRPr="001121C9" w:rsidRDefault="002E0169" w:rsidP="002D3C54">
      <w:pPr>
        <w:pStyle w:val="Heading2"/>
        <w:jc w:val="both"/>
        <w:rPr>
          <w:lang w:val="es-ES_tradnl"/>
        </w:rPr>
      </w:pPr>
      <w:bookmarkStart w:id="40" w:name="_Toc378166824"/>
      <w:bookmarkStart w:id="41" w:name="_Toc381823857"/>
      <w:bookmarkStart w:id="42" w:name="_Toc382332827"/>
      <w:bookmarkStart w:id="43" w:name="_Toc382848936"/>
      <w:r>
        <w:rPr>
          <w:lang w:val="es-ES_tradnl"/>
        </w:rPr>
        <w:t>Sosteniendo un abordaje del desarrollo b</w:t>
      </w:r>
      <w:r w:rsidR="00DB3AEF">
        <w:rPr>
          <w:lang w:val="es-ES_tradnl"/>
        </w:rPr>
        <w:t>asado en derechos a través del E</w:t>
      </w:r>
      <w:r>
        <w:rPr>
          <w:lang w:val="es-ES_tradnl"/>
        </w:rPr>
        <w:t>stado de derecho y el diálogo social</w:t>
      </w:r>
      <w:bookmarkEnd w:id="40"/>
      <w:bookmarkEnd w:id="41"/>
      <w:bookmarkEnd w:id="42"/>
      <w:bookmarkEnd w:id="43"/>
    </w:p>
    <w:p w14:paraId="2FCB7C6F" w14:textId="3A266C05" w:rsidR="00C35B51" w:rsidRPr="001121C9" w:rsidRDefault="00C35B51"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24</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DB0D58">
        <w:rPr>
          <w:lang w:val="es-ES_tradnl"/>
        </w:rPr>
        <w:t xml:space="preserve">Cuando mucho, la narrativa sobre el sector privado para el desarrollo relega los abordajes al desarrollo basados en derechos, y con </w:t>
      </w:r>
      <w:r w:rsidR="00DB3AEF">
        <w:rPr>
          <w:lang w:val="es-ES_tradnl"/>
        </w:rPr>
        <w:t>él</w:t>
      </w:r>
      <w:r w:rsidR="00DB0D58">
        <w:rPr>
          <w:lang w:val="es-ES_tradnl"/>
        </w:rPr>
        <w:t xml:space="preserve"> los derechos humanos y los derechos laborales tales como son definidos por la OIT, </w:t>
      </w:r>
      <w:r w:rsidR="007A2600">
        <w:rPr>
          <w:lang w:val="es-ES_tradnl"/>
        </w:rPr>
        <w:t>como máximo</w:t>
      </w:r>
      <w:r w:rsidR="00DB3AEF">
        <w:rPr>
          <w:lang w:val="es-ES_tradnl"/>
        </w:rPr>
        <w:t>,</w:t>
      </w:r>
      <w:r w:rsidR="007A2600">
        <w:rPr>
          <w:lang w:val="es-ES_tradnl"/>
        </w:rPr>
        <w:t xml:space="preserve"> al lugar de “atracción secundaria”. Como se ha debatido aquí, las reformas política</w:t>
      </w:r>
      <w:r w:rsidR="00DB3AEF">
        <w:rPr>
          <w:lang w:val="es-ES_tradnl"/>
        </w:rPr>
        <w:t>s</w:t>
      </w:r>
      <w:r w:rsidR="007A2600">
        <w:rPr>
          <w:lang w:val="es-ES_tradnl"/>
        </w:rPr>
        <w:t xml:space="preserve"> más favorecidas son las de los negocios de los servicios privados y la contratación privada. Como respuesta, los sindicatos deberían plantarse firmes en sus principios centrales </w:t>
      </w:r>
      <w:r w:rsidR="00DB3AEF">
        <w:rPr>
          <w:lang w:val="es-ES_tradnl"/>
        </w:rPr>
        <w:t>por</w:t>
      </w:r>
      <w:r w:rsidR="007A2600">
        <w:rPr>
          <w:lang w:val="es-ES_tradnl"/>
        </w:rPr>
        <w:t xml:space="preserve"> un abordaje basado en derechos para el desarrollo: Estado de derecho y diálogo social.</w:t>
      </w:r>
    </w:p>
    <w:p w14:paraId="2C717283" w14:textId="77777777" w:rsidR="00C35B51" w:rsidRPr="001121C9" w:rsidRDefault="00C35B51" w:rsidP="002D3C54">
      <w:pPr>
        <w:jc w:val="both"/>
        <w:rPr>
          <w:lang w:val="es-ES_tradnl"/>
        </w:rPr>
      </w:pPr>
    </w:p>
    <w:p w14:paraId="1742CA4F" w14:textId="18A07F8E" w:rsidR="00C35B51" w:rsidRPr="001121C9" w:rsidRDefault="00C35B51"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25</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7A2600">
        <w:rPr>
          <w:lang w:val="es-ES_tradnl"/>
        </w:rPr>
        <w:t xml:space="preserve">El concepto de Estado de derecho es crucial para los sindicatos por una razón obvia. El marco político que prevalece según el sector privado para el desarrollo, y que guía el modelo de “negocios inclusivos” en particular, distorsiona la noción de Estado de derecho para que </w:t>
      </w:r>
      <w:r w:rsidR="00B505C1">
        <w:rPr>
          <w:lang w:val="es-ES_tradnl"/>
        </w:rPr>
        <w:t xml:space="preserve">ésta </w:t>
      </w:r>
      <w:r w:rsidR="007A2600">
        <w:rPr>
          <w:lang w:val="es-ES_tradnl"/>
        </w:rPr>
        <w:t xml:space="preserve">quepa en </w:t>
      </w:r>
      <w:r w:rsidR="00524030">
        <w:rPr>
          <w:lang w:val="es-ES_tradnl"/>
        </w:rPr>
        <w:t>un patrón conceptual muy estrecho de libre mercad</w:t>
      </w:r>
      <w:r w:rsidR="00B505C1">
        <w:rPr>
          <w:lang w:val="es-ES_tradnl"/>
        </w:rPr>
        <w:t>o. Ell</w:t>
      </w:r>
      <w:r w:rsidR="00524030">
        <w:rPr>
          <w:lang w:val="es-ES_tradnl"/>
        </w:rPr>
        <w:t xml:space="preserve">o no corresponde </w:t>
      </w:r>
      <w:r w:rsidR="00931CB0">
        <w:rPr>
          <w:lang w:val="es-ES_tradnl"/>
        </w:rPr>
        <w:t>al con</w:t>
      </w:r>
      <w:r w:rsidR="00B505C1">
        <w:rPr>
          <w:lang w:val="es-ES_tradnl"/>
        </w:rPr>
        <w:t>cepto general</w:t>
      </w:r>
      <w:r w:rsidR="00931CB0">
        <w:rPr>
          <w:lang w:val="es-ES_tradnl"/>
        </w:rPr>
        <w:t xml:space="preserve">, que se centra más </w:t>
      </w:r>
      <w:r w:rsidR="00B505C1">
        <w:rPr>
          <w:lang w:val="es-ES_tradnl"/>
        </w:rPr>
        <w:t xml:space="preserve">bien </w:t>
      </w:r>
      <w:r w:rsidR="00931CB0">
        <w:rPr>
          <w:lang w:val="es-ES_tradnl"/>
        </w:rPr>
        <w:t xml:space="preserve">en los derechos humanos y </w:t>
      </w:r>
      <w:r w:rsidR="00B505C1">
        <w:rPr>
          <w:lang w:val="es-ES_tradnl"/>
        </w:rPr>
        <w:t xml:space="preserve">en </w:t>
      </w:r>
      <w:r w:rsidR="00931CB0">
        <w:rPr>
          <w:lang w:val="es-ES_tradnl"/>
        </w:rPr>
        <w:t>una apropiada administración de justicia. El Estado de derecho es un elemento decisivo para cumplir y reforzar los derechos, y los derechos en el</w:t>
      </w:r>
      <w:r w:rsidR="00B505C1">
        <w:rPr>
          <w:lang w:val="es-ES_tradnl"/>
        </w:rPr>
        <w:t xml:space="preserve"> mundo del</w:t>
      </w:r>
      <w:r w:rsidR="00931CB0">
        <w:rPr>
          <w:lang w:val="es-ES_tradnl"/>
        </w:rPr>
        <w:t xml:space="preserve"> trabajo en particular. Sin el Estado de derecho, no puede haber protección a los derechos de los ciudadanos, incluidos los derechos fundamentales de asociación y negociación colectiva tal como se establece en los Convenios nro. 87 y 98 de la OIT.</w:t>
      </w:r>
    </w:p>
    <w:p w14:paraId="49EE3B1E" w14:textId="23F03E9D" w:rsidR="00F40184" w:rsidRDefault="00C35B51"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26</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F40184">
        <w:rPr>
          <w:lang w:val="es-ES_tradnl"/>
        </w:rPr>
        <w:t xml:space="preserve">El diálogo social es fundamental para asegurar que el sector privado </w:t>
      </w:r>
      <w:r w:rsidR="00B505C1">
        <w:rPr>
          <w:lang w:val="es-ES_tradnl"/>
        </w:rPr>
        <w:t>respete</w:t>
      </w:r>
      <w:r w:rsidR="00F40184">
        <w:rPr>
          <w:lang w:val="es-ES_tradnl"/>
        </w:rPr>
        <w:t xml:space="preserve"> esos marcos normativos. El diálogo social ayuda a asegurar </w:t>
      </w:r>
      <w:r w:rsidR="00B505C1">
        <w:rPr>
          <w:lang w:val="es-ES_tradnl"/>
        </w:rPr>
        <w:t xml:space="preserve">a </w:t>
      </w:r>
      <w:r w:rsidR="00F40184">
        <w:rPr>
          <w:lang w:val="es-ES_tradnl"/>
        </w:rPr>
        <w:t>una base democrática más amplia la pertenencia de objetivos de desarrollo económico y social. A través del diálogo social, representantes de los empleadores y de los trabajadores contribuyen a moldar estrategias de desa</w:t>
      </w:r>
      <w:r w:rsidR="009336E4">
        <w:rPr>
          <w:lang w:val="es-ES_tradnl"/>
        </w:rPr>
        <w:t>rrollo social y económico eficaces</w:t>
      </w:r>
      <w:r w:rsidR="00B505C1">
        <w:rPr>
          <w:lang w:val="es-ES_tradnl"/>
        </w:rPr>
        <w:t>,</w:t>
      </w:r>
      <w:r w:rsidR="009336E4">
        <w:rPr>
          <w:lang w:val="es-ES_tradnl"/>
        </w:rPr>
        <w:t xml:space="preserve"> a la vez que se obtienen medios </w:t>
      </w:r>
      <w:r w:rsidR="00B505C1">
        <w:rPr>
          <w:lang w:val="es-ES_tradnl"/>
        </w:rPr>
        <w:t>eficientes</w:t>
      </w:r>
      <w:r w:rsidR="009336E4">
        <w:rPr>
          <w:lang w:val="es-ES_tradnl"/>
        </w:rPr>
        <w:t xml:space="preserve"> para la gestión del conflicto y </w:t>
      </w:r>
      <w:r w:rsidR="00B505C1">
        <w:rPr>
          <w:lang w:val="es-ES_tradnl"/>
        </w:rPr>
        <w:t xml:space="preserve">se </w:t>
      </w:r>
      <w:r w:rsidR="009336E4">
        <w:rPr>
          <w:lang w:val="es-ES_tradnl"/>
        </w:rPr>
        <w:t xml:space="preserve">contribuye a la paz social. Los aliados sociales en su totalidad deberían ser reconocidos como actores del desarrollo de derecho pleno. </w:t>
      </w:r>
    </w:p>
    <w:p w14:paraId="603D29D2" w14:textId="77777777" w:rsidR="008E7283" w:rsidRPr="001121C9" w:rsidRDefault="008E7283" w:rsidP="002D3C54">
      <w:pPr>
        <w:pStyle w:val="Num-DocParagraph"/>
        <w:jc w:val="both"/>
        <w:rPr>
          <w:lang w:val="es-ES_tradnl"/>
        </w:rPr>
      </w:pPr>
    </w:p>
    <w:p w14:paraId="257A3D6D" w14:textId="606C1A7A" w:rsidR="008E7283" w:rsidRPr="001121C9" w:rsidRDefault="004C34F6" w:rsidP="002D3C54">
      <w:pPr>
        <w:pStyle w:val="Heading2"/>
        <w:jc w:val="both"/>
        <w:rPr>
          <w:lang w:val="es-ES_tradnl"/>
        </w:rPr>
      </w:pPr>
      <w:bookmarkStart w:id="44" w:name="_Toc378166825"/>
      <w:bookmarkStart w:id="45" w:name="_Toc378149377"/>
      <w:bookmarkStart w:id="46" w:name="_Toc381823858"/>
      <w:bookmarkStart w:id="47" w:name="_Toc382332828"/>
      <w:bookmarkStart w:id="48" w:name="_Toc382848937"/>
      <w:r>
        <w:rPr>
          <w:lang w:val="es-ES_tradnl"/>
        </w:rPr>
        <w:t xml:space="preserve">Pidiendo cuentas a las </w:t>
      </w:r>
      <w:r w:rsidR="000E5CEA">
        <w:rPr>
          <w:lang w:val="es-ES_tradnl"/>
        </w:rPr>
        <w:t>multinacionales</w:t>
      </w:r>
      <w:bookmarkEnd w:id="44"/>
      <w:bookmarkEnd w:id="45"/>
      <w:bookmarkEnd w:id="46"/>
      <w:bookmarkEnd w:id="47"/>
      <w:bookmarkEnd w:id="48"/>
    </w:p>
    <w:p w14:paraId="5D9333CC" w14:textId="5BB51A3C" w:rsidR="008E7283" w:rsidRPr="001121C9" w:rsidRDefault="008E7283"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27</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063D5E">
        <w:rPr>
          <w:lang w:val="es-ES_tradnl"/>
        </w:rPr>
        <w:t xml:space="preserve">El sector privado es un motor esencial del crecimiento y de la creación de empleo. Lo importante, sin embargo, es que la riqueza creada por el crecimiento sea compartida entre la sociedad y que la creación de empleo se base en los principios del trabajo decente. No hay relación automática de causa y efecto entre el desarrollo del sector privado por un lado y </w:t>
      </w:r>
      <w:r w:rsidR="004C34F6">
        <w:rPr>
          <w:lang w:val="es-ES_tradnl"/>
        </w:rPr>
        <w:t>el desarrollo compartido y la creación de trabajo decente. Esto es particularmente cierto en países donde el Estado de derecho es débil y existe un déficit de diálogo social. Las empresas multinacionales (</w:t>
      </w:r>
      <w:proofErr w:type="spellStart"/>
      <w:r w:rsidR="004C34F6">
        <w:rPr>
          <w:lang w:val="es-ES_tradnl"/>
        </w:rPr>
        <w:t>EMNs</w:t>
      </w:r>
      <w:proofErr w:type="spellEnd"/>
      <w:r w:rsidR="004C34F6">
        <w:rPr>
          <w:lang w:val="es-ES_tradnl"/>
        </w:rPr>
        <w:t xml:space="preserve">), tanto de países desarrollados como de países en desarrollo también tienen un rol y </w:t>
      </w:r>
      <w:r w:rsidR="005444C2">
        <w:rPr>
          <w:lang w:val="es-ES_tradnl"/>
        </w:rPr>
        <w:t xml:space="preserve">la </w:t>
      </w:r>
      <w:r w:rsidR="004C34F6">
        <w:rPr>
          <w:lang w:val="es-ES_tradnl"/>
        </w:rPr>
        <w:t xml:space="preserve">responsabilidad </w:t>
      </w:r>
      <w:r w:rsidR="005444C2">
        <w:rPr>
          <w:lang w:val="es-ES_tradnl"/>
        </w:rPr>
        <w:t>de</w:t>
      </w:r>
      <w:r w:rsidR="004C34F6">
        <w:rPr>
          <w:lang w:val="es-ES_tradnl"/>
        </w:rPr>
        <w:t xml:space="preserve"> ofrecer trabajo decente y creación de riqueza compartida. Ellas deben rendir cuentas de sus actividades y deben promover y adherir a los estándares </w:t>
      </w:r>
      <w:r w:rsidR="004C34F6">
        <w:rPr>
          <w:lang w:val="es-ES_tradnl"/>
        </w:rPr>
        <w:lastRenderedPageBreak/>
        <w:t xml:space="preserve">internacionales de transparencia y rendición de cuentas en la cooperación para el desarrollo. Las </w:t>
      </w:r>
      <w:proofErr w:type="spellStart"/>
      <w:r w:rsidR="004C34F6">
        <w:rPr>
          <w:lang w:val="es-ES_tradnl"/>
        </w:rPr>
        <w:t>EMNs</w:t>
      </w:r>
      <w:proofErr w:type="spellEnd"/>
      <w:r w:rsidR="004C34F6">
        <w:rPr>
          <w:lang w:val="es-ES_tradnl"/>
        </w:rPr>
        <w:t xml:space="preserve"> y sus aliados locales del se</w:t>
      </w:r>
      <w:r w:rsidR="00DC5B02">
        <w:rPr>
          <w:lang w:val="es-ES_tradnl"/>
        </w:rPr>
        <w:t>ctor privado deberían respetar y</w:t>
      </w:r>
      <w:r w:rsidR="004C34F6">
        <w:rPr>
          <w:lang w:val="es-ES_tradnl"/>
        </w:rPr>
        <w:t xml:space="preserve"> aplicar los principios y estándares laborales de la OIT y, entre sus operaciones y sus relaciones de negocios, observar estrictamente </w:t>
      </w:r>
      <w:r w:rsidR="00444086">
        <w:rPr>
          <w:lang w:val="es-ES_tradnl"/>
        </w:rPr>
        <w:t>las exigencias contenidas en los Principios Guía sobre Negocios y Derechos Humano</w:t>
      </w:r>
      <w:r w:rsidR="00DC5B02">
        <w:rPr>
          <w:lang w:val="es-ES_tradnl"/>
        </w:rPr>
        <w:t>s</w:t>
      </w:r>
      <w:r w:rsidR="00444086">
        <w:rPr>
          <w:lang w:val="es-ES_tradnl"/>
        </w:rPr>
        <w:t xml:space="preserve"> de las Naciones </w:t>
      </w:r>
      <w:r w:rsidR="00DC5B02">
        <w:rPr>
          <w:lang w:val="es-ES_tradnl"/>
        </w:rPr>
        <w:t>Unidas</w:t>
      </w:r>
      <w:r w:rsidR="00444086">
        <w:rPr>
          <w:lang w:val="es-ES_tradnl"/>
        </w:rPr>
        <w:t xml:space="preserve"> – incluido el principio de “Proteger, Respetar y Remediar”</w:t>
      </w:r>
      <w:r w:rsidR="004C34F6">
        <w:rPr>
          <w:lang w:val="es-ES_tradnl"/>
        </w:rPr>
        <w:t xml:space="preserve"> </w:t>
      </w:r>
      <w:r w:rsidR="00444086">
        <w:rPr>
          <w:lang w:val="es-ES_tradnl"/>
        </w:rPr>
        <w:t xml:space="preserve">– la Declaración Tripartita de la </w:t>
      </w:r>
      <w:r w:rsidR="00DC5B02">
        <w:rPr>
          <w:lang w:val="es-ES_tradnl"/>
        </w:rPr>
        <w:t>OIT</w:t>
      </w:r>
      <w:r w:rsidR="00444086">
        <w:rPr>
          <w:lang w:val="es-ES_tradnl"/>
        </w:rPr>
        <w:t xml:space="preserve"> sobre </w:t>
      </w:r>
      <w:proofErr w:type="spellStart"/>
      <w:r w:rsidR="00444086">
        <w:rPr>
          <w:lang w:val="es-ES_tradnl"/>
        </w:rPr>
        <w:t>EMNs</w:t>
      </w:r>
      <w:proofErr w:type="spellEnd"/>
      <w:r w:rsidR="00444086">
        <w:rPr>
          <w:lang w:val="es-ES_tradnl"/>
        </w:rPr>
        <w:t xml:space="preserve"> y Política Social y las D</w:t>
      </w:r>
      <w:r w:rsidR="00A95A8B">
        <w:rPr>
          <w:lang w:val="es-ES_tradnl"/>
        </w:rPr>
        <w:t xml:space="preserve">irectrices de la OCDE para </w:t>
      </w:r>
      <w:proofErr w:type="spellStart"/>
      <w:r w:rsidR="00A95A8B">
        <w:rPr>
          <w:lang w:val="es-ES_tradnl"/>
        </w:rPr>
        <w:t>EMNs</w:t>
      </w:r>
      <w:proofErr w:type="spellEnd"/>
      <w:r w:rsidRPr="001121C9">
        <w:rPr>
          <w:lang w:val="es-ES_tradnl"/>
        </w:rPr>
        <w:t>.</w:t>
      </w:r>
    </w:p>
    <w:p w14:paraId="7336F199" w14:textId="20318082" w:rsidR="009A68E7" w:rsidRPr="001121C9" w:rsidRDefault="003D1749"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28</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A95A8B">
        <w:rPr>
          <w:lang w:val="es-ES_tradnl"/>
        </w:rPr>
        <w:t>Además de la creación de empleo basada en condiciones de trabajo decente, quizás el rol principal que el sector privado puede tener en la cooperación para el desarrollo es el de asegurar que pague su justa cuota de impuestos. Sin embargo, los grupos empresariales siguen repitiendo la noción de un clima de negocios favorable</w:t>
      </w:r>
      <w:r w:rsidR="00BB4ED6">
        <w:rPr>
          <w:lang w:val="es-ES_tradnl"/>
        </w:rPr>
        <w:t>, propiciado, por ejemplo, por</w:t>
      </w:r>
      <w:r w:rsidR="003B4475">
        <w:rPr>
          <w:lang w:val="es-ES_tradnl"/>
        </w:rPr>
        <w:t xml:space="preserve"> incentivos fiscales. Es incoherente, si no inaceptable, eludir la discusión sobre frenar la evasión fiscal y la “agresiva planificación fiscal” por parte de las </w:t>
      </w:r>
      <w:proofErr w:type="spellStart"/>
      <w:r w:rsidR="003B4475">
        <w:rPr>
          <w:lang w:val="es-ES_tradnl"/>
        </w:rPr>
        <w:t>EMNs</w:t>
      </w:r>
      <w:proofErr w:type="spellEnd"/>
      <w:r w:rsidR="003B4475">
        <w:rPr>
          <w:lang w:val="es-ES_tradnl"/>
        </w:rPr>
        <w:t xml:space="preserve"> en el debate político sobre el sector privado para el desarrollo. La evasión fiscal de las compañías multinacionales en los países en desarrollo (estimada por encima de los 100 mil millones de euros al año)</w:t>
      </w:r>
      <w:r w:rsidR="00A95A8B">
        <w:rPr>
          <w:lang w:val="es-ES_tradnl"/>
        </w:rPr>
        <w:t xml:space="preserve"> </w:t>
      </w:r>
      <w:proofErr w:type="gramStart"/>
      <w:r w:rsidR="003B4475">
        <w:rPr>
          <w:lang w:val="es-ES_tradnl"/>
        </w:rPr>
        <w:t>representan</w:t>
      </w:r>
      <w:proofErr w:type="gramEnd"/>
      <w:r w:rsidR="003B4475">
        <w:rPr>
          <w:lang w:val="es-ES_tradnl"/>
        </w:rPr>
        <w:t xml:space="preserve"> más que la AOD. El Plan de Acción de la OCDE sobre Erosión</w:t>
      </w:r>
      <w:r w:rsidR="00BB4ED6">
        <w:rPr>
          <w:lang w:val="es-ES_tradnl"/>
        </w:rPr>
        <w:t xml:space="preserve"> de la Base y Transferencia de G</w:t>
      </w:r>
      <w:r w:rsidR="003B4475">
        <w:rPr>
          <w:lang w:val="es-ES_tradnl"/>
        </w:rPr>
        <w:t>anancias provee una buena base para la cooperación internacional sobre la elusión fiscal por parte de</w:t>
      </w:r>
      <w:r w:rsidR="00BB4ED6">
        <w:rPr>
          <w:lang w:val="es-ES_tradnl"/>
        </w:rPr>
        <w:t xml:space="preserve"> las </w:t>
      </w:r>
      <w:proofErr w:type="spellStart"/>
      <w:r w:rsidR="00BB4ED6">
        <w:rPr>
          <w:lang w:val="es-ES_tradnl"/>
        </w:rPr>
        <w:t>EMNs</w:t>
      </w:r>
      <w:proofErr w:type="spellEnd"/>
      <w:r w:rsidR="00BB4ED6">
        <w:rPr>
          <w:lang w:val="es-ES_tradnl"/>
        </w:rPr>
        <w:t>. Pero es necesario aplicarlo</w:t>
      </w:r>
      <w:r w:rsidR="003B4475">
        <w:rPr>
          <w:lang w:val="es-ES_tradnl"/>
        </w:rPr>
        <w:t xml:space="preserve"> con eficacia. Entre las medidas clave que ayudarían a colmar esas expectativas están</w:t>
      </w:r>
      <w:r w:rsidR="007F64D4">
        <w:rPr>
          <w:lang w:val="es-ES_tradnl"/>
        </w:rPr>
        <w:t>:</w:t>
      </w:r>
      <w:r w:rsidR="003B4475">
        <w:rPr>
          <w:lang w:val="es-ES_tradnl"/>
        </w:rPr>
        <w:t xml:space="preserve"> </w:t>
      </w:r>
      <w:r w:rsidR="008B35BE" w:rsidRPr="001121C9">
        <w:rPr>
          <w:lang w:val="es-ES_tradnl"/>
        </w:rPr>
        <w:t xml:space="preserve">(i) </w:t>
      </w:r>
      <w:r w:rsidR="007F64D4">
        <w:rPr>
          <w:lang w:val="es-ES_tradnl"/>
        </w:rPr>
        <w:t>un</w:t>
      </w:r>
      <w:r w:rsidR="00115465" w:rsidRPr="001121C9">
        <w:rPr>
          <w:lang w:val="es-ES_tradnl"/>
        </w:rPr>
        <w:t xml:space="preserve">a </w:t>
      </w:r>
      <w:r w:rsidR="007F64D4">
        <w:rPr>
          <w:lang w:val="es-ES_tradnl"/>
        </w:rPr>
        <w:t xml:space="preserve">revisión </w:t>
      </w:r>
      <w:r w:rsidR="00115465" w:rsidRPr="001121C9">
        <w:rPr>
          <w:lang w:val="es-ES_tradnl"/>
        </w:rPr>
        <w:t xml:space="preserve">fundamental </w:t>
      </w:r>
      <w:r w:rsidR="007F64D4">
        <w:rPr>
          <w:lang w:val="es-ES_tradnl"/>
        </w:rPr>
        <w:t>de cómo se les pe</w:t>
      </w:r>
      <w:r w:rsidR="00BB4ED6">
        <w:rPr>
          <w:lang w:val="es-ES_tradnl"/>
        </w:rPr>
        <w:t xml:space="preserve">rmite a las </w:t>
      </w:r>
      <w:proofErr w:type="spellStart"/>
      <w:r w:rsidR="00BB4ED6">
        <w:rPr>
          <w:lang w:val="es-ES_tradnl"/>
        </w:rPr>
        <w:t>EMNs</w:t>
      </w:r>
      <w:proofErr w:type="spellEnd"/>
      <w:r w:rsidR="007F64D4">
        <w:rPr>
          <w:lang w:val="es-ES_tradnl"/>
        </w:rPr>
        <w:t xml:space="preserve"> calcular el precio de transferencia </w:t>
      </w:r>
      <w:proofErr w:type="spellStart"/>
      <w:r w:rsidR="007F64D4">
        <w:rPr>
          <w:lang w:val="es-ES_tradnl"/>
        </w:rPr>
        <w:t>intra</w:t>
      </w:r>
      <w:proofErr w:type="spellEnd"/>
      <w:r w:rsidR="007F64D4">
        <w:rPr>
          <w:lang w:val="es-ES_tradnl"/>
        </w:rPr>
        <w:t xml:space="preserve">-grupo (como lo establecido en las Directivas de Transferencia de Precios de la OCDE) y </w:t>
      </w:r>
      <w:r w:rsidR="008B35BE" w:rsidRPr="001121C9">
        <w:rPr>
          <w:lang w:val="es-ES_tradnl"/>
        </w:rPr>
        <w:t xml:space="preserve">(ii) </w:t>
      </w:r>
      <w:r w:rsidR="002B03ED">
        <w:rPr>
          <w:lang w:val="es-ES_tradnl"/>
        </w:rPr>
        <w:t>divulgación obligatoria país a país del informe fiscal. Acerca de la evasión fiscal, reforzar el automático intercambio de comunicación entre autoridades fiscales (en oposición al intercambio “a pedido”)</w:t>
      </w:r>
      <w:r w:rsidR="00670C07">
        <w:rPr>
          <w:lang w:val="es-ES_tradnl"/>
        </w:rPr>
        <w:t xml:space="preserve"> sería un paso importante para poner un freno a la opacidad de bancos e impuestos. </w:t>
      </w:r>
    </w:p>
    <w:p w14:paraId="1DDF6848" w14:textId="77777777" w:rsidR="008E7283" w:rsidRPr="001121C9" w:rsidRDefault="008E7283" w:rsidP="002D3C54">
      <w:pPr>
        <w:pStyle w:val="Num-DocParagraph"/>
        <w:jc w:val="both"/>
        <w:rPr>
          <w:lang w:val="es-ES_tradnl"/>
        </w:rPr>
      </w:pPr>
    </w:p>
    <w:p w14:paraId="1EB042A3" w14:textId="22174203" w:rsidR="008E7283" w:rsidRPr="001121C9" w:rsidRDefault="009A1734" w:rsidP="002D3C54">
      <w:pPr>
        <w:pStyle w:val="Heading2"/>
        <w:jc w:val="both"/>
        <w:rPr>
          <w:lang w:val="es-ES_tradnl"/>
        </w:rPr>
      </w:pPr>
      <w:bookmarkStart w:id="49" w:name="_Toc378166826"/>
      <w:bookmarkStart w:id="50" w:name="_Toc381823859"/>
      <w:bookmarkStart w:id="51" w:name="_Toc382332829"/>
      <w:bookmarkStart w:id="52" w:name="_Toc382848938"/>
      <w:r>
        <w:rPr>
          <w:lang w:val="es-ES_tradnl"/>
        </w:rPr>
        <w:t>Estableciendo estándares para la eficacia de la ayuda, midiendo impactos y resultados</w:t>
      </w:r>
      <w:bookmarkEnd w:id="49"/>
      <w:bookmarkEnd w:id="50"/>
      <w:bookmarkEnd w:id="51"/>
      <w:bookmarkEnd w:id="52"/>
    </w:p>
    <w:p w14:paraId="6AF92EB2" w14:textId="5CAE99EE" w:rsidR="008E7283" w:rsidRPr="001121C9" w:rsidRDefault="00DA4981"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29</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9A1734">
        <w:rPr>
          <w:lang w:val="es-ES_tradnl"/>
        </w:rPr>
        <w:t>Si el sector privado desea se</w:t>
      </w:r>
      <w:r w:rsidR="008F2726">
        <w:rPr>
          <w:lang w:val="es-ES_tradnl"/>
        </w:rPr>
        <w:t>r</w:t>
      </w:r>
      <w:r w:rsidR="009A1734">
        <w:rPr>
          <w:lang w:val="es-ES_tradnl"/>
        </w:rPr>
        <w:t xml:space="preserve"> un “aliado” en el desarrollo, debería cumplir con la agenda de la eficacia, sobre todo en </w:t>
      </w:r>
      <w:r w:rsidR="00915CFF">
        <w:rPr>
          <w:lang w:val="es-ES_tradnl"/>
        </w:rPr>
        <w:t>lo que se refiere a</w:t>
      </w:r>
      <w:r w:rsidR="009A1734">
        <w:rPr>
          <w:lang w:val="es-ES_tradnl"/>
        </w:rPr>
        <w:t xml:space="preserve"> transparencia, rendición de cuentas y evaluación de impacto del desarrollo. </w:t>
      </w:r>
      <w:r w:rsidR="00915CFF">
        <w:rPr>
          <w:lang w:val="es-ES_tradnl"/>
        </w:rPr>
        <w:t>En términos prácticos, el sector privado debería adherir completamente a los principios de la eficacia del desarrollo. La necesidad de medir los resultados del impacto de los programas de desarrollo del sector privado es esencial si el negocio será</w:t>
      </w:r>
      <w:r w:rsidR="008F2726">
        <w:rPr>
          <w:lang w:val="es-ES_tradnl"/>
        </w:rPr>
        <w:t>,</w:t>
      </w:r>
      <w:r w:rsidR="00915CFF">
        <w:rPr>
          <w:lang w:val="es-ES_tradnl"/>
        </w:rPr>
        <w:t xml:space="preserve"> de hecho</w:t>
      </w:r>
      <w:r w:rsidR="008F2726">
        <w:rPr>
          <w:lang w:val="es-ES_tradnl"/>
        </w:rPr>
        <w:t>,</w:t>
      </w:r>
      <w:r w:rsidR="00915CFF">
        <w:rPr>
          <w:lang w:val="es-ES_tradnl"/>
        </w:rPr>
        <w:t xml:space="preserve"> exigido a rendir cuentas. El sector privado para el desarrollo debería demostrar el impacto económico, social y ambiental y la contribución para el crecimiento económico y creación de riqueza para aquellos segmentos de la sociedad más afectados por la pobreza. Esto permanece subdesarrollado y no se le ha dado el debido énfasis en la agenda actual sobre el sector privado para el desarrollo.</w:t>
      </w:r>
    </w:p>
    <w:p w14:paraId="74814771" w14:textId="37D9C7EF" w:rsidR="008E7283" w:rsidRPr="001121C9" w:rsidRDefault="008F2726" w:rsidP="002D3C54">
      <w:pPr>
        <w:pStyle w:val="Heading2"/>
        <w:jc w:val="both"/>
        <w:rPr>
          <w:lang w:val="es-ES_tradnl"/>
        </w:rPr>
      </w:pPr>
      <w:bookmarkStart w:id="53" w:name="_Toc378149378"/>
      <w:bookmarkStart w:id="54" w:name="_Toc378166827"/>
      <w:bookmarkStart w:id="55" w:name="_Toc381823860"/>
      <w:bookmarkStart w:id="56" w:name="_Toc382332830"/>
      <w:bookmarkStart w:id="57" w:name="_Toc382848939"/>
      <w:r>
        <w:rPr>
          <w:lang w:val="es-ES_tradnl"/>
        </w:rPr>
        <w:t xml:space="preserve">Apoyando a las </w:t>
      </w:r>
      <w:proofErr w:type="spellStart"/>
      <w:r>
        <w:rPr>
          <w:lang w:val="es-ES_tradnl"/>
        </w:rPr>
        <w:t>PyMEs</w:t>
      </w:r>
      <w:proofErr w:type="spellEnd"/>
      <w:r>
        <w:rPr>
          <w:lang w:val="es-ES_tradnl"/>
        </w:rPr>
        <w:t xml:space="preserve"> y a</w:t>
      </w:r>
      <w:r w:rsidR="007D4069">
        <w:rPr>
          <w:lang w:val="es-ES_tradnl"/>
        </w:rPr>
        <w:t xml:space="preserve">l </w:t>
      </w:r>
      <w:proofErr w:type="spellStart"/>
      <w:r w:rsidR="007D4069">
        <w:rPr>
          <w:lang w:val="es-ES_tradnl"/>
        </w:rPr>
        <w:t>emprendedorismo</w:t>
      </w:r>
      <w:proofErr w:type="spellEnd"/>
      <w:r w:rsidR="007D4069">
        <w:rPr>
          <w:lang w:val="es-ES_tradnl"/>
        </w:rPr>
        <w:t>, combatiendo la informalida</w:t>
      </w:r>
      <w:bookmarkEnd w:id="53"/>
      <w:bookmarkEnd w:id="54"/>
      <w:bookmarkEnd w:id="55"/>
      <w:bookmarkEnd w:id="56"/>
      <w:r w:rsidR="007D4069">
        <w:rPr>
          <w:lang w:val="es-ES_tradnl"/>
        </w:rPr>
        <w:t>d</w:t>
      </w:r>
      <w:bookmarkEnd w:id="57"/>
    </w:p>
    <w:p w14:paraId="1E9E9FBB" w14:textId="62005502" w:rsidR="008E7283" w:rsidRPr="001121C9" w:rsidRDefault="008E7283"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30</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7D4069">
        <w:rPr>
          <w:lang w:val="es-ES_tradnl"/>
        </w:rPr>
        <w:t>Incubar a pequeñas y medianas empresas (</w:t>
      </w:r>
      <w:proofErr w:type="spellStart"/>
      <w:r w:rsidR="007D4069">
        <w:rPr>
          <w:lang w:val="es-ES_tradnl"/>
        </w:rPr>
        <w:t>PyMEs</w:t>
      </w:r>
      <w:proofErr w:type="spellEnd"/>
      <w:r w:rsidR="007D4069">
        <w:rPr>
          <w:lang w:val="es-ES_tradnl"/>
        </w:rPr>
        <w:t>)</w:t>
      </w:r>
      <w:r w:rsidRPr="001121C9">
        <w:rPr>
          <w:lang w:val="es-ES_tradnl"/>
        </w:rPr>
        <w:t xml:space="preserve"> </w:t>
      </w:r>
      <w:r w:rsidR="007D4069">
        <w:rPr>
          <w:lang w:val="es-ES_tradnl"/>
        </w:rPr>
        <w:t xml:space="preserve">por medio de espacio político y apoyo público es bastante diferente de ofrecer incentivos para atraer inversión extranjera directa, aunque ambas medidas puedan caer bajo el rubro de crear un ambiente propicio para el sector privado. Si los esfuerzos </w:t>
      </w:r>
      <w:r w:rsidR="008F2726">
        <w:rPr>
          <w:lang w:val="es-ES_tradnl"/>
        </w:rPr>
        <w:t>apuntan a</w:t>
      </w:r>
      <w:r w:rsidR="007D4069">
        <w:rPr>
          <w:lang w:val="es-ES_tradnl"/>
        </w:rPr>
        <w:t xml:space="preserve"> alcanzar la independencia económica a través de una industria sostenible</w:t>
      </w:r>
      <w:r w:rsidR="008F2726">
        <w:rPr>
          <w:lang w:val="es-ES_tradnl"/>
        </w:rPr>
        <w:t>,</w:t>
      </w:r>
      <w:r w:rsidR="007D4069">
        <w:rPr>
          <w:lang w:val="es-ES_tradnl"/>
        </w:rPr>
        <w:t xml:space="preserve"> es </w:t>
      </w:r>
      <w:r w:rsidR="00F02561">
        <w:rPr>
          <w:lang w:val="es-ES_tradnl"/>
        </w:rPr>
        <w:t xml:space="preserve">crucial que la industria local pueda sobrevivir y </w:t>
      </w:r>
      <w:r w:rsidR="008F2726">
        <w:rPr>
          <w:lang w:val="es-ES_tradnl"/>
        </w:rPr>
        <w:t>competir en mercados globales,</w:t>
      </w:r>
      <w:r w:rsidR="00F02561">
        <w:rPr>
          <w:lang w:val="es-ES_tradnl"/>
        </w:rPr>
        <w:t xml:space="preserve"> por lo tanto</w:t>
      </w:r>
      <w:r w:rsidR="008F2726">
        <w:rPr>
          <w:lang w:val="es-ES_tradnl"/>
        </w:rPr>
        <w:t>,</w:t>
      </w:r>
      <w:r w:rsidR="00F02561">
        <w:rPr>
          <w:lang w:val="es-ES_tradnl"/>
        </w:rPr>
        <w:t xml:space="preserve"> </w:t>
      </w:r>
      <w:r w:rsidR="00F02561">
        <w:rPr>
          <w:lang w:val="es-ES_tradnl"/>
        </w:rPr>
        <w:lastRenderedPageBreak/>
        <w:t>necesitan tener la oportunidad de “madurar” hacia una eficiencia y capacidad productivas suficientes para competir.</w:t>
      </w:r>
    </w:p>
    <w:p w14:paraId="5F9B41B5" w14:textId="163D931D" w:rsidR="00F02561" w:rsidRDefault="003D1749"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31</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F02561">
        <w:rPr>
          <w:lang w:val="es-ES_tradnl"/>
        </w:rPr>
        <w:t xml:space="preserve">La importancia de las </w:t>
      </w:r>
      <w:proofErr w:type="spellStart"/>
      <w:r w:rsidR="00F02561">
        <w:rPr>
          <w:lang w:val="es-ES_tradnl"/>
        </w:rPr>
        <w:t>PyMEs</w:t>
      </w:r>
      <w:proofErr w:type="spellEnd"/>
      <w:r w:rsidR="00F02561">
        <w:rPr>
          <w:lang w:val="es-ES_tradnl"/>
        </w:rPr>
        <w:t xml:space="preserve"> también se deriva de su rol en la economía informal. Mientras que la agenda del sector pri</w:t>
      </w:r>
      <w:r w:rsidR="008F2726">
        <w:rPr>
          <w:lang w:val="es-ES_tradnl"/>
        </w:rPr>
        <w:t>vado para el desarrollo</w:t>
      </w:r>
      <w:r w:rsidR="00F02561">
        <w:rPr>
          <w:lang w:val="es-ES_tradnl"/>
        </w:rPr>
        <w:t xml:space="preserve"> favorecería</w:t>
      </w:r>
      <w:r w:rsidR="008F2726">
        <w:rPr>
          <w:lang w:val="es-ES_tradnl"/>
        </w:rPr>
        <w:t xml:space="preserve"> en general</w:t>
      </w:r>
      <w:r w:rsidR="00F02561">
        <w:rPr>
          <w:lang w:val="es-ES_tradnl"/>
        </w:rPr>
        <w:t xml:space="preserve"> una “simplificación” regulatoria amigable a los negocios</w:t>
      </w:r>
      <w:r w:rsidR="00F02561" w:rsidRPr="00F02561">
        <w:rPr>
          <w:lang w:val="es-ES_tradnl"/>
        </w:rPr>
        <w:t xml:space="preserve"> </w:t>
      </w:r>
      <w:r w:rsidR="00F02561">
        <w:rPr>
          <w:lang w:val="es-ES_tradnl"/>
        </w:rPr>
        <w:t xml:space="preserve">y </w:t>
      </w:r>
      <w:r w:rsidR="008F2726">
        <w:rPr>
          <w:lang w:val="es-ES_tradnl"/>
        </w:rPr>
        <w:t xml:space="preserve">una </w:t>
      </w:r>
      <w:r w:rsidR="00F02561">
        <w:rPr>
          <w:lang w:val="es-ES_tradnl"/>
        </w:rPr>
        <w:t xml:space="preserve">reducción de la burocracia, cualquier reforma de regulación </w:t>
      </w:r>
      <w:r w:rsidR="001B22DF">
        <w:rPr>
          <w:lang w:val="es-ES_tradnl"/>
        </w:rPr>
        <w:t xml:space="preserve">en ese sentido </w:t>
      </w:r>
      <w:r w:rsidR="00F02561">
        <w:rPr>
          <w:lang w:val="es-ES_tradnl"/>
        </w:rPr>
        <w:t>debería en primer lugar apuntar a combatir la informalidad y la economía sumergida.</w:t>
      </w:r>
      <w:r w:rsidR="001B22DF">
        <w:rPr>
          <w:lang w:val="es-ES_tradnl"/>
        </w:rPr>
        <w:t xml:space="preserve"> Reducir la carga regulatoria de los negocios es deseable bajo las estrictas condiciones de que </w:t>
      </w:r>
      <w:r w:rsidR="008F2726">
        <w:rPr>
          <w:lang w:val="es-ES_tradnl"/>
        </w:rPr>
        <w:t xml:space="preserve">eso </w:t>
      </w:r>
      <w:r w:rsidR="001B22DF">
        <w:rPr>
          <w:lang w:val="es-ES_tradnl"/>
        </w:rPr>
        <w:t xml:space="preserve">no impida la realización de los derechos de las partes interesadas y </w:t>
      </w:r>
      <w:r w:rsidR="008F2726">
        <w:rPr>
          <w:lang w:val="es-ES_tradnl"/>
        </w:rPr>
        <w:t xml:space="preserve">de que </w:t>
      </w:r>
      <w:r w:rsidR="001B22DF">
        <w:rPr>
          <w:lang w:val="es-ES_tradnl"/>
        </w:rPr>
        <w:t xml:space="preserve">ayude a reducir el tamaño del sector informal. </w:t>
      </w:r>
    </w:p>
    <w:p w14:paraId="4E1A397C" w14:textId="6B9DE0AD" w:rsidR="00A34489" w:rsidRPr="001121C9" w:rsidRDefault="00740B7B" w:rsidP="00A34489">
      <w:pPr>
        <w:pStyle w:val="Heading1"/>
        <w:rPr>
          <w:lang w:val="es-ES_tradnl"/>
        </w:rPr>
      </w:pPr>
      <w:bookmarkStart w:id="58" w:name="_Toc382848940"/>
      <w:r>
        <w:rPr>
          <w:lang w:val="es-ES_tradnl"/>
        </w:rPr>
        <w:t>conclusión</w:t>
      </w:r>
      <w:bookmarkEnd w:id="58"/>
    </w:p>
    <w:p w14:paraId="5F1C28FB" w14:textId="7DF7B3C8" w:rsidR="00A34489" w:rsidRPr="001121C9" w:rsidRDefault="009A68E7"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32</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00740B7B">
        <w:rPr>
          <w:lang w:val="es-ES_tradnl"/>
        </w:rPr>
        <w:t xml:space="preserve">El sector privado es un motor importante del crecimiento económico y la creación de riqueza. Pero para ser efectivo y beneficiar a las personas, necesita estar enmarcado </w:t>
      </w:r>
      <w:r w:rsidR="00F13694">
        <w:rPr>
          <w:lang w:val="es-ES_tradnl"/>
        </w:rPr>
        <w:t>en</w:t>
      </w:r>
      <w:r w:rsidR="00740B7B">
        <w:rPr>
          <w:lang w:val="es-ES_tradnl"/>
        </w:rPr>
        <w:t xml:space="preserve"> un abordaje normativo para el desarrollo – un abordaje que garantice derechos – y</w:t>
      </w:r>
      <w:r w:rsidR="00F13694">
        <w:rPr>
          <w:lang w:val="es-ES_tradnl"/>
        </w:rPr>
        <w:t xml:space="preserve"> en</w:t>
      </w:r>
      <w:r w:rsidR="00740B7B">
        <w:rPr>
          <w:lang w:val="es-ES_tradnl"/>
        </w:rPr>
        <w:t xml:space="preserve"> una visión de parte de los gobiernos que mantenga su rol de liderazgo en el desarrollo. </w:t>
      </w:r>
      <w:r w:rsidR="00193C26">
        <w:rPr>
          <w:lang w:val="es-ES_tradnl"/>
        </w:rPr>
        <w:t>En es</w:t>
      </w:r>
      <w:r w:rsidR="00CD6DD1">
        <w:rPr>
          <w:lang w:val="es-ES_tradnl"/>
        </w:rPr>
        <w:t>t</w:t>
      </w:r>
      <w:r w:rsidR="00193C26">
        <w:rPr>
          <w:lang w:val="es-ES_tradnl"/>
        </w:rPr>
        <w:t>e punto es donde está fallando la actual agenda sobre el sector pri</w:t>
      </w:r>
      <w:r w:rsidR="00CD6DD1">
        <w:rPr>
          <w:lang w:val="es-ES_tradnl"/>
        </w:rPr>
        <w:t>vado para el desarrollo. Además</w:t>
      </w:r>
      <w:r w:rsidR="00193C26">
        <w:rPr>
          <w:lang w:val="es-ES_tradnl"/>
        </w:rPr>
        <w:t>, como se ha discutido en este documento, las iniciativas del sector privado para el desarrollo pueden asumir diferentes formas, según el contexto nacional y local. Sería difícil, si no imposible, proponer un entendimiento definitivo y exhaustivo de sus elementos y de allí proponer un posicionamiento definitivo para que sea adoptado por el movimiento sindical internacional.</w:t>
      </w:r>
    </w:p>
    <w:p w14:paraId="565D0457" w14:textId="6670F103" w:rsidR="00A34489" w:rsidRPr="001121C9" w:rsidRDefault="009A68E7" w:rsidP="002D3C54">
      <w:pPr>
        <w:pStyle w:val="Num-DocParagraph"/>
        <w:jc w:val="both"/>
        <w:rPr>
          <w:lang w:val="es-ES_tradnl"/>
        </w:rPr>
      </w:pPr>
      <w:r w:rsidRPr="001121C9">
        <w:rPr>
          <w:lang w:val="es-ES_tradnl"/>
        </w:rPr>
        <w:fldChar w:fldCharType="begin"/>
      </w:r>
      <w:r w:rsidRPr="001121C9">
        <w:rPr>
          <w:lang w:val="es-ES_tradnl"/>
        </w:rPr>
        <w:instrText xml:space="preserve"> MACROBUTTON NUMBERING </w:instrText>
      </w:r>
      <w:r w:rsidRPr="001121C9">
        <w:rPr>
          <w:lang w:val="es-ES_tradnl"/>
        </w:rPr>
        <w:fldChar w:fldCharType="begin"/>
      </w:r>
      <w:r w:rsidRPr="001121C9">
        <w:rPr>
          <w:lang w:val="es-ES_tradnl"/>
        </w:rPr>
        <w:instrText xml:space="preserve"> SEQ  dpara</w:instrText>
      </w:r>
      <w:r w:rsidRPr="001121C9">
        <w:rPr>
          <w:lang w:val="es-ES_tradnl"/>
        </w:rPr>
        <w:fldChar w:fldCharType="separate"/>
      </w:r>
      <w:r w:rsidR="00684D7D">
        <w:rPr>
          <w:noProof/>
          <w:lang w:val="es-ES_tradnl"/>
        </w:rPr>
        <w:instrText>33</w:instrText>
      </w:r>
      <w:r w:rsidRPr="001121C9">
        <w:rPr>
          <w:lang w:val="es-ES_tradnl"/>
        </w:rPr>
        <w:fldChar w:fldCharType="end"/>
      </w:r>
      <w:r w:rsidRPr="001121C9">
        <w:rPr>
          <w:lang w:val="es-ES_tradnl"/>
        </w:rPr>
        <w:instrText>.</w:instrText>
      </w:r>
      <w:r w:rsidRPr="001121C9">
        <w:rPr>
          <w:lang w:val="es-ES_tradnl"/>
        </w:rPr>
        <w:tab/>
      </w:r>
      <w:r w:rsidRPr="001121C9">
        <w:rPr>
          <w:lang w:val="es-ES_tradnl"/>
        </w:rPr>
        <w:fldChar w:fldCharType="end"/>
      </w:r>
      <w:r w:rsidRPr="001121C9">
        <w:rPr>
          <w:lang w:val="es-ES_tradnl"/>
        </w:rPr>
        <w:t xml:space="preserve"> </w:t>
      </w:r>
      <w:r w:rsidR="00193C26">
        <w:rPr>
          <w:lang w:val="es-ES_tradnl"/>
        </w:rPr>
        <w:t xml:space="preserve">¿Qué pueden hacer los sindicatos cuando son llamados y se involucran en foros nacionales e internacionales sobre el sector privado para el desarrollo? Este documento sugiere una serie de políticas prioritarias. En primer lugar, el rol de desarrollo del Estado y de las autoridades públicas debe ser defendido, sin limitaciones. En segundo lugar, debe </w:t>
      </w:r>
      <w:r w:rsidR="00CD6DD1">
        <w:rPr>
          <w:lang w:val="es-ES_tradnl"/>
        </w:rPr>
        <w:t>defenderse</w:t>
      </w:r>
      <w:r w:rsidR="00193C26">
        <w:rPr>
          <w:lang w:val="es-ES_tradnl"/>
        </w:rPr>
        <w:t xml:space="preserve"> un enfoque basado en derechos, a través tanto del Estado de derecho</w:t>
      </w:r>
      <w:r w:rsidR="00CD6DD1">
        <w:rPr>
          <w:lang w:val="es-ES_tradnl"/>
        </w:rPr>
        <w:t>,</w:t>
      </w:r>
      <w:r w:rsidR="00193C26">
        <w:rPr>
          <w:lang w:val="es-ES_tradnl"/>
        </w:rPr>
        <w:t xml:space="preserve"> fundado en los derechos humanos y guiado por la democracia</w:t>
      </w:r>
      <w:r w:rsidR="00CD6DD1">
        <w:rPr>
          <w:lang w:val="es-ES_tradnl"/>
        </w:rPr>
        <w:t>,</w:t>
      </w:r>
      <w:r w:rsidR="00193C26">
        <w:rPr>
          <w:lang w:val="es-ES_tradnl"/>
        </w:rPr>
        <w:t xml:space="preserve"> como del diálogo social.</w:t>
      </w:r>
      <w:r w:rsidR="00CD6DD1">
        <w:rPr>
          <w:lang w:val="es-ES_tradnl"/>
        </w:rPr>
        <w:t xml:space="preserve"> A partir de all</w:t>
      </w:r>
      <w:r w:rsidR="00684D7D">
        <w:rPr>
          <w:lang w:val="es-ES_tradnl"/>
        </w:rPr>
        <w:t xml:space="preserve">í, la voz de los sindicatos debe destacar la responsabilidad de las empresas multinacionales de contribuir para la creación de trabajo decente y </w:t>
      </w:r>
      <w:r w:rsidR="00CD6DD1">
        <w:rPr>
          <w:lang w:val="es-ES_tradnl"/>
        </w:rPr>
        <w:t xml:space="preserve">la </w:t>
      </w:r>
      <w:r w:rsidR="00684D7D">
        <w:rPr>
          <w:lang w:val="es-ES_tradnl"/>
        </w:rPr>
        <w:t>movilización de recursos domésticos (pagando su justa cuota de impuestos). Por último, pero no menos importante, cualquier participación del sector privado como parte en un programa orientado al desarrollo debería observar los estándares para la eficacia de la ayuda que se aplican a las partes públicas y debería darse prioridad a</w:t>
      </w:r>
      <w:r w:rsidR="00CD6DD1">
        <w:rPr>
          <w:lang w:val="es-ES_tradnl"/>
        </w:rPr>
        <w:t>l apoyo</w:t>
      </w:r>
      <w:r w:rsidR="00684D7D">
        <w:rPr>
          <w:lang w:val="es-ES_tradnl"/>
        </w:rPr>
        <w:t xml:space="preserve"> a </w:t>
      </w:r>
      <w:r w:rsidR="00CD6DD1">
        <w:rPr>
          <w:lang w:val="es-ES_tradnl"/>
        </w:rPr>
        <w:t xml:space="preserve">las </w:t>
      </w:r>
      <w:proofErr w:type="spellStart"/>
      <w:r w:rsidR="00CD6DD1">
        <w:rPr>
          <w:lang w:val="es-ES_tradnl"/>
        </w:rPr>
        <w:t>PyMEs</w:t>
      </w:r>
      <w:proofErr w:type="spellEnd"/>
      <w:r w:rsidR="00CD6DD1">
        <w:rPr>
          <w:lang w:val="es-ES_tradnl"/>
        </w:rPr>
        <w:t xml:space="preserve"> y al </w:t>
      </w:r>
      <w:proofErr w:type="spellStart"/>
      <w:r w:rsidR="00CD6DD1">
        <w:rPr>
          <w:lang w:val="es-ES_tradnl"/>
        </w:rPr>
        <w:t>emprendedorismo</w:t>
      </w:r>
      <w:proofErr w:type="spellEnd"/>
      <w:r w:rsidR="00CD6DD1">
        <w:rPr>
          <w:lang w:val="es-ES_tradnl"/>
        </w:rPr>
        <w:t>, así como</w:t>
      </w:r>
      <w:r w:rsidR="00684D7D">
        <w:rPr>
          <w:lang w:val="es-ES_tradnl"/>
        </w:rPr>
        <w:t xml:space="preserve"> a</w:t>
      </w:r>
      <w:r w:rsidR="00CD6DD1">
        <w:rPr>
          <w:lang w:val="es-ES_tradnl"/>
        </w:rPr>
        <w:t>l combate a</w:t>
      </w:r>
      <w:r w:rsidR="00684D7D">
        <w:rPr>
          <w:lang w:val="es-ES_tradnl"/>
        </w:rPr>
        <w:t xml:space="preserve"> la informalidad. </w:t>
      </w:r>
    </w:p>
    <w:sectPr w:rsidR="00A34489" w:rsidRPr="001121C9" w:rsidSect="00EF7788">
      <w:headerReference w:type="even" r:id="rId11"/>
      <w:headerReference w:type="default" r:id="rId12"/>
      <w:footerReference w:type="even" r:id="rId13"/>
      <w:footerReference w:type="default" r:id="rId14"/>
      <w:endnotePr>
        <w:numFmt w:val="decimal"/>
      </w:endnotePr>
      <w:pgSz w:w="11906" w:h="16838"/>
      <w:pgMar w:top="1984" w:right="1247" w:bottom="1814" w:left="1191" w:header="1247" w:footer="124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17A2F" w14:textId="77777777" w:rsidR="009E7C9A" w:rsidRDefault="009E7C9A">
      <w:r>
        <w:separator/>
      </w:r>
    </w:p>
  </w:endnote>
  <w:endnote w:type="continuationSeparator" w:id="0">
    <w:p w14:paraId="4A76043E" w14:textId="77777777" w:rsidR="009E7C9A" w:rsidRDefault="009E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E74F5" w14:textId="77777777" w:rsidR="00673D5A" w:rsidRDefault="00673D5A" w:rsidP="005206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3D87">
      <w:rPr>
        <w:rStyle w:val="PageNumber"/>
        <w:noProof/>
      </w:rPr>
      <w:t>2</w:t>
    </w:r>
    <w:r>
      <w:rPr>
        <w:rStyle w:val="PageNumber"/>
      </w:rPr>
      <w:fldChar w:fldCharType="end"/>
    </w:r>
  </w:p>
  <w:p w14:paraId="3E99D1D7" w14:textId="77777777" w:rsidR="00673D5A" w:rsidRPr="008E7283" w:rsidRDefault="00673D5A" w:rsidP="008E7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6D5E5" w14:textId="77777777" w:rsidR="00673D5A" w:rsidRDefault="00673D5A" w:rsidP="008E72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3D87">
      <w:rPr>
        <w:rStyle w:val="PageNumber"/>
        <w:noProof/>
      </w:rPr>
      <w:t>1</w:t>
    </w:r>
    <w:r>
      <w:rPr>
        <w:rStyle w:val="PageNumber"/>
      </w:rPr>
      <w:fldChar w:fldCharType="end"/>
    </w:r>
  </w:p>
  <w:p w14:paraId="2B689613" w14:textId="77777777" w:rsidR="00673D5A" w:rsidRPr="008E7283" w:rsidRDefault="00673D5A" w:rsidP="008E7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40887" w14:textId="77777777" w:rsidR="009E7C9A" w:rsidRDefault="009E7C9A">
      <w:r>
        <w:separator/>
      </w:r>
    </w:p>
  </w:footnote>
  <w:footnote w:type="continuationSeparator" w:id="0">
    <w:p w14:paraId="2B6CAEEB" w14:textId="77777777" w:rsidR="009E7C9A" w:rsidRDefault="009E7C9A">
      <w:r>
        <w:continuationSeparator/>
      </w:r>
    </w:p>
  </w:footnote>
  <w:footnote w:id="1">
    <w:tbl>
      <w:tblPr>
        <w:tblW w:w="7095" w:type="dxa"/>
        <w:tblInd w:w="93" w:type="dxa"/>
        <w:shd w:val="clear" w:color="auto" w:fill="FFFFFF"/>
        <w:tblCellMar>
          <w:left w:w="0" w:type="dxa"/>
          <w:right w:w="0" w:type="dxa"/>
        </w:tblCellMar>
        <w:tblLook w:val="04A0" w:firstRow="1" w:lastRow="0" w:firstColumn="1" w:lastColumn="0" w:noHBand="0" w:noVBand="1"/>
      </w:tblPr>
      <w:tblGrid>
        <w:gridCol w:w="7095"/>
      </w:tblGrid>
      <w:tr w:rsidR="00BC783F" w:rsidRPr="00014174" w14:paraId="349ABB0F" w14:textId="77777777" w:rsidTr="00BC783F">
        <w:trPr>
          <w:trHeight w:val="277"/>
        </w:trPr>
        <w:tc>
          <w:tcPr>
            <w:tcW w:w="7095"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hideMark/>
          </w:tcPr>
          <w:p w14:paraId="2C3CD3EB" w14:textId="68F0D93A" w:rsidR="00BC783F" w:rsidRPr="00BC783F" w:rsidRDefault="00BC783F" w:rsidP="00BC783F">
            <w:pPr>
              <w:rPr>
                <w:rFonts w:eastAsia="Times New Roman" w:cs="Times New Roman"/>
                <w:color w:val="222222"/>
                <w:szCs w:val="24"/>
                <w:lang w:val="es-ES" w:eastAsia="pt-BR"/>
              </w:rPr>
            </w:pPr>
            <w:r>
              <w:rPr>
                <w:rStyle w:val="FootnoteReference"/>
              </w:rPr>
              <w:footnoteRef/>
            </w:r>
            <w:r w:rsidRPr="002D3C54">
              <w:rPr>
                <w:lang w:val="es-ES"/>
              </w:rPr>
              <w:t xml:space="preserve"> </w:t>
            </w:r>
            <w:r w:rsidRPr="00BC783F">
              <w:rPr>
                <w:rFonts w:eastAsia="Times New Roman" w:cs="Times New Roman"/>
                <w:color w:val="222222"/>
                <w:sz w:val="18"/>
                <w:szCs w:val="18"/>
                <w:lang w:val="es-ES" w:eastAsia="pt-BR"/>
              </w:rPr>
              <w:t>I. Infraestructura y Servicios Sociales</w:t>
            </w:r>
          </w:p>
        </w:tc>
      </w:tr>
      <w:tr w:rsidR="00BC783F" w:rsidRPr="00014174" w14:paraId="3A0CC51E" w14:textId="77777777" w:rsidTr="00BC783F">
        <w:trPr>
          <w:trHeight w:val="277"/>
        </w:trPr>
        <w:tc>
          <w:tcPr>
            <w:tcW w:w="7095"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hideMark/>
          </w:tcPr>
          <w:p w14:paraId="2F06FC60" w14:textId="77777777" w:rsidR="00BC783F" w:rsidRPr="00BC783F" w:rsidRDefault="00BC783F" w:rsidP="00BC783F">
            <w:pPr>
              <w:rPr>
                <w:rFonts w:eastAsia="Times New Roman" w:cs="Times New Roman"/>
                <w:color w:val="222222"/>
                <w:szCs w:val="24"/>
                <w:lang w:val="es-ES" w:eastAsia="pt-BR"/>
              </w:rPr>
            </w:pPr>
            <w:r w:rsidRPr="00BC783F">
              <w:rPr>
                <w:rFonts w:eastAsia="Times New Roman" w:cs="Times New Roman"/>
                <w:color w:val="222222"/>
                <w:sz w:val="18"/>
                <w:szCs w:val="18"/>
                <w:lang w:val="es-ES" w:eastAsia="pt-BR"/>
              </w:rPr>
              <w:t>II. Infraestructura y Servicios Económicos</w:t>
            </w:r>
          </w:p>
        </w:tc>
      </w:tr>
      <w:tr w:rsidR="00BC783F" w:rsidRPr="00BC783F" w14:paraId="006264CF" w14:textId="77777777" w:rsidTr="00BC783F">
        <w:trPr>
          <w:trHeight w:val="277"/>
        </w:trPr>
        <w:tc>
          <w:tcPr>
            <w:tcW w:w="7095"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hideMark/>
          </w:tcPr>
          <w:p w14:paraId="16F2EC5D" w14:textId="77777777" w:rsidR="00BC783F" w:rsidRPr="00BC783F" w:rsidRDefault="00BC783F" w:rsidP="00BC783F">
            <w:pPr>
              <w:rPr>
                <w:rFonts w:eastAsia="Times New Roman" w:cs="Times New Roman"/>
                <w:color w:val="222222"/>
                <w:szCs w:val="24"/>
                <w:lang w:val="pt-BR" w:eastAsia="pt-BR"/>
              </w:rPr>
            </w:pPr>
            <w:r w:rsidRPr="00BC783F">
              <w:rPr>
                <w:rFonts w:eastAsia="Times New Roman" w:cs="Times New Roman"/>
                <w:color w:val="222222"/>
                <w:sz w:val="18"/>
                <w:szCs w:val="18"/>
                <w:lang w:val="pt-BR" w:eastAsia="pt-BR"/>
              </w:rPr>
              <w:t xml:space="preserve">III. Sectores </w:t>
            </w:r>
            <w:proofErr w:type="spellStart"/>
            <w:r w:rsidRPr="00BC783F">
              <w:rPr>
                <w:rFonts w:eastAsia="Times New Roman" w:cs="Times New Roman"/>
                <w:color w:val="222222"/>
                <w:sz w:val="18"/>
                <w:szCs w:val="18"/>
                <w:lang w:val="pt-BR" w:eastAsia="pt-BR"/>
              </w:rPr>
              <w:t>Productivos</w:t>
            </w:r>
            <w:proofErr w:type="spellEnd"/>
          </w:p>
        </w:tc>
      </w:tr>
      <w:tr w:rsidR="00BC783F" w:rsidRPr="00BC783F" w14:paraId="05BD6B65" w14:textId="77777777" w:rsidTr="00BC783F">
        <w:trPr>
          <w:trHeight w:val="277"/>
        </w:trPr>
        <w:tc>
          <w:tcPr>
            <w:tcW w:w="7095"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hideMark/>
          </w:tcPr>
          <w:p w14:paraId="59C21571" w14:textId="77777777" w:rsidR="00BC783F" w:rsidRPr="00BC783F" w:rsidRDefault="00BC783F" w:rsidP="00BC783F">
            <w:pPr>
              <w:rPr>
                <w:rFonts w:eastAsia="Times New Roman" w:cs="Times New Roman"/>
                <w:color w:val="222222"/>
                <w:szCs w:val="24"/>
                <w:lang w:val="pt-BR" w:eastAsia="pt-BR"/>
              </w:rPr>
            </w:pPr>
            <w:r w:rsidRPr="00BC783F">
              <w:rPr>
                <w:rFonts w:eastAsia="Times New Roman" w:cs="Times New Roman"/>
                <w:color w:val="222222"/>
                <w:sz w:val="18"/>
                <w:szCs w:val="18"/>
                <w:lang w:val="pt-BR" w:eastAsia="pt-BR"/>
              </w:rPr>
              <w:t xml:space="preserve">IV. </w:t>
            </w:r>
            <w:proofErr w:type="spellStart"/>
            <w:r w:rsidRPr="00BC783F">
              <w:rPr>
                <w:rFonts w:eastAsia="Times New Roman" w:cs="Times New Roman"/>
                <w:color w:val="222222"/>
                <w:sz w:val="18"/>
                <w:szCs w:val="18"/>
                <w:lang w:val="pt-BR" w:eastAsia="pt-BR"/>
              </w:rPr>
              <w:t>Multisectorial</w:t>
            </w:r>
            <w:proofErr w:type="spellEnd"/>
            <w:r w:rsidRPr="00BC783F">
              <w:rPr>
                <w:rFonts w:eastAsia="Times New Roman" w:cs="Times New Roman"/>
                <w:color w:val="222222"/>
                <w:sz w:val="18"/>
                <w:szCs w:val="18"/>
                <w:lang w:val="pt-BR" w:eastAsia="pt-BR"/>
              </w:rPr>
              <w:t xml:space="preserve"> / Transversal</w:t>
            </w:r>
          </w:p>
        </w:tc>
      </w:tr>
      <w:tr w:rsidR="00BC783F" w:rsidRPr="00014174" w14:paraId="437E31DF" w14:textId="77777777" w:rsidTr="00BC783F">
        <w:trPr>
          <w:trHeight w:val="277"/>
        </w:trPr>
        <w:tc>
          <w:tcPr>
            <w:tcW w:w="7095"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hideMark/>
          </w:tcPr>
          <w:p w14:paraId="4ECDAD4D" w14:textId="77777777" w:rsidR="00BC783F" w:rsidRPr="00BC783F" w:rsidRDefault="00BC783F" w:rsidP="00BC783F">
            <w:pPr>
              <w:rPr>
                <w:rFonts w:eastAsia="Times New Roman" w:cs="Times New Roman"/>
                <w:color w:val="222222"/>
                <w:szCs w:val="24"/>
                <w:lang w:val="es-ES" w:eastAsia="pt-BR"/>
              </w:rPr>
            </w:pPr>
            <w:r w:rsidRPr="00BC783F">
              <w:rPr>
                <w:rFonts w:eastAsia="Times New Roman" w:cs="Times New Roman"/>
                <w:color w:val="222222"/>
                <w:sz w:val="18"/>
                <w:szCs w:val="18"/>
                <w:lang w:val="es-ES" w:eastAsia="pt-BR"/>
              </w:rPr>
              <w:t>VII. Acción Relacionada a Deuda</w:t>
            </w:r>
          </w:p>
        </w:tc>
      </w:tr>
      <w:tr w:rsidR="00BC783F" w:rsidRPr="00BC783F" w14:paraId="11DF7827" w14:textId="77777777" w:rsidTr="00BC783F">
        <w:trPr>
          <w:trHeight w:val="277"/>
        </w:trPr>
        <w:tc>
          <w:tcPr>
            <w:tcW w:w="7095"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hideMark/>
          </w:tcPr>
          <w:p w14:paraId="5B4C1C1D" w14:textId="77777777" w:rsidR="00BC783F" w:rsidRPr="00BC783F" w:rsidRDefault="00BC783F" w:rsidP="00BC783F">
            <w:pPr>
              <w:rPr>
                <w:rFonts w:eastAsia="Times New Roman" w:cs="Times New Roman"/>
                <w:color w:val="222222"/>
                <w:szCs w:val="24"/>
                <w:lang w:val="pt-BR" w:eastAsia="pt-BR"/>
              </w:rPr>
            </w:pPr>
            <w:r w:rsidRPr="00BC783F">
              <w:rPr>
                <w:rFonts w:eastAsia="Times New Roman" w:cs="Times New Roman"/>
                <w:color w:val="222222"/>
                <w:sz w:val="18"/>
                <w:szCs w:val="18"/>
                <w:lang w:val="pt-BR" w:eastAsia="pt-BR"/>
              </w:rPr>
              <w:t xml:space="preserve">VIII. </w:t>
            </w:r>
            <w:proofErr w:type="spellStart"/>
            <w:r w:rsidRPr="00BC783F">
              <w:rPr>
                <w:rFonts w:eastAsia="Times New Roman" w:cs="Times New Roman"/>
                <w:color w:val="222222"/>
                <w:sz w:val="18"/>
                <w:szCs w:val="18"/>
                <w:lang w:val="pt-BR" w:eastAsia="pt-BR"/>
              </w:rPr>
              <w:t>Ayuda</w:t>
            </w:r>
            <w:proofErr w:type="spellEnd"/>
            <w:r w:rsidRPr="00BC783F">
              <w:rPr>
                <w:rFonts w:eastAsia="Times New Roman" w:cs="Times New Roman"/>
                <w:color w:val="222222"/>
                <w:sz w:val="18"/>
                <w:szCs w:val="18"/>
                <w:lang w:val="pt-BR" w:eastAsia="pt-BR"/>
              </w:rPr>
              <w:t xml:space="preserve"> </w:t>
            </w:r>
            <w:proofErr w:type="spellStart"/>
            <w:r w:rsidRPr="00BC783F">
              <w:rPr>
                <w:rFonts w:eastAsia="Times New Roman" w:cs="Times New Roman"/>
                <w:color w:val="222222"/>
                <w:sz w:val="18"/>
                <w:szCs w:val="18"/>
                <w:lang w:val="pt-BR" w:eastAsia="pt-BR"/>
              </w:rPr>
              <w:t>Humanitaria</w:t>
            </w:r>
            <w:proofErr w:type="spellEnd"/>
          </w:p>
        </w:tc>
      </w:tr>
      <w:tr w:rsidR="00BC783F" w:rsidRPr="00014174" w14:paraId="3F20D0A3" w14:textId="77777777" w:rsidTr="00BC783F">
        <w:trPr>
          <w:trHeight w:val="277"/>
        </w:trPr>
        <w:tc>
          <w:tcPr>
            <w:tcW w:w="7095" w:type="dxa"/>
            <w:tcBorders>
              <w:top w:val="nil"/>
              <w:left w:val="single" w:sz="8" w:space="0" w:color="C0C0C0"/>
              <w:bottom w:val="single" w:sz="8" w:space="0" w:color="C0C0C0"/>
              <w:right w:val="single" w:sz="8" w:space="0" w:color="C0C0C0"/>
            </w:tcBorders>
            <w:shd w:val="clear" w:color="auto" w:fill="FFFFFF"/>
            <w:tcMar>
              <w:top w:w="0" w:type="dxa"/>
              <w:left w:w="108" w:type="dxa"/>
              <w:bottom w:w="0" w:type="dxa"/>
              <w:right w:w="108" w:type="dxa"/>
            </w:tcMar>
            <w:hideMark/>
          </w:tcPr>
          <w:p w14:paraId="45112E0F" w14:textId="77777777" w:rsidR="00BC783F" w:rsidRPr="00BC783F" w:rsidRDefault="00BC783F" w:rsidP="00BC783F">
            <w:pPr>
              <w:rPr>
                <w:rFonts w:eastAsia="Times New Roman" w:cs="Times New Roman"/>
                <w:color w:val="222222"/>
                <w:szCs w:val="24"/>
                <w:lang w:val="pt-BR" w:eastAsia="pt-BR"/>
              </w:rPr>
            </w:pPr>
            <w:r w:rsidRPr="00BC783F">
              <w:rPr>
                <w:rFonts w:eastAsia="Times New Roman" w:cs="Times New Roman"/>
                <w:color w:val="222222"/>
                <w:sz w:val="18"/>
                <w:szCs w:val="18"/>
                <w:lang w:val="pt-BR" w:eastAsia="pt-BR"/>
              </w:rPr>
              <w:t>IX. No destinada / No especificada</w:t>
            </w:r>
          </w:p>
        </w:tc>
      </w:tr>
    </w:tbl>
    <w:p w14:paraId="3751E449" w14:textId="000223E6" w:rsidR="00BC783F" w:rsidRPr="00BC783F" w:rsidRDefault="00BC783F">
      <w:pPr>
        <w:pStyle w:val="FootnoteText"/>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3E957" w14:textId="77777777" w:rsidR="00673D5A" w:rsidRPr="00D841BD" w:rsidRDefault="00673D5A" w:rsidP="008E7283">
    <w:pPr>
      <w:pStyle w:val="Header"/>
      <w:rPr>
        <w:lang w:val="fr-FR"/>
      </w:rPr>
    </w:pPr>
    <w:r>
      <w:rPr>
        <w:lang w:val="fr-FR"/>
      </w:rPr>
      <w:t>ITUC – TUDCN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98E40" w14:textId="77777777" w:rsidR="00673D5A" w:rsidRPr="008E7283" w:rsidRDefault="00673D5A" w:rsidP="008E7283">
    <w:pPr>
      <w:pStyle w:val="Header"/>
      <w:tabs>
        <w:tab w:val="clear" w:pos="4536"/>
        <w:tab w:val="clear" w:pos="9072"/>
        <w:tab w:val="right" w:pos="941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4">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5">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6">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7">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8">
    <w:nsid w:val="34CA651B"/>
    <w:multiLevelType w:val="hybridMultilevel"/>
    <w:tmpl w:val="6F3AA7D4"/>
    <w:lvl w:ilvl="0" w:tplc="4E604D64">
      <w:numFmt w:val="bullet"/>
      <w:lvlText w:val="-"/>
      <w:lvlJc w:val="left"/>
      <w:pPr>
        <w:tabs>
          <w:tab w:val="num" w:pos="432"/>
        </w:tabs>
        <w:ind w:left="432" w:hanging="216"/>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2">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3">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4">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5">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16">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17">
    <w:nsid w:val="669D7225"/>
    <w:multiLevelType w:val="hybridMultilevel"/>
    <w:tmpl w:val="B1B64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D654E00"/>
    <w:multiLevelType w:val="hybridMultilevel"/>
    <w:tmpl w:val="3FE8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0"/>
  </w:num>
  <w:num w:numId="6">
    <w:abstractNumId w:val="7"/>
  </w:num>
  <w:num w:numId="7">
    <w:abstractNumId w:val="12"/>
  </w:num>
  <w:num w:numId="8">
    <w:abstractNumId w:val="14"/>
  </w:num>
  <w:num w:numId="9">
    <w:abstractNumId w:val="15"/>
  </w:num>
  <w:num w:numId="10">
    <w:abstractNumId w:val="10"/>
  </w:num>
  <w:num w:numId="11">
    <w:abstractNumId w:val="16"/>
  </w:num>
  <w:num w:numId="12">
    <w:abstractNumId w:val="13"/>
  </w:num>
  <w:num w:numId="13">
    <w:abstractNumId w:val="1"/>
  </w:num>
  <w:num w:numId="14">
    <w:abstractNumId w:val="9"/>
  </w:num>
  <w:num w:numId="15">
    <w:abstractNumId w:val="5"/>
  </w:num>
  <w:num w:numId="16">
    <w:abstractNumId w:val="6"/>
  </w:num>
  <w:num w:numId="17">
    <w:abstractNumId w:val="17"/>
  </w:num>
  <w:num w:numId="18">
    <w:abstractNumId w:val="8"/>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assification" w:val="For Official Use"/>
    <w:docVar w:name="Cote" w:val="TUAC"/>
    <w:docVar w:name="DocumentStyle" w:val="Standard OECD document"/>
    <w:docVar w:name="IsPublication" w:val="0"/>
    <w:docVar w:name="Language" w:val="English"/>
    <w:docVar w:name="PGLANDSCAPE" w:val="0"/>
  </w:docVars>
  <w:rsids>
    <w:rsidRoot w:val="008E7283"/>
    <w:rsid w:val="00004400"/>
    <w:rsid w:val="0000483B"/>
    <w:rsid w:val="00006091"/>
    <w:rsid w:val="00014174"/>
    <w:rsid w:val="00016F8E"/>
    <w:rsid w:val="0001711C"/>
    <w:rsid w:val="000256EE"/>
    <w:rsid w:val="00043CA4"/>
    <w:rsid w:val="00063D5E"/>
    <w:rsid w:val="00063F69"/>
    <w:rsid w:val="00070373"/>
    <w:rsid w:val="000808D1"/>
    <w:rsid w:val="00093176"/>
    <w:rsid w:val="00093D87"/>
    <w:rsid w:val="000C510F"/>
    <w:rsid w:val="000D45B5"/>
    <w:rsid w:val="000D6EC7"/>
    <w:rsid w:val="000E5CEA"/>
    <w:rsid w:val="00111870"/>
    <w:rsid w:val="001121C9"/>
    <w:rsid w:val="00115465"/>
    <w:rsid w:val="00176DC5"/>
    <w:rsid w:val="00177100"/>
    <w:rsid w:val="00193C26"/>
    <w:rsid w:val="00194F88"/>
    <w:rsid w:val="001A217C"/>
    <w:rsid w:val="001B22DF"/>
    <w:rsid w:val="001E3E8F"/>
    <w:rsid w:val="001E59C5"/>
    <w:rsid w:val="00204FE3"/>
    <w:rsid w:val="00267A02"/>
    <w:rsid w:val="002B03ED"/>
    <w:rsid w:val="002D3C54"/>
    <w:rsid w:val="002E0057"/>
    <w:rsid w:val="002E0169"/>
    <w:rsid w:val="002E6F7E"/>
    <w:rsid w:val="00305803"/>
    <w:rsid w:val="00327D7B"/>
    <w:rsid w:val="00334D78"/>
    <w:rsid w:val="00351E5B"/>
    <w:rsid w:val="00376B9C"/>
    <w:rsid w:val="003A5984"/>
    <w:rsid w:val="003B4475"/>
    <w:rsid w:val="003B570D"/>
    <w:rsid w:val="003C269E"/>
    <w:rsid w:val="003D16E5"/>
    <w:rsid w:val="003D1749"/>
    <w:rsid w:val="003D334F"/>
    <w:rsid w:val="004356CB"/>
    <w:rsid w:val="00444086"/>
    <w:rsid w:val="004557A0"/>
    <w:rsid w:val="004C34F6"/>
    <w:rsid w:val="004D295F"/>
    <w:rsid w:val="0050463E"/>
    <w:rsid w:val="005206D2"/>
    <w:rsid w:val="00524030"/>
    <w:rsid w:val="005444C2"/>
    <w:rsid w:val="00571B94"/>
    <w:rsid w:val="00577F00"/>
    <w:rsid w:val="0058623B"/>
    <w:rsid w:val="00590C6D"/>
    <w:rsid w:val="005973F9"/>
    <w:rsid w:val="005B6A6D"/>
    <w:rsid w:val="005C49C6"/>
    <w:rsid w:val="005C5118"/>
    <w:rsid w:val="005F1EC1"/>
    <w:rsid w:val="00605092"/>
    <w:rsid w:val="00631DC1"/>
    <w:rsid w:val="00642D9E"/>
    <w:rsid w:val="00646695"/>
    <w:rsid w:val="006568F7"/>
    <w:rsid w:val="00657257"/>
    <w:rsid w:val="00670C07"/>
    <w:rsid w:val="00673D5A"/>
    <w:rsid w:val="006757C6"/>
    <w:rsid w:val="006839EA"/>
    <w:rsid w:val="00684D7D"/>
    <w:rsid w:val="0069107D"/>
    <w:rsid w:val="006C1426"/>
    <w:rsid w:val="00715594"/>
    <w:rsid w:val="0072242D"/>
    <w:rsid w:val="00740B7B"/>
    <w:rsid w:val="0074715E"/>
    <w:rsid w:val="0076049F"/>
    <w:rsid w:val="00761226"/>
    <w:rsid w:val="00762443"/>
    <w:rsid w:val="00773760"/>
    <w:rsid w:val="007A2600"/>
    <w:rsid w:val="007D4069"/>
    <w:rsid w:val="007F4AD0"/>
    <w:rsid w:val="007F64D4"/>
    <w:rsid w:val="00805C60"/>
    <w:rsid w:val="00843214"/>
    <w:rsid w:val="00865E01"/>
    <w:rsid w:val="0086659D"/>
    <w:rsid w:val="00886956"/>
    <w:rsid w:val="008B35BE"/>
    <w:rsid w:val="008D13D1"/>
    <w:rsid w:val="008D619D"/>
    <w:rsid w:val="008E7283"/>
    <w:rsid w:val="008F1A8D"/>
    <w:rsid w:val="008F2726"/>
    <w:rsid w:val="00913B0C"/>
    <w:rsid w:val="00915CFF"/>
    <w:rsid w:val="009233EC"/>
    <w:rsid w:val="00931CB0"/>
    <w:rsid w:val="009336E4"/>
    <w:rsid w:val="00947044"/>
    <w:rsid w:val="009677C6"/>
    <w:rsid w:val="00983A40"/>
    <w:rsid w:val="00986235"/>
    <w:rsid w:val="009A1734"/>
    <w:rsid w:val="009A68E7"/>
    <w:rsid w:val="009D36E3"/>
    <w:rsid w:val="009E7C9A"/>
    <w:rsid w:val="009F03C4"/>
    <w:rsid w:val="00A038D3"/>
    <w:rsid w:val="00A0560C"/>
    <w:rsid w:val="00A139EE"/>
    <w:rsid w:val="00A34489"/>
    <w:rsid w:val="00A4056E"/>
    <w:rsid w:val="00A856AF"/>
    <w:rsid w:val="00A95A8B"/>
    <w:rsid w:val="00AE02D6"/>
    <w:rsid w:val="00AE4467"/>
    <w:rsid w:val="00B06C01"/>
    <w:rsid w:val="00B124A8"/>
    <w:rsid w:val="00B140CF"/>
    <w:rsid w:val="00B233EA"/>
    <w:rsid w:val="00B24AFA"/>
    <w:rsid w:val="00B505C1"/>
    <w:rsid w:val="00B60904"/>
    <w:rsid w:val="00B702A1"/>
    <w:rsid w:val="00B7202B"/>
    <w:rsid w:val="00B738A9"/>
    <w:rsid w:val="00B81EC9"/>
    <w:rsid w:val="00B83B27"/>
    <w:rsid w:val="00B90529"/>
    <w:rsid w:val="00BB4ED6"/>
    <w:rsid w:val="00BC783F"/>
    <w:rsid w:val="00C35B51"/>
    <w:rsid w:val="00CB57E2"/>
    <w:rsid w:val="00CD07E8"/>
    <w:rsid w:val="00CD6DD1"/>
    <w:rsid w:val="00D0412D"/>
    <w:rsid w:val="00D1602F"/>
    <w:rsid w:val="00D44608"/>
    <w:rsid w:val="00D57324"/>
    <w:rsid w:val="00D65CC8"/>
    <w:rsid w:val="00D72891"/>
    <w:rsid w:val="00D8143E"/>
    <w:rsid w:val="00D81FB1"/>
    <w:rsid w:val="00D841BD"/>
    <w:rsid w:val="00DA4981"/>
    <w:rsid w:val="00DB0D58"/>
    <w:rsid w:val="00DB3AEF"/>
    <w:rsid w:val="00DB74AA"/>
    <w:rsid w:val="00DC199D"/>
    <w:rsid w:val="00DC5B02"/>
    <w:rsid w:val="00DF1D7A"/>
    <w:rsid w:val="00E2677A"/>
    <w:rsid w:val="00E4164C"/>
    <w:rsid w:val="00E43EDC"/>
    <w:rsid w:val="00E54629"/>
    <w:rsid w:val="00E56099"/>
    <w:rsid w:val="00E66617"/>
    <w:rsid w:val="00E7414A"/>
    <w:rsid w:val="00E82158"/>
    <w:rsid w:val="00EF4463"/>
    <w:rsid w:val="00EF7788"/>
    <w:rsid w:val="00F02561"/>
    <w:rsid w:val="00F12943"/>
    <w:rsid w:val="00F13694"/>
    <w:rsid w:val="00F40184"/>
    <w:rsid w:val="00F7095A"/>
    <w:rsid w:val="00F71691"/>
    <w:rsid w:val="00FA1483"/>
    <w:rsid w:val="00FA65EE"/>
    <w:rsid w:val="00FB495B"/>
    <w:rsid w:val="00FB6215"/>
    <w:rsid w:val="00FC4CA2"/>
    <w:rsid w:val="00FC5E14"/>
    <w:rsid w:val="00FD3FC9"/>
    <w:rsid w:val="00FD55A5"/>
    <w:rsid w:val="00FE0837"/>
    <w:rsid w:val="00FE5B73"/>
    <w:rsid w:val="00FE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36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E7283"/>
    <w:rPr>
      <w:rFonts w:eastAsiaTheme="minorHAnsi" w:cstheme="minorBidi"/>
      <w:sz w:val="24"/>
      <w:szCs w:val="22"/>
      <w:lang w:val="en-GB"/>
    </w:rPr>
  </w:style>
  <w:style w:type="paragraph" w:styleId="Heading1">
    <w:name w:val="heading 1"/>
    <w:basedOn w:val="Normal"/>
    <w:next w:val="Num-DocParagraph"/>
    <w:link w:val="Heading1Char"/>
    <w:uiPriority w:val="9"/>
    <w:qFormat/>
    <w:pPr>
      <w:keepNext/>
      <w:spacing w:before="1200" w:after="720"/>
      <w:jc w:val="center"/>
      <w:outlineLvl w:val="0"/>
    </w:pPr>
    <w:rPr>
      <w:b/>
      <w:bCs/>
      <w:caps/>
      <w:kern w:val="28"/>
    </w:rPr>
  </w:style>
  <w:style w:type="paragraph" w:styleId="Heading2">
    <w:name w:val="heading 2"/>
    <w:basedOn w:val="Normal"/>
    <w:next w:val="Num-DocParagraph"/>
    <w:link w:val="Heading2Char"/>
    <w:uiPriority w:val="9"/>
    <w:qFormat/>
    <w:pPr>
      <w:keepNext/>
      <w:spacing w:before="240" w:after="240"/>
      <w:outlineLvl w:val="1"/>
    </w:pPr>
    <w:rPr>
      <w:b/>
      <w:bCs/>
    </w:rPr>
  </w:style>
  <w:style w:type="paragraph" w:styleId="Heading3">
    <w:name w:val="heading 3"/>
    <w:basedOn w:val="Normal"/>
    <w:next w:val="Num-DocParagraph"/>
    <w:qFormat/>
    <w:pPr>
      <w:keepNext/>
      <w:spacing w:before="240" w:after="240"/>
      <w:outlineLvl w:val="2"/>
    </w:pPr>
    <w:rPr>
      <w:b/>
      <w:bCs/>
      <w:i/>
      <w:iCs/>
    </w:rPr>
  </w:style>
  <w:style w:type="paragraph" w:styleId="Heading4">
    <w:name w:val="heading 4"/>
    <w:basedOn w:val="Normal"/>
    <w:next w:val="Num-DocParagraph"/>
    <w:qFormat/>
    <w:pPr>
      <w:keepNext/>
      <w:spacing w:before="240" w:after="240"/>
      <w:outlineLvl w:val="3"/>
    </w:pPr>
    <w:rPr>
      <w:i/>
      <w:iCs/>
    </w:rPr>
  </w:style>
  <w:style w:type="paragraph" w:styleId="Heading5">
    <w:name w:val="heading 5"/>
    <w:basedOn w:val="Normal"/>
    <w:next w:val="Num-DocParagraph"/>
    <w:qFormat/>
    <w:pPr>
      <w:spacing w:before="240" w:after="240"/>
      <w:outlineLvl w:val="4"/>
    </w:p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bCs/>
      <w:caps/>
    </w:rPr>
  </w:style>
  <w:style w:type="paragraph" w:styleId="BodyText">
    <w:name w:val="Body Text"/>
    <w:basedOn w:val="Normal"/>
    <w:pPr>
      <w:spacing w:after="240"/>
      <w:ind w:firstLine="442"/>
    </w:pPr>
  </w:style>
  <w:style w:type="paragraph" w:customStyle="1" w:styleId="Annotation">
    <w:name w:val="Annotation"/>
    <w:basedOn w:val="BodyText"/>
    <w:pPr>
      <w:ind w:firstLine="0"/>
    </w:pPr>
    <w:rPr>
      <w:b/>
      <w:bCs/>
      <w:i/>
      <w:iCs/>
    </w:rPr>
  </w:style>
  <w:style w:type="paragraph" w:customStyle="1" w:styleId="AppendixHeading">
    <w:name w:val="Appendix Heading"/>
    <w:basedOn w:val="Normal"/>
    <w:next w:val="BodyText"/>
    <w:pPr>
      <w:keepNext/>
      <w:spacing w:before="1200" w:after="720"/>
      <w:jc w:val="center"/>
    </w:pPr>
    <w:rPr>
      <w:b/>
      <w:bCs/>
      <w:caps/>
    </w:rPr>
  </w:style>
  <w:style w:type="paragraph" w:customStyle="1" w:styleId="Biblio-Entry">
    <w:name w:val="Biblio-Entry"/>
    <w:basedOn w:val="BodyText"/>
    <w:pPr>
      <w:ind w:left="567" w:hanging="567"/>
    </w:pPr>
  </w:style>
  <w:style w:type="paragraph" w:customStyle="1" w:styleId="BibliographyHeading">
    <w:name w:val="Bibliography Heading"/>
    <w:basedOn w:val="Normal"/>
    <w:next w:val="Biblio-Entry"/>
    <w:pPr>
      <w:keepNext/>
      <w:spacing w:before="1200" w:after="720"/>
      <w:jc w:val="center"/>
    </w:pPr>
    <w:rPr>
      <w:b/>
      <w:bCs/>
      <w:caps/>
    </w:rPr>
  </w:style>
  <w:style w:type="paragraph" w:customStyle="1" w:styleId="BoxHeading">
    <w:name w:val="Box Heading"/>
    <w:basedOn w:val="Normal"/>
    <w:next w:val="BoxBodyText"/>
    <w:pPr>
      <w:spacing w:before="240" w:after="240"/>
      <w:jc w:val="center"/>
    </w:pPr>
    <w:rPr>
      <w:rFonts w:ascii="Arial" w:hAnsi="Arial" w:cs="Arial"/>
      <w:b/>
      <w:bCs/>
      <w:sz w:val="18"/>
    </w:rPr>
  </w:style>
  <w:style w:type="paragraph" w:customStyle="1" w:styleId="Cell">
    <w:name w:val="Cell"/>
    <w:basedOn w:val="Normal"/>
    <w:rPr>
      <w:rFonts w:ascii="Arial" w:hAnsi="Arial" w:cs="Arial"/>
      <w:sz w:val="18"/>
      <w:szCs w:val="18"/>
    </w:rPr>
  </w:style>
  <w:style w:type="paragraph" w:customStyle="1" w:styleId="ColumnsHeading">
    <w:name w:val="Columns Heading"/>
    <w:basedOn w:val="Normal"/>
    <w:pPr>
      <w:jc w:val="center"/>
    </w:pPr>
    <w:rPr>
      <w:rFonts w:ascii="Arial" w:hAnsi="Arial" w:cs="Arial"/>
      <w:sz w:val="18"/>
      <w:szCs w:val="18"/>
    </w:rPr>
  </w:style>
  <w:style w:type="paragraph" w:customStyle="1" w:styleId="ConclusionHeading">
    <w:name w:val="Conclusion Heading"/>
    <w:basedOn w:val="Normal"/>
    <w:next w:val="BodyText"/>
    <w:pPr>
      <w:keepNext/>
      <w:spacing w:before="1200" w:after="720"/>
      <w:jc w:val="center"/>
    </w:pPr>
    <w:rPr>
      <w:b/>
      <w:bCs/>
      <w:caps/>
    </w:rPr>
  </w:style>
  <w:style w:type="paragraph" w:customStyle="1" w:styleId="DefinitionList">
    <w:name w:val="Definition List"/>
    <w:basedOn w:val="BodyText"/>
    <w:pPr>
      <w:ind w:left="1984" w:hanging="1984"/>
      <w:jc w:val="center"/>
    </w:pPr>
  </w:style>
  <w:style w:type="paragraph" w:styleId="EndnoteText">
    <w:name w:val="endnote text"/>
    <w:basedOn w:val="Normal"/>
    <w:semiHidden/>
    <w:pPr>
      <w:spacing w:after="240"/>
      <w:ind w:left="850" w:hanging="850"/>
    </w:pPr>
    <w:rPr>
      <w:sz w:val="20"/>
      <w:szCs w:val="20"/>
    </w:rPr>
  </w:style>
  <w:style w:type="paragraph" w:customStyle="1" w:styleId="EndnotesHeading">
    <w:name w:val="Endnotes Heading"/>
    <w:basedOn w:val="Normal"/>
    <w:next w:val="BodyText"/>
    <w:pPr>
      <w:keepNext/>
      <w:spacing w:before="1200" w:after="480"/>
      <w:jc w:val="center"/>
    </w:pPr>
    <w:rPr>
      <w:b/>
      <w:bCs/>
      <w:caps/>
    </w:rPr>
  </w:style>
  <w:style w:type="paragraph" w:customStyle="1" w:styleId="ExecutiveSummaryHeading">
    <w:name w:val="Executive Summary Heading"/>
    <w:basedOn w:val="Normal"/>
    <w:next w:val="BodyText"/>
    <w:pPr>
      <w:keepNext/>
      <w:spacing w:before="1200" w:after="720"/>
      <w:jc w:val="center"/>
    </w:pPr>
    <w:rPr>
      <w:b/>
      <w:bCs/>
      <w:caps/>
    </w:rPr>
  </w:style>
  <w:style w:type="paragraph" w:customStyle="1" w:styleId="FigureNote">
    <w:name w:val="Figure Note"/>
    <w:basedOn w:val="Normal"/>
    <w:pPr>
      <w:spacing w:after="120"/>
    </w:pPr>
    <w:rPr>
      <w:rFonts w:ascii="Arial" w:hAnsi="Arial" w:cs="Arial"/>
      <w:sz w:val="16"/>
      <w:szCs w:val="18"/>
    </w:rPr>
  </w:style>
  <w:style w:type="paragraph" w:customStyle="1" w:styleId="FigureSub-title">
    <w:name w:val="Figure Sub-title"/>
    <w:basedOn w:val="Normal"/>
    <w:pPr>
      <w:keepNext/>
      <w:spacing w:after="120"/>
      <w:jc w:val="center"/>
    </w:pPr>
    <w:rPr>
      <w:rFonts w:ascii="Arial" w:hAnsi="Arial" w:cs="Arial"/>
      <w:sz w:val="18"/>
    </w:rPr>
  </w:style>
  <w:style w:type="paragraph" w:customStyle="1" w:styleId="FigureTitle">
    <w:name w:val="Figure Title"/>
    <w:basedOn w:val="Normal"/>
    <w:next w:val="FigureSub-title"/>
    <w:pPr>
      <w:keepNext/>
      <w:spacing w:after="240"/>
      <w:jc w:val="center"/>
    </w:pPr>
    <w:rPr>
      <w:rFonts w:ascii="Arial" w:hAnsi="Arial" w:cs="Arial"/>
      <w:b/>
      <w:bCs/>
      <w:sz w:val="18"/>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ind w:left="850" w:hanging="850"/>
    </w:pPr>
    <w:rPr>
      <w:sz w:val="20"/>
      <w:szCs w:val="20"/>
    </w:rPr>
  </w:style>
  <w:style w:type="paragraph" w:customStyle="1" w:styleId="ForewordHeading">
    <w:name w:val="Foreword Heading"/>
    <w:basedOn w:val="Normal"/>
    <w:next w:val="BodyText"/>
    <w:pPr>
      <w:keepNext/>
      <w:spacing w:before="1200" w:after="720"/>
      <w:jc w:val="center"/>
    </w:pPr>
    <w:rPr>
      <w:b/>
      <w:bCs/>
      <w:caps/>
    </w:rPr>
  </w:style>
  <w:style w:type="paragraph" w:customStyle="1" w:styleId="GlossaryHeading">
    <w:name w:val="Glossary Heading"/>
    <w:basedOn w:val="Normal"/>
    <w:next w:val="BodyText"/>
    <w:pPr>
      <w:keepNext/>
      <w:spacing w:before="1200" w:after="720"/>
      <w:jc w:val="center"/>
    </w:pPr>
    <w:rPr>
      <w:b/>
      <w:bCs/>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ind w:left="442" w:firstLine="0"/>
    </w:pPr>
    <w:rPr>
      <w:sz w:val="2"/>
      <w:szCs w:val="2"/>
    </w:rPr>
  </w:style>
  <w:style w:type="paragraph" w:customStyle="1" w:styleId="Highlight">
    <w:name w:val="Highlight"/>
    <w:basedOn w:val="BodyText"/>
    <w:pPr>
      <w:ind w:left="442" w:firstLine="0"/>
    </w:pPr>
    <w:rPr>
      <w:i/>
      <w:iCs/>
    </w:rPr>
  </w:style>
  <w:style w:type="paragraph" w:customStyle="1" w:styleId="HighlightHeading">
    <w:name w:val="Highlight Heading"/>
    <w:basedOn w:val="Normal"/>
    <w:next w:val="BodyText"/>
    <w:pPr>
      <w:keepNext/>
      <w:spacing w:before="1200" w:after="720"/>
      <w:jc w:val="center"/>
    </w:pPr>
    <w:rPr>
      <w:b/>
      <w:bCs/>
      <w:caps/>
    </w:rPr>
  </w:style>
  <w:style w:type="paragraph" w:styleId="Index1">
    <w:name w:val="index 1"/>
    <w:basedOn w:val="Normal"/>
    <w:next w:val="Normal"/>
    <w:semiHidden/>
    <w:pPr>
      <w:ind w:left="220" w:hanging="220"/>
    </w:pPr>
  </w:style>
  <w:style w:type="paragraph" w:styleId="IndexHeading">
    <w:name w:val="index heading"/>
    <w:basedOn w:val="Normal"/>
    <w:next w:val="BodyText"/>
    <w:semiHidden/>
    <w:pPr>
      <w:keepNext/>
      <w:spacing w:before="1200" w:after="720"/>
      <w:jc w:val="center"/>
    </w:pPr>
    <w:rPr>
      <w:b/>
      <w:bCs/>
      <w:caps/>
    </w:rPr>
  </w:style>
  <w:style w:type="paragraph" w:customStyle="1" w:styleId="IntroductionHeading">
    <w:name w:val="Introduction Heading"/>
    <w:basedOn w:val="Normal"/>
    <w:next w:val="BodyText"/>
    <w:pPr>
      <w:keepNext/>
      <w:spacing w:before="1200" w:after="720"/>
      <w:jc w:val="center"/>
    </w:pPr>
    <w:rPr>
      <w:b/>
      <w:bCs/>
      <w:caps/>
    </w:rPr>
  </w:style>
  <w:style w:type="paragraph" w:styleId="List">
    <w:name w:val="List"/>
    <w:basedOn w:val="Normal"/>
    <w:pPr>
      <w:spacing w:after="240"/>
      <w:ind w:left="850" w:hanging="283"/>
    </w:pPr>
  </w:style>
  <w:style w:type="paragraph" w:styleId="List2">
    <w:name w:val="List 2"/>
    <w:basedOn w:val="Normal"/>
    <w:pPr>
      <w:spacing w:after="240"/>
      <w:ind w:left="1134" w:hanging="283"/>
    </w:pPr>
  </w:style>
  <w:style w:type="paragraph" w:styleId="List3">
    <w:name w:val="List 3"/>
    <w:basedOn w:val="Normal"/>
    <w:pPr>
      <w:spacing w:after="240"/>
      <w:ind w:left="1417" w:hanging="283"/>
    </w:pPr>
  </w:style>
  <w:style w:type="paragraph" w:styleId="List4">
    <w:name w:val="List 4"/>
    <w:basedOn w:val="Normal"/>
    <w:pPr>
      <w:spacing w:after="240"/>
      <w:ind w:left="1701" w:hanging="283"/>
    </w:pPr>
  </w:style>
  <w:style w:type="paragraph" w:styleId="List5">
    <w:name w:val="List 5"/>
    <w:basedOn w:val="Normal"/>
    <w:pPr>
      <w:spacing w:after="240"/>
      <w:ind w:left="1984" w:hanging="283"/>
    </w:pPr>
  </w:style>
  <w:style w:type="paragraph" w:styleId="ListBullet">
    <w:name w:val="List Bullet"/>
    <w:basedOn w:val="Normal"/>
    <w:pPr>
      <w:numPr>
        <w:numId w:val="5"/>
      </w:numPr>
      <w:spacing w:after="240"/>
    </w:pPr>
  </w:style>
  <w:style w:type="paragraph" w:styleId="ListBullet2">
    <w:name w:val="List Bullet 2"/>
    <w:basedOn w:val="Normal"/>
    <w:pPr>
      <w:numPr>
        <w:numId w:val="6"/>
      </w:numPr>
      <w:spacing w:after="240"/>
    </w:pPr>
  </w:style>
  <w:style w:type="paragraph" w:styleId="ListBullet3">
    <w:name w:val="List Bullet 3"/>
    <w:basedOn w:val="Normal"/>
    <w:pPr>
      <w:numPr>
        <w:numId w:val="7"/>
      </w:numPr>
      <w:spacing w:after="240"/>
    </w:pPr>
  </w:style>
  <w:style w:type="paragraph" w:styleId="ListBullet4">
    <w:name w:val="List Bullet 4"/>
    <w:basedOn w:val="Normal"/>
    <w:pPr>
      <w:numPr>
        <w:numId w:val="8"/>
      </w:numPr>
      <w:spacing w:after="240"/>
    </w:pPr>
  </w:style>
  <w:style w:type="paragraph" w:styleId="ListBullet5">
    <w:name w:val="List Bullet 5"/>
    <w:basedOn w:val="Normal"/>
    <w:pPr>
      <w:numPr>
        <w:numId w:val="9"/>
      </w:numPr>
      <w:spacing w:after="240"/>
    </w:pPr>
  </w:style>
  <w:style w:type="paragraph" w:styleId="ListContinue">
    <w:name w:val="List Continue"/>
    <w:basedOn w:val="Normal"/>
    <w:pPr>
      <w:spacing w:after="240"/>
      <w:ind w:left="850"/>
    </w:pPr>
  </w:style>
  <w:style w:type="paragraph" w:styleId="ListContinue2">
    <w:name w:val="List Continue 2"/>
    <w:basedOn w:val="Normal"/>
    <w:pPr>
      <w:spacing w:after="240"/>
      <w:ind w:left="1191"/>
    </w:pPr>
  </w:style>
  <w:style w:type="paragraph" w:styleId="ListContinue3">
    <w:name w:val="List Continue 3"/>
    <w:basedOn w:val="Normal"/>
    <w:pPr>
      <w:spacing w:after="240"/>
      <w:ind w:left="1474"/>
    </w:pPr>
  </w:style>
  <w:style w:type="paragraph" w:styleId="ListContinue4">
    <w:name w:val="List Continue 4"/>
    <w:basedOn w:val="Normal"/>
    <w:pPr>
      <w:spacing w:after="240"/>
      <w:ind w:left="1757"/>
    </w:pPr>
  </w:style>
  <w:style w:type="paragraph" w:styleId="ListContinue5">
    <w:name w:val="List Continue 5"/>
    <w:basedOn w:val="Normal"/>
    <w:pPr>
      <w:spacing w:after="240"/>
      <w:ind w:left="2041"/>
    </w:pPr>
  </w:style>
  <w:style w:type="paragraph" w:styleId="ListNumber">
    <w:name w:val="List Number"/>
    <w:basedOn w:val="Normal"/>
    <w:pPr>
      <w:numPr>
        <w:numId w:val="10"/>
      </w:numPr>
      <w:tabs>
        <w:tab w:val="left" w:pos="1134"/>
      </w:tabs>
      <w:spacing w:after="240"/>
    </w:pPr>
  </w:style>
  <w:style w:type="paragraph" w:styleId="ListNumber2">
    <w:name w:val="List Number 2"/>
    <w:basedOn w:val="Normal"/>
    <w:pPr>
      <w:numPr>
        <w:ilvl w:val="1"/>
        <w:numId w:val="10"/>
      </w:numPr>
      <w:tabs>
        <w:tab w:val="left" w:pos="1417"/>
      </w:tabs>
      <w:spacing w:after="240"/>
    </w:pPr>
  </w:style>
  <w:style w:type="paragraph" w:styleId="ListNumber3">
    <w:name w:val="List Number 3"/>
    <w:basedOn w:val="Normal"/>
    <w:pPr>
      <w:numPr>
        <w:ilvl w:val="2"/>
        <w:numId w:val="10"/>
      </w:numPr>
      <w:tabs>
        <w:tab w:val="left" w:pos="1701"/>
      </w:tabs>
      <w:spacing w:after="240"/>
    </w:pPr>
  </w:style>
  <w:style w:type="paragraph" w:styleId="ListNumber4">
    <w:name w:val="List Number 4"/>
    <w:basedOn w:val="Normal"/>
    <w:pPr>
      <w:numPr>
        <w:ilvl w:val="3"/>
        <w:numId w:val="10"/>
      </w:numPr>
      <w:tabs>
        <w:tab w:val="left" w:pos="1984"/>
      </w:tabs>
      <w:spacing w:after="240"/>
    </w:pPr>
  </w:style>
  <w:style w:type="paragraph" w:styleId="ListNumber5">
    <w:name w:val="List Number 5"/>
    <w:basedOn w:val="Normal"/>
    <w:pPr>
      <w:numPr>
        <w:ilvl w:val="4"/>
        <w:numId w:val="10"/>
      </w:numPr>
      <w:tabs>
        <w:tab w:val="left" w:pos="2268"/>
      </w:tabs>
      <w:spacing w:after="240"/>
    </w:pPr>
  </w:style>
  <w:style w:type="paragraph" w:customStyle="1" w:styleId="Num-ChapParagraph">
    <w:name w:val="Num-Chap Paragraph"/>
    <w:basedOn w:val="BodyText"/>
    <w:pPr>
      <w:ind w:firstLine="0"/>
    </w:pPr>
  </w:style>
  <w:style w:type="paragraph" w:customStyle="1" w:styleId="Num-DocParagraph">
    <w:name w:val="Num-Doc Paragraph"/>
    <w:basedOn w:val="BodyText"/>
    <w:pPr>
      <w:ind w:firstLine="0"/>
    </w:pPr>
  </w:style>
  <w:style w:type="paragraph" w:customStyle="1" w:styleId="PartHeading">
    <w:name w:val="Part Heading"/>
    <w:basedOn w:val="Normal"/>
    <w:next w:val="BodyText"/>
    <w:pPr>
      <w:keepNext/>
      <w:spacing w:before="1200" w:after="720"/>
      <w:jc w:val="center"/>
    </w:pPr>
    <w:rPr>
      <w:b/>
      <w:bCs/>
      <w:caps/>
    </w:rPr>
  </w:style>
  <w:style w:type="paragraph" w:customStyle="1" w:styleId="RowsHeading">
    <w:name w:val="Rows Heading"/>
    <w:basedOn w:val="Normal"/>
    <w:rPr>
      <w:rFonts w:ascii="Arial" w:hAnsi="Arial" w:cs="Arial"/>
      <w:sz w:val="18"/>
      <w:szCs w:val="18"/>
    </w:rPr>
  </w:style>
  <w:style w:type="paragraph" w:customStyle="1" w:styleId="SourceDescription">
    <w:name w:val="Source Description"/>
    <w:basedOn w:val="Normal"/>
    <w:next w:val="BodyText"/>
    <w:pPr>
      <w:spacing w:after="360"/>
    </w:pPr>
    <w:rPr>
      <w:rFonts w:ascii="Arial" w:hAnsi="Arial" w:cs="Arial"/>
      <w:sz w:val="16"/>
      <w:szCs w:val="18"/>
    </w:rPr>
  </w:style>
  <w:style w:type="paragraph" w:customStyle="1" w:styleId="SubHeading">
    <w:name w:val="SubHeading"/>
    <w:basedOn w:val="BodyText"/>
    <w:pPr>
      <w:ind w:left="442" w:firstLine="0"/>
    </w:pPr>
    <w:rPr>
      <w:i/>
      <w:iCs/>
    </w:rPr>
  </w:style>
  <w:style w:type="paragraph" w:customStyle="1" w:styleId="SummaryHeading">
    <w:name w:val="Summary Heading"/>
    <w:basedOn w:val="Normal"/>
    <w:next w:val="BodyText"/>
    <w:pPr>
      <w:keepNext/>
      <w:spacing w:before="1200" w:after="720"/>
      <w:jc w:val="center"/>
    </w:pPr>
    <w:rPr>
      <w:b/>
      <w:bCs/>
      <w:caps/>
    </w:rPr>
  </w:style>
  <w:style w:type="paragraph" w:customStyle="1" w:styleId="Table">
    <w:name w:val="Table"/>
    <w:basedOn w:val="Normal"/>
    <w:next w:val="BodyText"/>
    <w:pPr>
      <w:spacing w:after="240"/>
      <w:jc w:val="center"/>
    </w:pPr>
  </w:style>
  <w:style w:type="paragraph" w:customStyle="1" w:styleId="TableNote">
    <w:name w:val="Table Note"/>
    <w:basedOn w:val="Normal"/>
    <w:pPr>
      <w:spacing w:after="120"/>
    </w:pPr>
    <w:rPr>
      <w:rFonts w:ascii="Arial" w:hAnsi="Arial" w:cs="Arial"/>
      <w:sz w:val="16"/>
      <w:szCs w:val="18"/>
    </w:rPr>
  </w:style>
  <w:style w:type="paragraph" w:customStyle="1" w:styleId="TableofContentsHeading">
    <w:name w:val="Table of Contents Heading"/>
    <w:basedOn w:val="Normal"/>
    <w:next w:val="BodyText"/>
    <w:pPr>
      <w:keepNext/>
      <w:spacing w:before="1200" w:after="720"/>
      <w:jc w:val="center"/>
    </w:pPr>
    <w:rPr>
      <w:b/>
      <w:bCs/>
      <w:caps/>
    </w:rPr>
  </w:style>
  <w:style w:type="paragraph" w:customStyle="1" w:styleId="TableSub-title">
    <w:name w:val="Table Sub-title"/>
    <w:basedOn w:val="Normal"/>
    <w:pPr>
      <w:keepNext/>
      <w:spacing w:after="240"/>
      <w:jc w:val="center"/>
    </w:pPr>
    <w:rPr>
      <w:rFonts w:ascii="Arial" w:hAnsi="Arial" w:cs="Arial"/>
      <w:sz w:val="18"/>
    </w:rPr>
  </w:style>
  <w:style w:type="paragraph" w:customStyle="1" w:styleId="TableTitle">
    <w:name w:val="Table Title"/>
    <w:basedOn w:val="Normal"/>
    <w:pPr>
      <w:keepNext/>
      <w:spacing w:after="240"/>
      <w:jc w:val="center"/>
    </w:pPr>
    <w:rPr>
      <w:rFonts w:ascii="Arial" w:hAnsi="Arial" w:cs="Arial"/>
      <w:b/>
      <w:bCs/>
      <w:sz w:val="18"/>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OC1">
    <w:name w:val="toc 1"/>
    <w:basedOn w:val="Normal"/>
    <w:next w:val="Normal"/>
    <w:uiPriority w:val="39"/>
    <w:qFormat/>
    <w:pPr>
      <w:tabs>
        <w:tab w:val="right" w:leader="dot" w:pos="9468"/>
      </w:tabs>
      <w:spacing w:before="120" w:after="120"/>
    </w:pPr>
    <w:rPr>
      <w:caps/>
    </w:rPr>
  </w:style>
  <w:style w:type="paragraph" w:styleId="TOC2">
    <w:name w:val="toc 2"/>
    <w:basedOn w:val="Normal"/>
    <w:next w:val="Normal"/>
    <w:uiPriority w:val="39"/>
    <w:qFormat/>
    <w:pPr>
      <w:tabs>
        <w:tab w:val="right" w:leader="dot" w:pos="9468"/>
      </w:tabs>
      <w:ind w:left="198"/>
    </w:pPr>
  </w:style>
  <w:style w:type="paragraph" w:styleId="TOC3">
    <w:name w:val="toc 3"/>
    <w:basedOn w:val="Normal"/>
    <w:next w:val="Normal"/>
    <w:qFormat/>
    <w:pPr>
      <w:tabs>
        <w:tab w:val="right" w:leader="dot" w:pos="9468"/>
      </w:tabs>
      <w:ind w:left="397"/>
    </w:pPr>
  </w:style>
  <w:style w:type="paragraph" w:styleId="TOC4">
    <w:name w:val="toc 4"/>
    <w:basedOn w:val="Normal"/>
    <w:next w:val="Normal"/>
    <w:qFormat/>
    <w:pPr>
      <w:tabs>
        <w:tab w:val="right" w:leader="dot" w:pos="9468"/>
      </w:tabs>
      <w:ind w:left="595"/>
    </w:pPr>
    <w:rPr>
      <w:noProof/>
    </w:rPr>
  </w:style>
  <w:style w:type="paragraph" w:styleId="TOC5">
    <w:name w:val="toc 5"/>
    <w:basedOn w:val="Normal"/>
    <w:next w:val="Normal"/>
    <w:qFormat/>
    <w:pPr>
      <w:tabs>
        <w:tab w:val="right" w:leader="dot" w:pos="9468"/>
      </w:tabs>
      <w:ind w:left="794"/>
    </w:pPr>
    <w:rPr>
      <w:noProof/>
    </w:rPr>
  </w:style>
  <w:style w:type="paragraph" w:customStyle="1" w:styleId="IndexHeading1">
    <w:name w:val="Index Heading1"/>
    <w:basedOn w:val="Normal"/>
    <w:next w:val="BodyText"/>
    <w:pPr>
      <w:keepNext/>
      <w:spacing w:before="1200" w:after="720"/>
      <w:jc w:val="center"/>
    </w:pPr>
    <w:rPr>
      <w:b/>
      <w:caps/>
      <w:lang w:val="en-US"/>
    </w:rPr>
  </w:style>
  <w:style w:type="paragraph" w:styleId="BlockText">
    <w:name w:val="Block Text"/>
    <w:basedOn w:val="Normal"/>
    <w:pPr>
      <w:spacing w:after="120"/>
      <w:ind w:left="1440" w:right="1440"/>
    </w:pPr>
  </w:style>
  <w:style w:type="paragraph" w:styleId="TOC9">
    <w:name w:val="toc 9"/>
    <w:basedOn w:val="Normal"/>
    <w:next w:val="Normal"/>
    <w:qFormat/>
    <w:pPr>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pPr>
      <w:ind w:firstLine="0"/>
    </w:pPr>
    <w:rPr>
      <w:lang w:val="en-US"/>
    </w:rPr>
  </w:style>
  <w:style w:type="paragraph" w:customStyle="1" w:styleId="Chart">
    <w:name w:val="Chart"/>
    <w:basedOn w:val="Normal"/>
    <w:next w:val="BodyText"/>
    <w:pPr>
      <w:spacing w:after="240"/>
      <w:jc w:val="center"/>
    </w:pPr>
    <w:rPr>
      <w:lang w:val="en-US"/>
    </w:rPr>
  </w:style>
  <w:style w:type="paragraph" w:customStyle="1" w:styleId="ChartSub-title">
    <w:name w:val="Chart Sub-title"/>
    <w:basedOn w:val="Normal"/>
    <w:pPr>
      <w:keepNext/>
      <w:spacing w:after="120"/>
      <w:jc w:val="center"/>
    </w:pPr>
    <w:rPr>
      <w:rFonts w:ascii="Arial" w:hAnsi="Arial" w:cs="Arial"/>
      <w:sz w:val="18"/>
      <w:lang w:val="en-US"/>
    </w:rPr>
  </w:style>
  <w:style w:type="paragraph" w:customStyle="1" w:styleId="ChartTitle">
    <w:name w:val="Chart Title"/>
    <w:basedOn w:val="Normal"/>
    <w:next w:val="ChartSub-title"/>
    <w:pPr>
      <w:keepNext/>
      <w:spacing w:after="240"/>
      <w:jc w:val="center"/>
    </w:pPr>
    <w:rPr>
      <w:rFonts w:ascii="Arial" w:hAnsi="Arial" w:cs="Arial"/>
      <w:b/>
      <w:sz w:val="18"/>
      <w:lang w:val="en-US"/>
    </w:rPr>
  </w:style>
  <w:style w:type="paragraph" w:customStyle="1" w:styleId="ChartNote">
    <w:name w:val="Chart Note"/>
    <w:basedOn w:val="Normal"/>
    <w:pPr>
      <w:spacing w:after="120"/>
    </w:pPr>
    <w:rPr>
      <w:rFonts w:ascii="Arial" w:hAnsi="Arial" w:cs="Arial"/>
      <w:sz w:val="16"/>
      <w:lang w:val="en-US"/>
    </w:rPr>
  </w:style>
  <w:style w:type="paragraph" w:customStyle="1" w:styleId="BoxHeading2">
    <w:name w:val="Box Heading 2"/>
    <w:basedOn w:val="Normal"/>
    <w:next w:val="BoxBodyText"/>
    <w:pPr>
      <w:spacing w:before="240" w:after="240"/>
    </w:pPr>
    <w:rPr>
      <w:rFonts w:ascii="Arial" w:hAnsi="Arial" w:cs="Arial"/>
      <w:b/>
      <w:sz w:val="18"/>
      <w:lang w:val="en-US"/>
    </w:rPr>
  </w:style>
  <w:style w:type="paragraph" w:customStyle="1" w:styleId="BoxHeading3">
    <w:name w:val="Box Heading 3"/>
    <w:basedOn w:val="Normal"/>
    <w:next w:val="BoxBodyText"/>
    <w:pPr>
      <w:spacing w:before="240" w:after="240"/>
    </w:pPr>
    <w:rPr>
      <w:rFonts w:ascii="Arial" w:hAnsi="Arial" w:cs="Arial"/>
      <w:b/>
      <w:i/>
      <w:sz w:val="18"/>
      <w:lang w:val="en-US"/>
    </w:rPr>
  </w:style>
  <w:style w:type="paragraph" w:customStyle="1" w:styleId="BoxNote">
    <w:name w:val="Box Note"/>
    <w:basedOn w:val="Normal"/>
    <w:pPr>
      <w:tabs>
        <w:tab w:val="left" w:pos="340"/>
      </w:tabs>
      <w:spacing w:after="120"/>
    </w:pPr>
    <w:rPr>
      <w:rFonts w:ascii="Arial" w:hAnsi="Arial" w:cs="Arial"/>
      <w:sz w:val="18"/>
      <w:lang w:val="en-US"/>
    </w:rPr>
  </w:style>
  <w:style w:type="paragraph" w:customStyle="1" w:styleId="ListBulletBox">
    <w:name w:val="List Bullet Box"/>
    <w:basedOn w:val="Normal"/>
    <w:pPr>
      <w:numPr>
        <w:numId w:val="11"/>
      </w:numPr>
      <w:spacing w:after="240"/>
    </w:pPr>
    <w:rPr>
      <w:rFonts w:ascii="Arial" w:hAnsi="Arial" w:cs="Arial"/>
      <w:sz w:val="18"/>
      <w:lang w:val="en-US"/>
    </w:rPr>
  </w:style>
  <w:style w:type="paragraph" w:customStyle="1" w:styleId="ListBulletBox2">
    <w:name w:val="List Bullet Box 2"/>
    <w:basedOn w:val="Normal"/>
    <w:pPr>
      <w:numPr>
        <w:numId w:val="12"/>
      </w:numPr>
      <w:spacing w:after="240"/>
    </w:pPr>
    <w:rPr>
      <w:rFonts w:ascii="Arial" w:hAnsi="Arial" w:cs="Arial"/>
      <w:sz w:val="18"/>
      <w:lang w:val="en-US"/>
    </w:rPr>
  </w:style>
  <w:style w:type="paragraph" w:customStyle="1" w:styleId="ListBulletBox3">
    <w:name w:val="List Bullet Box 3"/>
    <w:basedOn w:val="Normal"/>
    <w:pPr>
      <w:numPr>
        <w:numId w:val="13"/>
      </w:numPr>
      <w:spacing w:after="240"/>
    </w:pPr>
    <w:rPr>
      <w:rFonts w:ascii="Arial" w:hAnsi="Arial" w:cs="Arial"/>
      <w:sz w:val="18"/>
      <w:lang w:val="en-US"/>
    </w:rPr>
  </w:style>
  <w:style w:type="paragraph" w:customStyle="1" w:styleId="ListNumberBox">
    <w:name w:val="List Number Box"/>
    <w:basedOn w:val="Normal"/>
    <w:pPr>
      <w:numPr>
        <w:numId w:val="14"/>
      </w:numPr>
      <w:tabs>
        <w:tab w:val="clear" w:pos="1950"/>
      </w:tabs>
      <w:spacing w:after="240"/>
      <w:ind w:left="850"/>
    </w:pPr>
    <w:rPr>
      <w:rFonts w:ascii="Arial" w:hAnsi="Arial" w:cs="Arial"/>
      <w:sz w:val="18"/>
      <w:lang w:val="en-US"/>
    </w:rPr>
  </w:style>
  <w:style w:type="paragraph" w:customStyle="1" w:styleId="ListNumberBox2">
    <w:name w:val="List Number Box 2"/>
    <w:basedOn w:val="Normal"/>
    <w:pPr>
      <w:numPr>
        <w:ilvl w:val="1"/>
        <w:numId w:val="14"/>
      </w:numPr>
      <w:tabs>
        <w:tab w:val="clear" w:pos="2291"/>
      </w:tabs>
      <w:spacing w:after="240"/>
      <w:ind w:left="1191" w:hanging="340"/>
    </w:pPr>
    <w:rPr>
      <w:rFonts w:ascii="Arial" w:hAnsi="Arial" w:cs="Arial"/>
      <w:sz w:val="18"/>
      <w:lang w:val="en-US"/>
    </w:rPr>
  </w:style>
  <w:style w:type="paragraph" w:customStyle="1" w:styleId="ListNumberBox3">
    <w:name w:val="List Number Box 3"/>
    <w:basedOn w:val="Normal"/>
    <w:pPr>
      <w:numPr>
        <w:ilvl w:val="2"/>
        <w:numId w:val="14"/>
      </w:numPr>
      <w:tabs>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pPr>
      <w:spacing w:after="240"/>
      <w:ind w:left="850"/>
    </w:pPr>
    <w:rPr>
      <w:rFonts w:ascii="Arial" w:hAnsi="Arial" w:cs="Arial"/>
      <w:sz w:val="18"/>
      <w:lang w:val="en-US"/>
    </w:rPr>
  </w:style>
  <w:style w:type="paragraph" w:customStyle="1" w:styleId="ListContinueBox2">
    <w:name w:val="List Continue Box 2"/>
    <w:basedOn w:val="Normal"/>
    <w:pPr>
      <w:spacing w:after="240"/>
      <w:ind w:left="1191"/>
    </w:pPr>
    <w:rPr>
      <w:rFonts w:ascii="Arial" w:hAnsi="Arial" w:cs="Arial"/>
      <w:sz w:val="18"/>
      <w:lang w:val="en-US"/>
    </w:rPr>
  </w:style>
  <w:style w:type="paragraph" w:customStyle="1" w:styleId="ListContinueBox3">
    <w:name w:val="List Continue Box 3"/>
    <w:basedOn w:val="Normal"/>
    <w:pPr>
      <w:spacing w:after="240"/>
      <w:ind w:left="1474"/>
    </w:pPr>
    <w:rPr>
      <w:rFonts w:ascii="Arial" w:hAnsi="Arial" w:cs="Arial"/>
      <w:sz w:val="18"/>
      <w:lang w:val="en-US"/>
    </w:rPr>
  </w:style>
  <w:style w:type="paragraph" w:customStyle="1" w:styleId="BoxSource">
    <w:name w:val="Box Source"/>
    <w:basedOn w:val="Normal"/>
    <w:next w:val="BodyText"/>
    <w:pPr>
      <w:spacing w:after="360"/>
    </w:pPr>
    <w:rPr>
      <w:rFonts w:ascii="Arial" w:hAnsi="Arial" w:cs="Arial"/>
      <w:sz w:val="16"/>
      <w:lang w:val="en-US"/>
    </w:rPr>
  </w:style>
  <w:style w:type="character" w:customStyle="1" w:styleId="Cote">
    <w:name w:val="Cote"/>
    <w:basedOn w:val="DefaultParagraphFont"/>
    <w:rPr>
      <w:caps/>
      <w:smallCaps w:val="0"/>
      <w:lang w:val="en-US"/>
    </w:rPr>
  </w:style>
  <w:style w:type="numbering" w:customStyle="1" w:styleId="NumberedNote">
    <w:name w:val="Numbered Note"/>
    <w:basedOn w:val="NoList"/>
    <w:pPr>
      <w:numPr>
        <w:numId w:val="1"/>
      </w:numPr>
    </w:pPr>
  </w:style>
  <w:style w:type="numbering" w:customStyle="1" w:styleId="BulletedNote">
    <w:name w:val="Bulleted Note"/>
    <w:basedOn w:val="NoList"/>
    <w:pPr>
      <w:numPr>
        <w:numId w:val="2"/>
      </w:numPr>
    </w:pPr>
  </w:style>
  <w:style w:type="numbering" w:customStyle="1" w:styleId="NumericNote">
    <w:name w:val="Numeric Note"/>
    <w:basedOn w:val="NoList"/>
    <w:pPr>
      <w:numPr>
        <w:numId w:val="3"/>
      </w:numPr>
    </w:pPr>
  </w:style>
  <w:style w:type="numbering" w:customStyle="1" w:styleId="AlphaNote">
    <w:name w:val="Alpha Note"/>
    <w:basedOn w:val="NoList"/>
    <w:pPr>
      <w:numPr>
        <w:numId w:val="4"/>
      </w:numPr>
    </w:pPr>
  </w:style>
  <w:style w:type="paragraph" w:customStyle="1" w:styleId="AcknowledgementHeading">
    <w:name w:val="Acknowledgement Heading"/>
    <w:basedOn w:val="Normal"/>
    <w:next w:val="BodyText"/>
    <w:pPr>
      <w:keepNext/>
      <w:spacing w:before="1200" w:after="720"/>
      <w:jc w:val="center"/>
    </w:pPr>
    <w:rPr>
      <w:b/>
      <w:caps/>
      <w:lang w:val="en-US"/>
    </w:rPr>
  </w:style>
  <w:style w:type="paragraph" w:styleId="EnvelopeAddress">
    <w:name w:val="envelope address"/>
    <w:basedOn w:val="Normal"/>
    <w:pPr>
      <w:framePr w:w="7938" w:h="1985" w:hRule="exact" w:hSpace="141" w:wrap="auto" w:hAnchor="page" w:xAlign="center" w:yAlign="bottom"/>
      <w:ind w:left="2835"/>
    </w:pPr>
    <w:rPr>
      <w:rFonts w:ascii="Arial" w:hAnsi="Arial" w:cs="Arial"/>
      <w:szCs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CommentText">
    <w:name w:val="annotation text"/>
    <w:basedOn w:val="Normal"/>
    <w:semiHidden/>
    <w:rPr>
      <w:sz w:val="20"/>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Header">
    <w:name w:val="header"/>
    <w:basedOn w:val="Normal"/>
    <w:pPr>
      <w:tabs>
        <w:tab w:val="center" w:pos="4536"/>
        <w:tab w:val="right" w:pos="9072"/>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Caption">
    <w:name w:val="caption"/>
    <w:basedOn w:val="Normal"/>
    <w:next w:val="Normal"/>
    <w:qFormat/>
    <w:pPr>
      <w:spacing w:before="120" w:after="120"/>
    </w:pPr>
    <w:rPr>
      <w:b/>
      <w:bCs/>
      <w:sz w:val="20"/>
      <w:szCs w:val="20"/>
    </w:rPr>
  </w:style>
  <w:style w:type="paragraph" w:styleId="NormalWeb">
    <w:name w:val="Normal (Web)"/>
    <w:basedOn w:val="Normal"/>
    <w:rPr>
      <w:szCs w:val="24"/>
    </w:rPr>
  </w:style>
  <w:style w:type="paragraph" w:styleId="CommentSubject">
    <w:name w:val="annotation subject"/>
    <w:basedOn w:val="CommentText"/>
    <w:next w:val="CommentText"/>
    <w:semiHidden/>
    <w:rPr>
      <w:b/>
      <w:bCs/>
    </w:rPr>
  </w:style>
  <w:style w:type="paragraph" w:styleId="Footer">
    <w:name w:val="footer"/>
    <w:basedOn w:val="Normal"/>
    <w:pPr>
      <w:tabs>
        <w:tab w:val="center" w:pos="4536"/>
        <w:tab w:val="right" w:pos="9072"/>
      </w:tabs>
    </w:p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240"/>
      <w:ind w:left="442"/>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40" w:hanging="440"/>
    </w:pPr>
  </w:style>
  <w:style w:type="paragraph" w:styleId="TableofAuthorities">
    <w:name w:val="table of authorities"/>
    <w:basedOn w:val="Normal"/>
    <w:next w:val="Normal"/>
    <w:semiHidden/>
    <w:pPr>
      <w:ind w:left="220" w:hanging="220"/>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paragraph" w:styleId="TOAHeading">
    <w:name w:val="toa heading"/>
    <w:basedOn w:val="Normal"/>
    <w:next w:val="Normal"/>
    <w:semiHidden/>
    <w:pPr>
      <w:spacing w:before="120"/>
    </w:pPr>
    <w:rPr>
      <w:rFonts w:ascii="Arial" w:hAnsi="Arial" w:cs="Arial"/>
      <w:b/>
      <w:bCs/>
      <w:szCs w:val="24"/>
    </w:rPr>
  </w:style>
  <w:style w:type="paragraph" w:styleId="TOC6">
    <w:name w:val="toc 6"/>
    <w:basedOn w:val="Normal"/>
    <w:next w:val="Normal"/>
    <w:qFormat/>
    <w:pPr>
      <w:ind w:left="1100"/>
    </w:pPr>
  </w:style>
  <w:style w:type="paragraph" w:styleId="TOC7">
    <w:name w:val="toc 7"/>
    <w:basedOn w:val="Normal"/>
    <w:next w:val="Normal"/>
    <w:qFormat/>
    <w:pPr>
      <w:ind w:left="1320"/>
    </w:pPr>
  </w:style>
  <w:style w:type="paragraph" w:styleId="TOC8">
    <w:name w:val="toc 8"/>
    <w:basedOn w:val="Normal"/>
    <w:next w:val="Normal"/>
    <w:qFormat/>
    <w:pPr>
      <w:ind w:left="1540"/>
    </w:pPr>
  </w:style>
  <w:style w:type="paragraph" w:customStyle="1" w:styleId="BoxBodyText">
    <w:name w:val="Box Body Text"/>
    <w:basedOn w:val="Normal"/>
    <w:pPr>
      <w:spacing w:after="240"/>
      <w:ind w:firstLine="442"/>
    </w:pPr>
    <w:rPr>
      <w:rFonts w:ascii="Arial" w:hAnsi="Arial" w:cs="Arial"/>
      <w:sz w:val="18"/>
      <w:lang w:val="en-US"/>
    </w:rPr>
  </w:style>
  <w:style w:type="paragraph" w:customStyle="1" w:styleId="BoxBodyTextIndent">
    <w:name w:val="Box Body Text Indent"/>
    <w:basedOn w:val="Normal"/>
    <w:pPr>
      <w:spacing w:after="240"/>
      <w:ind w:left="442"/>
    </w:pPr>
    <w:rPr>
      <w:rFonts w:ascii="Arial" w:hAnsi="Arial" w:cs="Arial"/>
      <w:sz w:val="18"/>
      <w:lang w:val="en-US"/>
    </w:rPr>
  </w:style>
  <w:style w:type="character" w:styleId="PageNumber">
    <w:name w:val="page number"/>
    <w:basedOn w:val="DefaultParagraphFont"/>
    <w:uiPriority w:val="99"/>
    <w:semiHidden/>
    <w:unhideWhenUsed/>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2"/>
      <w:lang w:val="en-GB"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szCs w:val="22"/>
      <w:lang w:val="en-GB" w:eastAsia="zh-CN"/>
    </w:rPr>
  </w:style>
  <w:style w:type="paragraph" w:styleId="TOCHeading">
    <w:name w:val="TOC Heading"/>
    <w:basedOn w:val="Heading1"/>
    <w:next w:val="Normal"/>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BodyText"/>
    <w:link w:val="CitationChar"/>
    <w:pPr>
      <w:ind w:left="850" w:firstLine="0"/>
    </w:pPr>
  </w:style>
  <w:style w:type="character" w:customStyle="1" w:styleId="CitationChar">
    <w:name w:val="Citation Char"/>
    <w:basedOn w:val="DefaultParagraphFont"/>
    <w:link w:val="Citation"/>
    <w:rPr>
      <w:sz w:val="22"/>
      <w:szCs w:val="22"/>
      <w:lang w:val="en-GB" w:eastAsia="zh-CN"/>
    </w:rPr>
  </w:style>
  <w:style w:type="character" w:customStyle="1" w:styleId="Heading1Char">
    <w:name w:val="Heading 1 Char"/>
    <w:basedOn w:val="DefaultParagraphFont"/>
    <w:link w:val="Heading1"/>
    <w:uiPriority w:val="9"/>
    <w:rsid w:val="008E7283"/>
    <w:rPr>
      <w:rFonts w:eastAsiaTheme="minorHAnsi" w:cstheme="minorBidi"/>
      <w:b/>
      <w:bCs/>
      <w:caps/>
      <w:kern w:val="28"/>
      <w:sz w:val="24"/>
      <w:szCs w:val="22"/>
      <w:lang w:val="en-GB"/>
    </w:rPr>
  </w:style>
  <w:style w:type="character" w:customStyle="1" w:styleId="Heading2Char">
    <w:name w:val="Heading 2 Char"/>
    <w:basedOn w:val="DefaultParagraphFont"/>
    <w:link w:val="Heading2"/>
    <w:uiPriority w:val="9"/>
    <w:rsid w:val="008E7283"/>
    <w:rPr>
      <w:b/>
      <w:bCs/>
      <w:sz w:val="22"/>
      <w:szCs w:val="22"/>
      <w:lang w:val="en-GB" w:eastAsia="zh-CN"/>
    </w:rPr>
  </w:style>
  <w:style w:type="character" w:styleId="Hyperlink">
    <w:name w:val="Hyperlink"/>
    <w:basedOn w:val="DefaultParagraphFont"/>
    <w:uiPriority w:val="99"/>
    <w:unhideWhenUsed/>
    <w:rsid w:val="008E72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E7283"/>
    <w:rPr>
      <w:rFonts w:eastAsiaTheme="minorHAnsi" w:cstheme="minorBidi"/>
      <w:sz w:val="24"/>
      <w:szCs w:val="22"/>
      <w:lang w:val="en-GB"/>
    </w:rPr>
  </w:style>
  <w:style w:type="paragraph" w:styleId="Heading1">
    <w:name w:val="heading 1"/>
    <w:basedOn w:val="Normal"/>
    <w:next w:val="Num-DocParagraph"/>
    <w:link w:val="Heading1Char"/>
    <w:uiPriority w:val="9"/>
    <w:qFormat/>
    <w:pPr>
      <w:keepNext/>
      <w:spacing w:before="1200" w:after="720"/>
      <w:jc w:val="center"/>
      <w:outlineLvl w:val="0"/>
    </w:pPr>
    <w:rPr>
      <w:b/>
      <w:bCs/>
      <w:caps/>
      <w:kern w:val="28"/>
    </w:rPr>
  </w:style>
  <w:style w:type="paragraph" w:styleId="Heading2">
    <w:name w:val="heading 2"/>
    <w:basedOn w:val="Normal"/>
    <w:next w:val="Num-DocParagraph"/>
    <w:link w:val="Heading2Char"/>
    <w:uiPriority w:val="9"/>
    <w:qFormat/>
    <w:pPr>
      <w:keepNext/>
      <w:spacing w:before="240" w:after="240"/>
      <w:outlineLvl w:val="1"/>
    </w:pPr>
    <w:rPr>
      <w:b/>
      <w:bCs/>
    </w:rPr>
  </w:style>
  <w:style w:type="paragraph" w:styleId="Heading3">
    <w:name w:val="heading 3"/>
    <w:basedOn w:val="Normal"/>
    <w:next w:val="Num-DocParagraph"/>
    <w:qFormat/>
    <w:pPr>
      <w:keepNext/>
      <w:spacing w:before="240" w:after="240"/>
      <w:outlineLvl w:val="2"/>
    </w:pPr>
    <w:rPr>
      <w:b/>
      <w:bCs/>
      <w:i/>
      <w:iCs/>
    </w:rPr>
  </w:style>
  <w:style w:type="paragraph" w:styleId="Heading4">
    <w:name w:val="heading 4"/>
    <w:basedOn w:val="Normal"/>
    <w:next w:val="Num-DocParagraph"/>
    <w:qFormat/>
    <w:pPr>
      <w:keepNext/>
      <w:spacing w:before="240" w:after="240"/>
      <w:outlineLvl w:val="3"/>
    </w:pPr>
    <w:rPr>
      <w:i/>
      <w:iCs/>
    </w:rPr>
  </w:style>
  <w:style w:type="paragraph" w:styleId="Heading5">
    <w:name w:val="heading 5"/>
    <w:basedOn w:val="Normal"/>
    <w:next w:val="Num-DocParagraph"/>
    <w:qFormat/>
    <w:pPr>
      <w:spacing w:before="240" w:after="240"/>
      <w:outlineLvl w:val="4"/>
    </w:p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bCs/>
      <w:caps/>
    </w:rPr>
  </w:style>
  <w:style w:type="paragraph" w:styleId="BodyText">
    <w:name w:val="Body Text"/>
    <w:basedOn w:val="Normal"/>
    <w:pPr>
      <w:spacing w:after="240"/>
      <w:ind w:firstLine="442"/>
    </w:pPr>
  </w:style>
  <w:style w:type="paragraph" w:customStyle="1" w:styleId="Annotation">
    <w:name w:val="Annotation"/>
    <w:basedOn w:val="BodyText"/>
    <w:pPr>
      <w:ind w:firstLine="0"/>
    </w:pPr>
    <w:rPr>
      <w:b/>
      <w:bCs/>
      <w:i/>
      <w:iCs/>
    </w:rPr>
  </w:style>
  <w:style w:type="paragraph" w:customStyle="1" w:styleId="AppendixHeading">
    <w:name w:val="Appendix Heading"/>
    <w:basedOn w:val="Normal"/>
    <w:next w:val="BodyText"/>
    <w:pPr>
      <w:keepNext/>
      <w:spacing w:before="1200" w:after="720"/>
      <w:jc w:val="center"/>
    </w:pPr>
    <w:rPr>
      <w:b/>
      <w:bCs/>
      <w:caps/>
    </w:rPr>
  </w:style>
  <w:style w:type="paragraph" w:customStyle="1" w:styleId="Biblio-Entry">
    <w:name w:val="Biblio-Entry"/>
    <w:basedOn w:val="BodyText"/>
    <w:pPr>
      <w:ind w:left="567" w:hanging="567"/>
    </w:pPr>
  </w:style>
  <w:style w:type="paragraph" w:customStyle="1" w:styleId="BibliographyHeading">
    <w:name w:val="Bibliography Heading"/>
    <w:basedOn w:val="Normal"/>
    <w:next w:val="Biblio-Entry"/>
    <w:pPr>
      <w:keepNext/>
      <w:spacing w:before="1200" w:after="720"/>
      <w:jc w:val="center"/>
    </w:pPr>
    <w:rPr>
      <w:b/>
      <w:bCs/>
      <w:caps/>
    </w:rPr>
  </w:style>
  <w:style w:type="paragraph" w:customStyle="1" w:styleId="BoxHeading">
    <w:name w:val="Box Heading"/>
    <w:basedOn w:val="Normal"/>
    <w:next w:val="BoxBodyText"/>
    <w:pPr>
      <w:spacing w:before="240" w:after="240"/>
      <w:jc w:val="center"/>
    </w:pPr>
    <w:rPr>
      <w:rFonts w:ascii="Arial" w:hAnsi="Arial" w:cs="Arial"/>
      <w:b/>
      <w:bCs/>
      <w:sz w:val="18"/>
    </w:rPr>
  </w:style>
  <w:style w:type="paragraph" w:customStyle="1" w:styleId="Cell">
    <w:name w:val="Cell"/>
    <w:basedOn w:val="Normal"/>
    <w:rPr>
      <w:rFonts w:ascii="Arial" w:hAnsi="Arial" w:cs="Arial"/>
      <w:sz w:val="18"/>
      <w:szCs w:val="18"/>
    </w:rPr>
  </w:style>
  <w:style w:type="paragraph" w:customStyle="1" w:styleId="ColumnsHeading">
    <w:name w:val="Columns Heading"/>
    <w:basedOn w:val="Normal"/>
    <w:pPr>
      <w:jc w:val="center"/>
    </w:pPr>
    <w:rPr>
      <w:rFonts w:ascii="Arial" w:hAnsi="Arial" w:cs="Arial"/>
      <w:sz w:val="18"/>
      <w:szCs w:val="18"/>
    </w:rPr>
  </w:style>
  <w:style w:type="paragraph" w:customStyle="1" w:styleId="ConclusionHeading">
    <w:name w:val="Conclusion Heading"/>
    <w:basedOn w:val="Normal"/>
    <w:next w:val="BodyText"/>
    <w:pPr>
      <w:keepNext/>
      <w:spacing w:before="1200" w:after="720"/>
      <w:jc w:val="center"/>
    </w:pPr>
    <w:rPr>
      <w:b/>
      <w:bCs/>
      <w:caps/>
    </w:rPr>
  </w:style>
  <w:style w:type="paragraph" w:customStyle="1" w:styleId="DefinitionList">
    <w:name w:val="Definition List"/>
    <w:basedOn w:val="BodyText"/>
    <w:pPr>
      <w:ind w:left="1984" w:hanging="1984"/>
      <w:jc w:val="center"/>
    </w:pPr>
  </w:style>
  <w:style w:type="paragraph" w:styleId="EndnoteText">
    <w:name w:val="endnote text"/>
    <w:basedOn w:val="Normal"/>
    <w:semiHidden/>
    <w:pPr>
      <w:spacing w:after="240"/>
      <w:ind w:left="850" w:hanging="850"/>
    </w:pPr>
    <w:rPr>
      <w:sz w:val="20"/>
      <w:szCs w:val="20"/>
    </w:rPr>
  </w:style>
  <w:style w:type="paragraph" w:customStyle="1" w:styleId="EndnotesHeading">
    <w:name w:val="Endnotes Heading"/>
    <w:basedOn w:val="Normal"/>
    <w:next w:val="BodyText"/>
    <w:pPr>
      <w:keepNext/>
      <w:spacing w:before="1200" w:after="480"/>
      <w:jc w:val="center"/>
    </w:pPr>
    <w:rPr>
      <w:b/>
      <w:bCs/>
      <w:caps/>
    </w:rPr>
  </w:style>
  <w:style w:type="paragraph" w:customStyle="1" w:styleId="ExecutiveSummaryHeading">
    <w:name w:val="Executive Summary Heading"/>
    <w:basedOn w:val="Normal"/>
    <w:next w:val="BodyText"/>
    <w:pPr>
      <w:keepNext/>
      <w:spacing w:before="1200" w:after="720"/>
      <w:jc w:val="center"/>
    </w:pPr>
    <w:rPr>
      <w:b/>
      <w:bCs/>
      <w:caps/>
    </w:rPr>
  </w:style>
  <w:style w:type="paragraph" w:customStyle="1" w:styleId="FigureNote">
    <w:name w:val="Figure Note"/>
    <w:basedOn w:val="Normal"/>
    <w:pPr>
      <w:spacing w:after="120"/>
    </w:pPr>
    <w:rPr>
      <w:rFonts w:ascii="Arial" w:hAnsi="Arial" w:cs="Arial"/>
      <w:sz w:val="16"/>
      <w:szCs w:val="18"/>
    </w:rPr>
  </w:style>
  <w:style w:type="paragraph" w:customStyle="1" w:styleId="FigureSub-title">
    <w:name w:val="Figure Sub-title"/>
    <w:basedOn w:val="Normal"/>
    <w:pPr>
      <w:keepNext/>
      <w:spacing w:after="120"/>
      <w:jc w:val="center"/>
    </w:pPr>
    <w:rPr>
      <w:rFonts w:ascii="Arial" w:hAnsi="Arial" w:cs="Arial"/>
      <w:sz w:val="18"/>
    </w:rPr>
  </w:style>
  <w:style w:type="paragraph" w:customStyle="1" w:styleId="FigureTitle">
    <w:name w:val="Figure Title"/>
    <w:basedOn w:val="Normal"/>
    <w:next w:val="FigureSub-title"/>
    <w:pPr>
      <w:keepNext/>
      <w:spacing w:after="240"/>
      <w:jc w:val="center"/>
    </w:pPr>
    <w:rPr>
      <w:rFonts w:ascii="Arial" w:hAnsi="Arial" w:cs="Arial"/>
      <w:b/>
      <w:bCs/>
      <w:sz w:val="18"/>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20"/>
      <w:ind w:left="850" w:hanging="850"/>
    </w:pPr>
    <w:rPr>
      <w:sz w:val="20"/>
      <w:szCs w:val="20"/>
    </w:rPr>
  </w:style>
  <w:style w:type="paragraph" w:customStyle="1" w:styleId="ForewordHeading">
    <w:name w:val="Foreword Heading"/>
    <w:basedOn w:val="Normal"/>
    <w:next w:val="BodyText"/>
    <w:pPr>
      <w:keepNext/>
      <w:spacing w:before="1200" w:after="720"/>
      <w:jc w:val="center"/>
    </w:pPr>
    <w:rPr>
      <w:b/>
      <w:bCs/>
      <w:caps/>
    </w:rPr>
  </w:style>
  <w:style w:type="paragraph" w:customStyle="1" w:styleId="GlossaryHeading">
    <w:name w:val="Glossary Heading"/>
    <w:basedOn w:val="Normal"/>
    <w:next w:val="BodyText"/>
    <w:pPr>
      <w:keepNext/>
      <w:spacing w:before="1200" w:after="720"/>
      <w:jc w:val="center"/>
    </w:pPr>
    <w:rPr>
      <w:b/>
      <w:bCs/>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ind w:left="442" w:firstLine="0"/>
    </w:pPr>
    <w:rPr>
      <w:sz w:val="2"/>
      <w:szCs w:val="2"/>
    </w:rPr>
  </w:style>
  <w:style w:type="paragraph" w:customStyle="1" w:styleId="Highlight">
    <w:name w:val="Highlight"/>
    <w:basedOn w:val="BodyText"/>
    <w:pPr>
      <w:ind w:left="442" w:firstLine="0"/>
    </w:pPr>
    <w:rPr>
      <w:i/>
      <w:iCs/>
    </w:rPr>
  </w:style>
  <w:style w:type="paragraph" w:customStyle="1" w:styleId="HighlightHeading">
    <w:name w:val="Highlight Heading"/>
    <w:basedOn w:val="Normal"/>
    <w:next w:val="BodyText"/>
    <w:pPr>
      <w:keepNext/>
      <w:spacing w:before="1200" w:after="720"/>
      <w:jc w:val="center"/>
    </w:pPr>
    <w:rPr>
      <w:b/>
      <w:bCs/>
      <w:caps/>
    </w:rPr>
  </w:style>
  <w:style w:type="paragraph" w:styleId="Index1">
    <w:name w:val="index 1"/>
    <w:basedOn w:val="Normal"/>
    <w:next w:val="Normal"/>
    <w:semiHidden/>
    <w:pPr>
      <w:ind w:left="220" w:hanging="220"/>
    </w:pPr>
  </w:style>
  <w:style w:type="paragraph" w:styleId="IndexHeading">
    <w:name w:val="index heading"/>
    <w:basedOn w:val="Normal"/>
    <w:next w:val="BodyText"/>
    <w:semiHidden/>
    <w:pPr>
      <w:keepNext/>
      <w:spacing w:before="1200" w:after="720"/>
      <w:jc w:val="center"/>
    </w:pPr>
    <w:rPr>
      <w:b/>
      <w:bCs/>
      <w:caps/>
    </w:rPr>
  </w:style>
  <w:style w:type="paragraph" w:customStyle="1" w:styleId="IntroductionHeading">
    <w:name w:val="Introduction Heading"/>
    <w:basedOn w:val="Normal"/>
    <w:next w:val="BodyText"/>
    <w:pPr>
      <w:keepNext/>
      <w:spacing w:before="1200" w:after="720"/>
      <w:jc w:val="center"/>
    </w:pPr>
    <w:rPr>
      <w:b/>
      <w:bCs/>
      <w:caps/>
    </w:rPr>
  </w:style>
  <w:style w:type="paragraph" w:styleId="List">
    <w:name w:val="List"/>
    <w:basedOn w:val="Normal"/>
    <w:pPr>
      <w:spacing w:after="240"/>
      <w:ind w:left="850" w:hanging="283"/>
    </w:pPr>
  </w:style>
  <w:style w:type="paragraph" w:styleId="List2">
    <w:name w:val="List 2"/>
    <w:basedOn w:val="Normal"/>
    <w:pPr>
      <w:spacing w:after="240"/>
      <w:ind w:left="1134" w:hanging="283"/>
    </w:pPr>
  </w:style>
  <w:style w:type="paragraph" w:styleId="List3">
    <w:name w:val="List 3"/>
    <w:basedOn w:val="Normal"/>
    <w:pPr>
      <w:spacing w:after="240"/>
      <w:ind w:left="1417" w:hanging="283"/>
    </w:pPr>
  </w:style>
  <w:style w:type="paragraph" w:styleId="List4">
    <w:name w:val="List 4"/>
    <w:basedOn w:val="Normal"/>
    <w:pPr>
      <w:spacing w:after="240"/>
      <w:ind w:left="1701" w:hanging="283"/>
    </w:pPr>
  </w:style>
  <w:style w:type="paragraph" w:styleId="List5">
    <w:name w:val="List 5"/>
    <w:basedOn w:val="Normal"/>
    <w:pPr>
      <w:spacing w:after="240"/>
      <w:ind w:left="1984" w:hanging="283"/>
    </w:pPr>
  </w:style>
  <w:style w:type="paragraph" w:styleId="ListBullet">
    <w:name w:val="List Bullet"/>
    <w:basedOn w:val="Normal"/>
    <w:pPr>
      <w:numPr>
        <w:numId w:val="5"/>
      </w:numPr>
      <w:spacing w:after="240"/>
    </w:pPr>
  </w:style>
  <w:style w:type="paragraph" w:styleId="ListBullet2">
    <w:name w:val="List Bullet 2"/>
    <w:basedOn w:val="Normal"/>
    <w:pPr>
      <w:numPr>
        <w:numId w:val="6"/>
      </w:numPr>
      <w:spacing w:after="240"/>
    </w:pPr>
  </w:style>
  <w:style w:type="paragraph" w:styleId="ListBullet3">
    <w:name w:val="List Bullet 3"/>
    <w:basedOn w:val="Normal"/>
    <w:pPr>
      <w:numPr>
        <w:numId w:val="7"/>
      </w:numPr>
      <w:spacing w:after="240"/>
    </w:pPr>
  </w:style>
  <w:style w:type="paragraph" w:styleId="ListBullet4">
    <w:name w:val="List Bullet 4"/>
    <w:basedOn w:val="Normal"/>
    <w:pPr>
      <w:numPr>
        <w:numId w:val="8"/>
      </w:numPr>
      <w:spacing w:after="240"/>
    </w:pPr>
  </w:style>
  <w:style w:type="paragraph" w:styleId="ListBullet5">
    <w:name w:val="List Bullet 5"/>
    <w:basedOn w:val="Normal"/>
    <w:pPr>
      <w:numPr>
        <w:numId w:val="9"/>
      </w:numPr>
      <w:spacing w:after="240"/>
    </w:pPr>
  </w:style>
  <w:style w:type="paragraph" w:styleId="ListContinue">
    <w:name w:val="List Continue"/>
    <w:basedOn w:val="Normal"/>
    <w:pPr>
      <w:spacing w:after="240"/>
      <w:ind w:left="850"/>
    </w:pPr>
  </w:style>
  <w:style w:type="paragraph" w:styleId="ListContinue2">
    <w:name w:val="List Continue 2"/>
    <w:basedOn w:val="Normal"/>
    <w:pPr>
      <w:spacing w:after="240"/>
      <w:ind w:left="1191"/>
    </w:pPr>
  </w:style>
  <w:style w:type="paragraph" w:styleId="ListContinue3">
    <w:name w:val="List Continue 3"/>
    <w:basedOn w:val="Normal"/>
    <w:pPr>
      <w:spacing w:after="240"/>
      <w:ind w:left="1474"/>
    </w:pPr>
  </w:style>
  <w:style w:type="paragraph" w:styleId="ListContinue4">
    <w:name w:val="List Continue 4"/>
    <w:basedOn w:val="Normal"/>
    <w:pPr>
      <w:spacing w:after="240"/>
      <w:ind w:left="1757"/>
    </w:pPr>
  </w:style>
  <w:style w:type="paragraph" w:styleId="ListContinue5">
    <w:name w:val="List Continue 5"/>
    <w:basedOn w:val="Normal"/>
    <w:pPr>
      <w:spacing w:after="240"/>
      <w:ind w:left="2041"/>
    </w:pPr>
  </w:style>
  <w:style w:type="paragraph" w:styleId="ListNumber">
    <w:name w:val="List Number"/>
    <w:basedOn w:val="Normal"/>
    <w:pPr>
      <w:numPr>
        <w:numId w:val="10"/>
      </w:numPr>
      <w:tabs>
        <w:tab w:val="left" w:pos="1134"/>
      </w:tabs>
      <w:spacing w:after="240"/>
    </w:pPr>
  </w:style>
  <w:style w:type="paragraph" w:styleId="ListNumber2">
    <w:name w:val="List Number 2"/>
    <w:basedOn w:val="Normal"/>
    <w:pPr>
      <w:numPr>
        <w:ilvl w:val="1"/>
        <w:numId w:val="10"/>
      </w:numPr>
      <w:tabs>
        <w:tab w:val="left" w:pos="1417"/>
      </w:tabs>
      <w:spacing w:after="240"/>
    </w:pPr>
  </w:style>
  <w:style w:type="paragraph" w:styleId="ListNumber3">
    <w:name w:val="List Number 3"/>
    <w:basedOn w:val="Normal"/>
    <w:pPr>
      <w:numPr>
        <w:ilvl w:val="2"/>
        <w:numId w:val="10"/>
      </w:numPr>
      <w:tabs>
        <w:tab w:val="left" w:pos="1701"/>
      </w:tabs>
      <w:spacing w:after="240"/>
    </w:pPr>
  </w:style>
  <w:style w:type="paragraph" w:styleId="ListNumber4">
    <w:name w:val="List Number 4"/>
    <w:basedOn w:val="Normal"/>
    <w:pPr>
      <w:numPr>
        <w:ilvl w:val="3"/>
        <w:numId w:val="10"/>
      </w:numPr>
      <w:tabs>
        <w:tab w:val="left" w:pos="1984"/>
      </w:tabs>
      <w:spacing w:after="240"/>
    </w:pPr>
  </w:style>
  <w:style w:type="paragraph" w:styleId="ListNumber5">
    <w:name w:val="List Number 5"/>
    <w:basedOn w:val="Normal"/>
    <w:pPr>
      <w:numPr>
        <w:ilvl w:val="4"/>
        <w:numId w:val="10"/>
      </w:numPr>
      <w:tabs>
        <w:tab w:val="left" w:pos="2268"/>
      </w:tabs>
      <w:spacing w:after="240"/>
    </w:pPr>
  </w:style>
  <w:style w:type="paragraph" w:customStyle="1" w:styleId="Num-ChapParagraph">
    <w:name w:val="Num-Chap Paragraph"/>
    <w:basedOn w:val="BodyText"/>
    <w:pPr>
      <w:ind w:firstLine="0"/>
    </w:pPr>
  </w:style>
  <w:style w:type="paragraph" w:customStyle="1" w:styleId="Num-DocParagraph">
    <w:name w:val="Num-Doc Paragraph"/>
    <w:basedOn w:val="BodyText"/>
    <w:pPr>
      <w:ind w:firstLine="0"/>
    </w:pPr>
  </w:style>
  <w:style w:type="paragraph" w:customStyle="1" w:styleId="PartHeading">
    <w:name w:val="Part Heading"/>
    <w:basedOn w:val="Normal"/>
    <w:next w:val="BodyText"/>
    <w:pPr>
      <w:keepNext/>
      <w:spacing w:before="1200" w:after="720"/>
      <w:jc w:val="center"/>
    </w:pPr>
    <w:rPr>
      <w:b/>
      <w:bCs/>
      <w:caps/>
    </w:rPr>
  </w:style>
  <w:style w:type="paragraph" w:customStyle="1" w:styleId="RowsHeading">
    <w:name w:val="Rows Heading"/>
    <w:basedOn w:val="Normal"/>
    <w:rPr>
      <w:rFonts w:ascii="Arial" w:hAnsi="Arial" w:cs="Arial"/>
      <w:sz w:val="18"/>
      <w:szCs w:val="18"/>
    </w:rPr>
  </w:style>
  <w:style w:type="paragraph" w:customStyle="1" w:styleId="SourceDescription">
    <w:name w:val="Source Description"/>
    <w:basedOn w:val="Normal"/>
    <w:next w:val="BodyText"/>
    <w:pPr>
      <w:spacing w:after="360"/>
    </w:pPr>
    <w:rPr>
      <w:rFonts w:ascii="Arial" w:hAnsi="Arial" w:cs="Arial"/>
      <w:sz w:val="16"/>
      <w:szCs w:val="18"/>
    </w:rPr>
  </w:style>
  <w:style w:type="paragraph" w:customStyle="1" w:styleId="SubHeading">
    <w:name w:val="SubHeading"/>
    <w:basedOn w:val="BodyText"/>
    <w:pPr>
      <w:ind w:left="442" w:firstLine="0"/>
    </w:pPr>
    <w:rPr>
      <w:i/>
      <w:iCs/>
    </w:rPr>
  </w:style>
  <w:style w:type="paragraph" w:customStyle="1" w:styleId="SummaryHeading">
    <w:name w:val="Summary Heading"/>
    <w:basedOn w:val="Normal"/>
    <w:next w:val="BodyText"/>
    <w:pPr>
      <w:keepNext/>
      <w:spacing w:before="1200" w:after="720"/>
      <w:jc w:val="center"/>
    </w:pPr>
    <w:rPr>
      <w:b/>
      <w:bCs/>
      <w:caps/>
    </w:rPr>
  </w:style>
  <w:style w:type="paragraph" w:customStyle="1" w:styleId="Table">
    <w:name w:val="Table"/>
    <w:basedOn w:val="Normal"/>
    <w:next w:val="BodyText"/>
    <w:pPr>
      <w:spacing w:after="240"/>
      <w:jc w:val="center"/>
    </w:pPr>
  </w:style>
  <w:style w:type="paragraph" w:customStyle="1" w:styleId="TableNote">
    <w:name w:val="Table Note"/>
    <w:basedOn w:val="Normal"/>
    <w:pPr>
      <w:spacing w:after="120"/>
    </w:pPr>
    <w:rPr>
      <w:rFonts w:ascii="Arial" w:hAnsi="Arial" w:cs="Arial"/>
      <w:sz w:val="16"/>
      <w:szCs w:val="18"/>
    </w:rPr>
  </w:style>
  <w:style w:type="paragraph" w:customStyle="1" w:styleId="TableofContentsHeading">
    <w:name w:val="Table of Contents Heading"/>
    <w:basedOn w:val="Normal"/>
    <w:next w:val="BodyText"/>
    <w:pPr>
      <w:keepNext/>
      <w:spacing w:before="1200" w:after="720"/>
      <w:jc w:val="center"/>
    </w:pPr>
    <w:rPr>
      <w:b/>
      <w:bCs/>
      <w:caps/>
    </w:rPr>
  </w:style>
  <w:style w:type="paragraph" w:customStyle="1" w:styleId="TableSub-title">
    <w:name w:val="Table Sub-title"/>
    <w:basedOn w:val="Normal"/>
    <w:pPr>
      <w:keepNext/>
      <w:spacing w:after="240"/>
      <w:jc w:val="center"/>
    </w:pPr>
    <w:rPr>
      <w:rFonts w:ascii="Arial" w:hAnsi="Arial" w:cs="Arial"/>
      <w:sz w:val="18"/>
    </w:rPr>
  </w:style>
  <w:style w:type="paragraph" w:customStyle="1" w:styleId="TableTitle">
    <w:name w:val="Table Title"/>
    <w:basedOn w:val="Normal"/>
    <w:pPr>
      <w:keepNext/>
      <w:spacing w:after="240"/>
      <w:jc w:val="center"/>
    </w:pPr>
    <w:rPr>
      <w:rFonts w:ascii="Arial" w:hAnsi="Arial" w:cs="Arial"/>
      <w:b/>
      <w:bCs/>
      <w:sz w:val="18"/>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OC1">
    <w:name w:val="toc 1"/>
    <w:basedOn w:val="Normal"/>
    <w:next w:val="Normal"/>
    <w:uiPriority w:val="39"/>
    <w:qFormat/>
    <w:pPr>
      <w:tabs>
        <w:tab w:val="right" w:leader="dot" w:pos="9468"/>
      </w:tabs>
      <w:spacing w:before="120" w:after="120"/>
    </w:pPr>
    <w:rPr>
      <w:caps/>
    </w:rPr>
  </w:style>
  <w:style w:type="paragraph" w:styleId="TOC2">
    <w:name w:val="toc 2"/>
    <w:basedOn w:val="Normal"/>
    <w:next w:val="Normal"/>
    <w:uiPriority w:val="39"/>
    <w:qFormat/>
    <w:pPr>
      <w:tabs>
        <w:tab w:val="right" w:leader="dot" w:pos="9468"/>
      </w:tabs>
      <w:ind w:left="198"/>
    </w:pPr>
  </w:style>
  <w:style w:type="paragraph" w:styleId="TOC3">
    <w:name w:val="toc 3"/>
    <w:basedOn w:val="Normal"/>
    <w:next w:val="Normal"/>
    <w:qFormat/>
    <w:pPr>
      <w:tabs>
        <w:tab w:val="right" w:leader="dot" w:pos="9468"/>
      </w:tabs>
      <w:ind w:left="397"/>
    </w:pPr>
  </w:style>
  <w:style w:type="paragraph" w:styleId="TOC4">
    <w:name w:val="toc 4"/>
    <w:basedOn w:val="Normal"/>
    <w:next w:val="Normal"/>
    <w:qFormat/>
    <w:pPr>
      <w:tabs>
        <w:tab w:val="right" w:leader="dot" w:pos="9468"/>
      </w:tabs>
      <w:ind w:left="595"/>
    </w:pPr>
    <w:rPr>
      <w:noProof/>
    </w:rPr>
  </w:style>
  <w:style w:type="paragraph" w:styleId="TOC5">
    <w:name w:val="toc 5"/>
    <w:basedOn w:val="Normal"/>
    <w:next w:val="Normal"/>
    <w:qFormat/>
    <w:pPr>
      <w:tabs>
        <w:tab w:val="right" w:leader="dot" w:pos="9468"/>
      </w:tabs>
      <w:ind w:left="794"/>
    </w:pPr>
    <w:rPr>
      <w:noProof/>
    </w:rPr>
  </w:style>
  <w:style w:type="paragraph" w:customStyle="1" w:styleId="IndexHeading1">
    <w:name w:val="Index Heading1"/>
    <w:basedOn w:val="Normal"/>
    <w:next w:val="BodyText"/>
    <w:pPr>
      <w:keepNext/>
      <w:spacing w:before="1200" w:after="720"/>
      <w:jc w:val="center"/>
    </w:pPr>
    <w:rPr>
      <w:b/>
      <w:caps/>
      <w:lang w:val="en-US"/>
    </w:rPr>
  </w:style>
  <w:style w:type="paragraph" w:styleId="BlockText">
    <w:name w:val="Block Text"/>
    <w:basedOn w:val="Normal"/>
    <w:pPr>
      <w:spacing w:after="120"/>
      <w:ind w:left="1440" w:right="1440"/>
    </w:pPr>
  </w:style>
  <w:style w:type="paragraph" w:styleId="TOC9">
    <w:name w:val="toc 9"/>
    <w:basedOn w:val="Normal"/>
    <w:next w:val="Normal"/>
    <w:qFormat/>
    <w:pPr>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pPr>
      <w:ind w:firstLine="0"/>
    </w:pPr>
    <w:rPr>
      <w:lang w:val="en-US"/>
    </w:rPr>
  </w:style>
  <w:style w:type="paragraph" w:customStyle="1" w:styleId="Chart">
    <w:name w:val="Chart"/>
    <w:basedOn w:val="Normal"/>
    <w:next w:val="BodyText"/>
    <w:pPr>
      <w:spacing w:after="240"/>
      <w:jc w:val="center"/>
    </w:pPr>
    <w:rPr>
      <w:lang w:val="en-US"/>
    </w:rPr>
  </w:style>
  <w:style w:type="paragraph" w:customStyle="1" w:styleId="ChartSub-title">
    <w:name w:val="Chart Sub-title"/>
    <w:basedOn w:val="Normal"/>
    <w:pPr>
      <w:keepNext/>
      <w:spacing w:after="120"/>
      <w:jc w:val="center"/>
    </w:pPr>
    <w:rPr>
      <w:rFonts w:ascii="Arial" w:hAnsi="Arial" w:cs="Arial"/>
      <w:sz w:val="18"/>
      <w:lang w:val="en-US"/>
    </w:rPr>
  </w:style>
  <w:style w:type="paragraph" w:customStyle="1" w:styleId="ChartTitle">
    <w:name w:val="Chart Title"/>
    <w:basedOn w:val="Normal"/>
    <w:next w:val="ChartSub-title"/>
    <w:pPr>
      <w:keepNext/>
      <w:spacing w:after="240"/>
      <w:jc w:val="center"/>
    </w:pPr>
    <w:rPr>
      <w:rFonts w:ascii="Arial" w:hAnsi="Arial" w:cs="Arial"/>
      <w:b/>
      <w:sz w:val="18"/>
      <w:lang w:val="en-US"/>
    </w:rPr>
  </w:style>
  <w:style w:type="paragraph" w:customStyle="1" w:styleId="ChartNote">
    <w:name w:val="Chart Note"/>
    <w:basedOn w:val="Normal"/>
    <w:pPr>
      <w:spacing w:after="120"/>
    </w:pPr>
    <w:rPr>
      <w:rFonts w:ascii="Arial" w:hAnsi="Arial" w:cs="Arial"/>
      <w:sz w:val="16"/>
      <w:lang w:val="en-US"/>
    </w:rPr>
  </w:style>
  <w:style w:type="paragraph" w:customStyle="1" w:styleId="BoxHeading2">
    <w:name w:val="Box Heading 2"/>
    <w:basedOn w:val="Normal"/>
    <w:next w:val="BoxBodyText"/>
    <w:pPr>
      <w:spacing w:before="240" w:after="240"/>
    </w:pPr>
    <w:rPr>
      <w:rFonts w:ascii="Arial" w:hAnsi="Arial" w:cs="Arial"/>
      <w:b/>
      <w:sz w:val="18"/>
      <w:lang w:val="en-US"/>
    </w:rPr>
  </w:style>
  <w:style w:type="paragraph" w:customStyle="1" w:styleId="BoxHeading3">
    <w:name w:val="Box Heading 3"/>
    <w:basedOn w:val="Normal"/>
    <w:next w:val="BoxBodyText"/>
    <w:pPr>
      <w:spacing w:before="240" w:after="240"/>
    </w:pPr>
    <w:rPr>
      <w:rFonts w:ascii="Arial" w:hAnsi="Arial" w:cs="Arial"/>
      <w:b/>
      <w:i/>
      <w:sz w:val="18"/>
      <w:lang w:val="en-US"/>
    </w:rPr>
  </w:style>
  <w:style w:type="paragraph" w:customStyle="1" w:styleId="BoxNote">
    <w:name w:val="Box Note"/>
    <w:basedOn w:val="Normal"/>
    <w:pPr>
      <w:tabs>
        <w:tab w:val="left" w:pos="340"/>
      </w:tabs>
      <w:spacing w:after="120"/>
    </w:pPr>
    <w:rPr>
      <w:rFonts w:ascii="Arial" w:hAnsi="Arial" w:cs="Arial"/>
      <w:sz w:val="18"/>
      <w:lang w:val="en-US"/>
    </w:rPr>
  </w:style>
  <w:style w:type="paragraph" w:customStyle="1" w:styleId="ListBulletBox">
    <w:name w:val="List Bullet Box"/>
    <w:basedOn w:val="Normal"/>
    <w:pPr>
      <w:numPr>
        <w:numId w:val="11"/>
      </w:numPr>
      <w:spacing w:after="240"/>
    </w:pPr>
    <w:rPr>
      <w:rFonts w:ascii="Arial" w:hAnsi="Arial" w:cs="Arial"/>
      <w:sz w:val="18"/>
      <w:lang w:val="en-US"/>
    </w:rPr>
  </w:style>
  <w:style w:type="paragraph" w:customStyle="1" w:styleId="ListBulletBox2">
    <w:name w:val="List Bullet Box 2"/>
    <w:basedOn w:val="Normal"/>
    <w:pPr>
      <w:numPr>
        <w:numId w:val="12"/>
      </w:numPr>
      <w:spacing w:after="240"/>
    </w:pPr>
    <w:rPr>
      <w:rFonts w:ascii="Arial" w:hAnsi="Arial" w:cs="Arial"/>
      <w:sz w:val="18"/>
      <w:lang w:val="en-US"/>
    </w:rPr>
  </w:style>
  <w:style w:type="paragraph" w:customStyle="1" w:styleId="ListBulletBox3">
    <w:name w:val="List Bullet Box 3"/>
    <w:basedOn w:val="Normal"/>
    <w:pPr>
      <w:numPr>
        <w:numId w:val="13"/>
      </w:numPr>
      <w:spacing w:after="240"/>
    </w:pPr>
    <w:rPr>
      <w:rFonts w:ascii="Arial" w:hAnsi="Arial" w:cs="Arial"/>
      <w:sz w:val="18"/>
      <w:lang w:val="en-US"/>
    </w:rPr>
  </w:style>
  <w:style w:type="paragraph" w:customStyle="1" w:styleId="ListNumberBox">
    <w:name w:val="List Number Box"/>
    <w:basedOn w:val="Normal"/>
    <w:pPr>
      <w:numPr>
        <w:numId w:val="14"/>
      </w:numPr>
      <w:tabs>
        <w:tab w:val="clear" w:pos="1950"/>
      </w:tabs>
      <w:spacing w:after="240"/>
      <w:ind w:left="850"/>
    </w:pPr>
    <w:rPr>
      <w:rFonts w:ascii="Arial" w:hAnsi="Arial" w:cs="Arial"/>
      <w:sz w:val="18"/>
      <w:lang w:val="en-US"/>
    </w:rPr>
  </w:style>
  <w:style w:type="paragraph" w:customStyle="1" w:styleId="ListNumberBox2">
    <w:name w:val="List Number Box 2"/>
    <w:basedOn w:val="Normal"/>
    <w:pPr>
      <w:numPr>
        <w:ilvl w:val="1"/>
        <w:numId w:val="14"/>
      </w:numPr>
      <w:tabs>
        <w:tab w:val="clear" w:pos="2291"/>
      </w:tabs>
      <w:spacing w:after="240"/>
      <w:ind w:left="1191" w:hanging="340"/>
    </w:pPr>
    <w:rPr>
      <w:rFonts w:ascii="Arial" w:hAnsi="Arial" w:cs="Arial"/>
      <w:sz w:val="18"/>
      <w:lang w:val="en-US"/>
    </w:rPr>
  </w:style>
  <w:style w:type="paragraph" w:customStyle="1" w:styleId="ListNumberBox3">
    <w:name w:val="List Number Box 3"/>
    <w:basedOn w:val="Normal"/>
    <w:pPr>
      <w:numPr>
        <w:ilvl w:val="2"/>
        <w:numId w:val="14"/>
      </w:numPr>
      <w:tabs>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pPr>
      <w:spacing w:after="240"/>
      <w:ind w:left="850"/>
    </w:pPr>
    <w:rPr>
      <w:rFonts w:ascii="Arial" w:hAnsi="Arial" w:cs="Arial"/>
      <w:sz w:val="18"/>
      <w:lang w:val="en-US"/>
    </w:rPr>
  </w:style>
  <w:style w:type="paragraph" w:customStyle="1" w:styleId="ListContinueBox2">
    <w:name w:val="List Continue Box 2"/>
    <w:basedOn w:val="Normal"/>
    <w:pPr>
      <w:spacing w:after="240"/>
      <w:ind w:left="1191"/>
    </w:pPr>
    <w:rPr>
      <w:rFonts w:ascii="Arial" w:hAnsi="Arial" w:cs="Arial"/>
      <w:sz w:val="18"/>
      <w:lang w:val="en-US"/>
    </w:rPr>
  </w:style>
  <w:style w:type="paragraph" w:customStyle="1" w:styleId="ListContinueBox3">
    <w:name w:val="List Continue Box 3"/>
    <w:basedOn w:val="Normal"/>
    <w:pPr>
      <w:spacing w:after="240"/>
      <w:ind w:left="1474"/>
    </w:pPr>
    <w:rPr>
      <w:rFonts w:ascii="Arial" w:hAnsi="Arial" w:cs="Arial"/>
      <w:sz w:val="18"/>
      <w:lang w:val="en-US"/>
    </w:rPr>
  </w:style>
  <w:style w:type="paragraph" w:customStyle="1" w:styleId="BoxSource">
    <w:name w:val="Box Source"/>
    <w:basedOn w:val="Normal"/>
    <w:next w:val="BodyText"/>
    <w:pPr>
      <w:spacing w:after="360"/>
    </w:pPr>
    <w:rPr>
      <w:rFonts w:ascii="Arial" w:hAnsi="Arial" w:cs="Arial"/>
      <w:sz w:val="16"/>
      <w:lang w:val="en-US"/>
    </w:rPr>
  </w:style>
  <w:style w:type="character" w:customStyle="1" w:styleId="Cote">
    <w:name w:val="Cote"/>
    <w:basedOn w:val="DefaultParagraphFont"/>
    <w:rPr>
      <w:caps/>
      <w:smallCaps w:val="0"/>
      <w:lang w:val="en-US"/>
    </w:rPr>
  </w:style>
  <w:style w:type="numbering" w:customStyle="1" w:styleId="NumberedNote">
    <w:name w:val="Numbered Note"/>
    <w:basedOn w:val="NoList"/>
    <w:pPr>
      <w:numPr>
        <w:numId w:val="1"/>
      </w:numPr>
    </w:pPr>
  </w:style>
  <w:style w:type="numbering" w:customStyle="1" w:styleId="BulletedNote">
    <w:name w:val="Bulleted Note"/>
    <w:basedOn w:val="NoList"/>
    <w:pPr>
      <w:numPr>
        <w:numId w:val="2"/>
      </w:numPr>
    </w:pPr>
  </w:style>
  <w:style w:type="numbering" w:customStyle="1" w:styleId="NumericNote">
    <w:name w:val="Numeric Note"/>
    <w:basedOn w:val="NoList"/>
    <w:pPr>
      <w:numPr>
        <w:numId w:val="3"/>
      </w:numPr>
    </w:pPr>
  </w:style>
  <w:style w:type="numbering" w:customStyle="1" w:styleId="AlphaNote">
    <w:name w:val="Alpha Note"/>
    <w:basedOn w:val="NoList"/>
    <w:pPr>
      <w:numPr>
        <w:numId w:val="4"/>
      </w:numPr>
    </w:pPr>
  </w:style>
  <w:style w:type="paragraph" w:customStyle="1" w:styleId="AcknowledgementHeading">
    <w:name w:val="Acknowledgement Heading"/>
    <w:basedOn w:val="Normal"/>
    <w:next w:val="BodyText"/>
    <w:pPr>
      <w:keepNext/>
      <w:spacing w:before="1200" w:after="720"/>
      <w:jc w:val="center"/>
    </w:pPr>
    <w:rPr>
      <w:b/>
      <w:caps/>
      <w:lang w:val="en-US"/>
    </w:rPr>
  </w:style>
  <w:style w:type="paragraph" w:styleId="EnvelopeAddress">
    <w:name w:val="envelope address"/>
    <w:basedOn w:val="Normal"/>
    <w:pPr>
      <w:framePr w:w="7938" w:h="1985" w:hRule="exact" w:hSpace="141" w:wrap="auto" w:hAnchor="page" w:xAlign="center" w:yAlign="bottom"/>
      <w:ind w:left="2835"/>
    </w:pPr>
    <w:rPr>
      <w:rFonts w:ascii="Arial" w:hAnsi="Arial" w:cs="Arial"/>
      <w:szCs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CommentText">
    <w:name w:val="annotation text"/>
    <w:basedOn w:val="Normal"/>
    <w:semiHidden/>
    <w:rPr>
      <w:sz w:val="20"/>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Header">
    <w:name w:val="header"/>
    <w:basedOn w:val="Normal"/>
    <w:pPr>
      <w:tabs>
        <w:tab w:val="center" w:pos="4536"/>
        <w:tab w:val="right" w:pos="9072"/>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Caption">
    <w:name w:val="caption"/>
    <w:basedOn w:val="Normal"/>
    <w:next w:val="Normal"/>
    <w:qFormat/>
    <w:pPr>
      <w:spacing w:before="120" w:after="120"/>
    </w:pPr>
    <w:rPr>
      <w:b/>
      <w:bCs/>
      <w:sz w:val="20"/>
      <w:szCs w:val="20"/>
    </w:rPr>
  </w:style>
  <w:style w:type="paragraph" w:styleId="NormalWeb">
    <w:name w:val="Normal (Web)"/>
    <w:basedOn w:val="Normal"/>
    <w:rPr>
      <w:szCs w:val="24"/>
    </w:rPr>
  </w:style>
  <w:style w:type="paragraph" w:styleId="CommentSubject">
    <w:name w:val="annotation subject"/>
    <w:basedOn w:val="CommentText"/>
    <w:next w:val="CommentText"/>
    <w:semiHidden/>
    <w:rPr>
      <w:b/>
      <w:bCs/>
    </w:rPr>
  </w:style>
  <w:style w:type="paragraph" w:styleId="Footer">
    <w:name w:val="footer"/>
    <w:basedOn w:val="Normal"/>
    <w:pPr>
      <w:tabs>
        <w:tab w:val="center" w:pos="4536"/>
        <w:tab w:val="right" w:pos="9072"/>
      </w:tabs>
    </w:p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240"/>
      <w:ind w:left="442"/>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40" w:hanging="440"/>
    </w:pPr>
  </w:style>
  <w:style w:type="paragraph" w:styleId="TableofAuthorities">
    <w:name w:val="table of authorities"/>
    <w:basedOn w:val="Normal"/>
    <w:next w:val="Normal"/>
    <w:semiHidden/>
    <w:pPr>
      <w:ind w:left="220" w:hanging="220"/>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paragraph" w:styleId="TOAHeading">
    <w:name w:val="toa heading"/>
    <w:basedOn w:val="Normal"/>
    <w:next w:val="Normal"/>
    <w:semiHidden/>
    <w:pPr>
      <w:spacing w:before="120"/>
    </w:pPr>
    <w:rPr>
      <w:rFonts w:ascii="Arial" w:hAnsi="Arial" w:cs="Arial"/>
      <w:b/>
      <w:bCs/>
      <w:szCs w:val="24"/>
    </w:rPr>
  </w:style>
  <w:style w:type="paragraph" w:styleId="TOC6">
    <w:name w:val="toc 6"/>
    <w:basedOn w:val="Normal"/>
    <w:next w:val="Normal"/>
    <w:qFormat/>
    <w:pPr>
      <w:ind w:left="1100"/>
    </w:pPr>
  </w:style>
  <w:style w:type="paragraph" w:styleId="TOC7">
    <w:name w:val="toc 7"/>
    <w:basedOn w:val="Normal"/>
    <w:next w:val="Normal"/>
    <w:qFormat/>
    <w:pPr>
      <w:ind w:left="1320"/>
    </w:pPr>
  </w:style>
  <w:style w:type="paragraph" w:styleId="TOC8">
    <w:name w:val="toc 8"/>
    <w:basedOn w:val="Normal"/>
    <w:next w:val="Normal"/>
    <w:qFormat/>
    <w:pPr>
      <w:ind w:left="1540"/>
    </w:pPr>
  </w:style>
  <w:style w:type="paragraph" w:customStyle="1" w:styleId="BoxBodyText">
    <w:name w:val="Box Body Text"/>
    <w:basedOn w:val="Normal"/>
    <w:pPr>
      <w:spacing w:after="240"/>
      <w:ind w:firstLine="442"/>
    </w:pPr>
    <w:rPr>
      <w:rFonts w:ascii="Arial" w:hAnsi="Arial" w:cs="Arial"/>
      <w:sz w:val="18"/>
      <w:lang w:val="en-US"/>
    </w:rPr>
  </w:style>
  <w:style w:type="paragraph" w:customStyle="1" w:styleId="BoxBodyTextIndent">
    <w:name w:val="Box Body Text Indent"/>
    <w:basedOn w:val="Normal"/>
    <w:pPr>
      <w:spacing w:after="240"/>
      <w:ind w:left="442"/>
    </w:pPr>
    <w:rPr>
      <w:rFonts w:ascii="Arial" w:hAnsi="Arial" w:cs="Arial"/>
      <w:sz w:val="18"/>
      <w:lang w:val="en-US"/>
    </w:rPr>
  </w:style>
  <w:style w:type="character" w:styleId="PageNumber">
    <w:name w:val="page number"/>
    <w:basedOn w:val="DefaultParagraphFont"/>
    <w:uiPriority w:val="99"/>
    <w:semiHidden/>
    <w:unhideWhenUsed/>
  </w:style>
  <w:style w:type="paragraph" w:styleId="Bibliography">
    <w:name w:val="Bibliography"/>
    <w:basedOn w:val="Normal"/>
    <w:next w:val="Normal"/>
    <w:uiPriority w:val="37"/>
    <w:semiHidden/>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2"/>
      <w:lang w:val="en-GB"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szCs w:val="22"/>
      <w:lang w:val="en-GB" w:eastAsia="zh-CN"/>
    </w:rPr>
  </w:style>
  <w:style w:type="paragraph" w:styleId="TOCHeading">
    <w:name w:val="TOC Heading"/>
    <w:basedOn w:val="Heading1"/>
    <w:next w:val="Normal"/>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BodyText"/>
    <w:link w:val="CitationChar"/>
    <w:pPr>
      <w:ind w:left="850" w:firstLine="0"/>
    </w:pPr>
  </w:style>
  <w:style w:type="character" w:customStyle="1" w:styleId="CitationChar">
    <w:name w:val="Citation Char"/>
    <w:basedOn w:val="DefaultParagraphFont"/>
    <w:link w:val="Citation"/>
    <w:rPr>
      <w:sz w:val="22"/>
      <w:szCs w:val="22"/>
      <w:lang w:val="en-GB" w:eastAsia="zh-CN"/>
    </w:rPr>
  </w:style>
  <w:style w:type="character" w:customStyle="1" w:styleId="Heading1Char">
    <w:name w:val="Heading 1 Char"/>
    <w:basedOn w:val="DefaultParagraphFont"/>
    <w:link w:val="Heading1"/>
    <w:uiPriority w:val="9"/>
    <w:rsid w:val="008E7283"/>
    <w:rPr>
      <w:rFonts w:eastAsiaTheme="minorHAnsi" w:cstheme="minorBidi"/>
      <w:b/>
      <w:bCs/>
      <w:caps/>
      <w:kern w:val="28"/>
      <w:sz w:val="24"/>
      <w:szCs w:val="22"/>
      <w:lang w:val="en-GB"/>
    </w:rPr>
  </w:style>
  <w:style w:type="character" w:customStyle="1" w:styleId="Heading2Char">
    <w:name w:val="Heading 2 Char"/>
    <w:basedOn w:val="DefaultParagraphFont"/>
    <w:link w:val="Heading2"/>
    <w:uiPriority w:val="9"/>
    <w:rsid w:val="008E7283"/>
    <w:rPr>
      <w:b/>
      <w:bCs/>
      <w:sz w:val="22"/>
      <w:szCs w:val="22"/>
      <w:lang w:val="en-GB" w:eastAsia="zh-CN"/>
    </w:rPr>
  </w:style>
  <w:style w:type="character" w:styleId="Hyperlink">
    <w:name w:val="Hyperlink"/>
    <w:basedOn w:val="DefaultParagraphFont"/>
    <w:uiPriority w:val="99"/>
    <w:unhideWhenUsed/>
    <w:rsid w:val="008E7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0443">
      <w:bodyDiv w:val="1"/>
      <w:marLeft w:val="0"/>
      <w:marRight w:val="0"/>
      <w:marTop w:val="0"/>
      <w:marBottom w:val="0"/>
      <w:divBdr>
        <w:top w:val="none" w:sz="0" w:space="0" w:color="auto"/>
        <w:left w:val="none" w:sz="0" w:space="0" w:color="auto"/>
        <w:bottom w:val="none" w:sz="0" w:space="0" w:color="auto"/>
        <w:right w:val="none" w:sz="0" w:space="0" w:color="auto"/>
      </w:divBdr>
    </w:div>
    <w:div w:id="1665471851">
      <w:bodyDiv w:val="1"/>
      <w:marLeft w:val="0"/>
      <w:marRight w:val="0"/>
      <w:marTop w:val="0"/>
      <w:marBottom w:val="0"/>
      <w:divBdr>
        <w:top w:val="none" w:sz="0" w:space="0" w:color="auto"/>
        <w:left w:val="none" w:sz="0" w:space="0" w:color="auto"/>
        <w:bottom w:val="none" w:sz="0" w:space="0" w:color="auto"/>
        <w:right w:val="none" w:sz="0" w:space="0" w:color="auto"/>
      </w:divBdr>
    </w:div>
    <w:div w:id="18208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FS-CH-1.main.oecd.org\Users2\Habbard_P\dac-psd\stat.xm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CH-1.main.oecd.org\Users2\Habbard_P\dac-psd\stat.xm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'OECD.Stat export'!$A$26</c:f>
              <c:strCache>
                <c:ptCount val="1"/>
                <c:pt idx="0">
                  <c:v>I. Social Infrastructure &amp; Services</c:v>
                </c:pt>
              </c:strCache>
            </c:strRef>
          </c:tx>
          <c:invertIfNegative val="0"/>
          <c:cat>
            <c:strRef>
              <c:f>'OECD.Stat export'!$B$25:$H$25</c:f>
              <c:strCache>
                <c:ptCount val="7"/>
                <c:pt idx="0">
                  <c:v>2006</c:v>
                </c:pt>
                <c:pt idx="1">
                  <c:v>2007</c:v>
                </c:pt>
                <c:pt idx="2">
                  <c:v>2008</c:v>
                </c:pt>
                <c:pt idx="3">
                  <c:v>2009</c:v>
                </c:pt>
                <c:pt idx="4">
                  <c:v>2010</c:v>
                </c:pt>
                <c:pt idx="5">
                  <c:v>2011</c:v>
                </c:pt>
                <c:pt idx="6">
                  <c:v>2012</c:v>
                </c:pt>
              </c:strCache>
            </c:strRef>
          </c:cat>
          <c:val>
            <c:numRef>
              <c:f>'OECD.Stat export'!$B$26:$H$26</c:f>
              <c:numCache>
                <c:formatCode>0.0</c:formatCode>
                <c:ptCount val="7"/>
                <c:pt idx="0">
                  <c:v>46.632930000000002</c:v>
                </c:pt>
                <c:pt idx="1">
                  <c:v>54.383099999999999</c:v>
                </c:pt>
                <c:pt idx="2">
                  <c:v>61.982770000000002</c:v>
                </c:pt>
                <c:pt idx="3">
                  <c:v>65.454130000000006</c:v>
                </c:pt>
                <c:pt idx="4">
                  <c:v>64.442670000000007</c:v>
                </c:pt>
                <c:pt idx="5">
                  <c:v>69.017570000000006</c:v>
                </c:pt>
                <c:pt idx="6">
                  <c:v>66.789349999999999</c:v>
                </c:pt>
              </c:numCache>
            </c:numRef>
          </c:val>
        </c:ser>
        <c:ser>
          <c:idx val="1"/>
          <c:order val="1"/>
          <c:tx>
            <c:strRef>
              <c:f>'OECD.Stat export'!$A$27</c:f>
              <c:strCache>
                <c:ptCount val="1"/>
                <c:pt idx="0">
                  <c:v>II. Economic Infrastructure &amp; Services</c:v>
                </c:pt>
              </c:strCache>
            </c:strRef>
          </c:tx>
          <c:invertIfNegative val="0"/>
          <c:cat>
            <c:strRef>
              <c:f>'OECD.Stat export'!$B$25:$H$25</c:f>
              <c:strCache>
                <c:ptCount val="7"/>
                <c:pt idx="0">
                  <c:v>2006</c:v>
                </c:pt>
                <c:pt idx="1">
                  <c:v>2007</c:v>
                </c:pt>
                <c:pt idx="2">
                  <c:v>2008</c:v>
                </c:pt>
                <c:pt idx="3">
                  <c:v>2009</c:v>
                </c:pt>
                <c:pt idx="4">
                  <c:v>2010</c:v>
                </c:pt>
                <c:pt idx="5">
                  <c:v>2011</c:v>
                </c:pt>
                <c:pt idx="6">
                  <c:v>2012</c:v>
                </c:pt>
              </c:strCache>
            </c:strRef>
          </c:cat>
          <c:val>
            <c:numRef>
              <c:f>'OECD.Stat export'!$B$27:$H$27</c:f>
              <c:numCache>
                <c:formatCode>0.0</c:formatCode>
                <c:ptCount val="7"/>
                <c:pt idx="0">
                  <c:v>15.82452</c:v>
                </c:pt>
                <c:pt idx="1">
                  <c:v>19.509930000000001</c:v>
                </c:pt>
                <c:pt idx="2">
                  <c:v>27.468019999999989</c:v>
                </c:pt>
                <c:pt idx="3">
                  <c:v>25.710429999999999</c:v>
                </c:pt>
                <c:pt idx="4">
                  <c:v>30.46857</c:v>
                </c:pt>
                <c:pt idx="5">
                  <c:v>30.74916</c:v>
                </c:pt>
                <c:pt idx="6">
                  <c:v>37.48265</c:v>
                </c:pt>
              </c:numCache>
            </c:numRef>
          </c:val>
        </c:ser>
        <c:ser>
          <c:idx val="2"/>
          <c:order val="2"/>
          <c:tx>
            <c:strRef>
              <c:f>'OECD.Stat export'!$A$28</c:f>
              <c:strCache>
                <c:ptCount val="1"/>
                <c:pt idx="0">
                  <c:v>III. Production Sectors</c:v>
                </c:pt>
              </c:strCache>
            </c:strRef>
          </c:tx>
          <c:invertIfNegative val="0"/>
          <c:cat>
            <c:strRef>
              <c:f>'OECD.Stat export'!$B$25:$H$25</c:f>
              <c:strCache>
                <c:ptCount val="7"/>
                <c:pt idx="0">
                  <c:v>2006</c:v>
                </c:pt>
                <c:pt idx="1">
                  <c:v>2007</c:v>
                </c:pt>
                <c:pt idx="2">
                  <c:v>2008</c:v>
                </c:pt>
                <c:pt idx="3">
                  <c:v>2009</c:v>
                </c:pt>
                <c:pt idx="4">
                  <c:v>2010</c:v>
                </c:pt>
                <c:pt idx="5">
                  <c:v>2011</c:v>
                </c:pt>
                <c:pt idx="6">
                  <c:v>2012</c:v>
                </c:pt>
              </c:strCache>
            </c:strRef>
          </c:cat>
          <c:val>
            <c:numRef>
              <c:f>'OECD.Stat export'!$B$28:$H$28</c:f>
              <c:numCache>
                <c:formatCode>0.0</c:formatCode>
                <c:ptCount val="7"/>
                <c:pt idx="0">
                  <c:v>8.0961500000000015</c:v>
                </c:pt>
                <c:pt idx="1">
                  <c:v>8.9961400000000022</c:v>
                </c:pt>
                <c:pt idx="2">
                  <c:v>11.29461</c:v>
                </c:pt>
                <c:pt idx="3">
                  <c:v>12.75578</c:v>
                </c:pt>
                <c:pt idx="4">
                  <c:v>12.88608</c:v>
                </c:pt>
                <c:pt idx="5">
                  <c:v>15.7974</c:v>
                </c:pt>
                <c:pt idx="6">
                  <c:v>17.645779999999991</c:v>
                </c:pt>
              </c:numCache>
            </c:numRef>
          </c:val>
        </c:ser>
        <c:ser>
          <c:idx val="3"/>
          <c:order val="3"/>
          <c:tx>
            <c:strRef>
              <c:f>'OECD.Stat export'!$A$29</c:f>
              <c:strCache>
                <c:ptCount val="1"/>
                <c:pt idx="0">
                  <c:v>IV. Multi-Sector / Cross-Cutting</c:v>
                </c:pt>
              </c:strCache>
            </c:strRef>
          </c:tx>
          <c:invertIfNegative val="0"/>
          <c:cat>
            <c:strRef>
              <c:f>'OECD.Stat export'!$B$25:$H$25</c:f>
              <c:strCache>
                <c:ptCount val="7"/>
                <c:pt idx="0">
                  <c:v>2006</c:v>
                </c:pt>
                <c:pt idx="1">
                  <c:v>2007</c:v>
                </c:pt>
                <c:pt idx="2">
                  <c:v>2008</c:v>
                </c:pt>
                <c:pt idx="3">
                  <c:v>2009</c:v>
                </c:pt>
                <c:pt idx="4">
                  <c:v>2010</c:v>
                </c:pt>
                <c:pt idx="5">
                  <c:v>2011</c:v>
                </c:pt>
                <c:pt idx="6">
                  <c:v>2012</c:v>
                </c:pt>
              </c:strCache>
            </c:strRef>
          </c:cat>
          <c:val>
            <c:numRef>
              <c:f>'OECD.Stat export'!$B$29:$H$29</c:f>
              <c:numCache>
                <c:formatCode>0.0</c:formatCode>
                <c:ptCount val="7"/>
                <c:pt idx="0">
                  <c:v>8.6980099999999982</c:v>
                </c:pt>
                <c:pt idx="1">
                  <c:v>10.530099999999999</c:v>
                </c:pt>
                <c:pt idx="2">
                  <c:v>11.90652</c:v>
                </c:pt>
                <c:pt idx="3">
                  <c:v>13.870480000000001</c:v>
                </c:pt>
                <c:pt idx="4">
                  <c:v>21.030369999999991</c:v>
                </c:pt>
                <c:pt idx="5">
                  <c:v>18.20899</c:v>
                </c:pt>
                <c:pt idx="6">
                  <c:v>18.88350999999999</c:v>
                </c:pt>
              </c:numCache>
            </c:numRef>
          </c:val>
        </c:ser>
        <c:ser>
          <c:idx val="4"/>
          <c:order val="4"/>
          <c:tx>
            <c:strRef>
              <c:f>'OECD.Stat export'!$A$30</c:f>
              <c:strCache>
                <c:ptCount val="1"/>
                <c:pt idx="0">
                  <c:v>VII. Action Relating to Debt</c:v>
                </c:pt>
              </c:strCache>
            </c:strRef>
          </c:tx>
          <c:invertIfNegative val="0"/>
          <c:cat>
            <c:strRef>
              <c:f>'OECD.Stat export'!$B$25:$H$25</c:f>
              <c:strCache>
                <c:ptCount val="7"/>
                <c:pt idx="0">
                  <c:v>2006</c:v>
                </c:pt>
                <c:pt idx="1">
                  <c:v>2007</c:v>
                </c:pt>
                <c:pt idx="2">
                  <c:v>2008</c:v>
                </c:pt>
                <c:pt idx="3">
                  <c:v>2009</c:v>
                </c:pt>
                <c:pt idx="4">
                  <c:v>2010</c:v>
                </c:pt>
                <c:pt idx="5">
                  <c:v>2011</c:v>
                </c:pt>
                <c:pt idx="6">
                  <c:v>2012</c:v>
                </c:pt>
              </c:strCache>
            </c:strRef>
          </c:cat>
          <c:val>
            <c:numRef>
              <c:f>'OECD.Stat export'!$B$30:$H$30</c:f>
              <c:numCache>
                <c:formatCode>0.0</c:formatCode>
                <c:ptCount val="7"/>
                <c:pt idx="0">
                  <c:v>23.20299</c:v>
                </c:pt>
                <c:pt idx="1">
                  <c:v>13.75273</c:v>
                </c:pt>
                <c:pt idx="2">
                  <c:v>11.29073</c:v>
                </c:pt>
                <c:pt idx="3">
                  <c:v>2.7473700000000001</c:v>
                </c:pt>
                <c:pt idx="4">
                  <c:v>4.868549999999999</c:v>
                </c:pt>
                <c:pt idx="5">
                  <c:v>4.5211600000000001</c:v>
                </c:pt>
                <c:pt idx="6">
                  <c:v>2.93113</c:v>
                </c:pt>
              </c:numCache>
            </c:numRef>
          </c:val>
        </c:ser>
        <c:ser>
          <c:idx val="5"/>
          <c:order val="5"/>
          <c:tx>
            <c:strRef>
              <c:f>'OECD.Stat export'!$A$31</c:f>
              <c:strCache>
                <c:ptCount val="1"/>
                <c:pt idx="0">
                  <c:v>VIII. Humanitarian Aid</c:v>
                </c:pt>
              </c:strCache>
            </c:strRef>
          </c:tx>
          <c:invertIfNegative val="0"/>
          <c:cat>
            <c:strRef>
              <c:f>'OECD.Stat export'!$B$25:$H$25</c:f>
              <c:strCache>
                <c:ptCount val="7"/>
                <c:pt idx="0">
                  <c:v>2006</c:v>
                </c:pt>
                <c:pt idx="1">
                  <c:v>2007</c:v>
                </c:pt>
                <c:pt idx="2">
                  <c:v>2008</c:v>
                </c:pt>
                <c:pt idx="3">
                  <c:v>2009</c:v>
                </c:pt>
                <c:pt idx="4">
                  <c:v>2010</c:v>
                </c:pt>
                <c:pt idx="5">
                  <c:v>2011</c:v>
                </c:pt>
                <c:pt idx="6">
                  <c:v>2012</c:v>
                </c:pt>
              </c:strCache>
            </c:strRef>
          </c:cat>
          <c:val>
            <c:numRef>
              <c:f>'OECD.Stat export'!$B$31:$H$31</c:f>
              <c:numCache>
                <c:formatCode>0.0</c:formatCode>
                <c:ptCount val="7"/>
                <c:pt idx="0">
                  <c:v>8.5286799999999996</c:v>
                </c:pt>
                <c:pt idx="1">
                  <c:v>8.9563400000000026</c:v>
                </c:pt>
                <c:pt idx="2">
                  <c:v>11.00264</c:v>
                </c:pt>
                <c:pt idx="3">
                  <c:v>11.314360000000001</c:v>
                </c:pt>
                <c:pt idx="4">
                  <c:v>13.384499999999999</c:v>
                </c:pt>
                <c:pt idx="5">
                  <c:v>12.77233</c:v>
                </c:pt>
                <c:pt idx="6">
                  <c:v>13.101699999999999</c:v>
                </c:pt>
              </c:numCache>
            </c:numRef>
          </c:val>
        </c:ser>
        <c:ser>
          <c:idx val="6"/>
          <c:order val="6"/>
          <c:tx>
            <c:strRef>
              <c:f>'OECD.Stat export'!$A$32</c:f>
              <c:strCache>
                <c:ptCount val="1"/>
                <c:pt idx="0">
                  <c:v>IX. Unallocated / Unspecified</c:v>
                </c:pt>
              </c:strCache>
            </c:strRef>
          </c:tx>
          <c:invertIfNegative val="0"/>
          <c:cat>
            <c:strRef>
              <c:f>'OECD.Stat export'!$B$25:$H$25</c:f>
              <c:strCache>
                <c:ptCount val="7"/>
                <c:pt idx="0">
                  <c:v>2006</c:v>
                </c:pt>
                <c:pt idx="1">
                  <c:v>2007</c:v>
                </c:pt>
                <c:pt idx="2">
                  <c:v>2008</c:v>
                </c:pt>
                <c:pt idx="3">
                  <c:v>2009</c:v>
                </c:pt>
                <c:pt idx="4">
                  <c:v>2010</c:v>
                </c:pt>
                <c:pt idx="5">
                  <c:v>2011</c:v>
                </c:pt>
                <c:pt idx="6">
                  <c:v>2012</c:v>
                </c:pt>
              </c:strCache>
            </c:strRef>
          </c:cat>
          <c:val>
            <c:numRef>
              <c:f>'OECD.Stat export'!$B$32:$H$32</c:f>
              <c:numCache>
                <c:formatCode>0.0</c:formatCode>
                <c:ptCount val="7"/>
                <c:pt idx="0">
                  <c:v>13.58991</c:v>
                </c:pt>
                <c:pt idx="1">
                  <c:v>11.43075</c:v>
                </c:pt>
                <c:pt idx="2">
                  <c:v>13.18418</c:v>
                </c:pt>
                <c:pt idx="3">
                  <c:v>12.9573</c:v>
                </c:pt>
                <c:pt idx="4">
                  <c:v>12.866009999999999</c:v>
                </c:pt>
                <c:pt idx="5">
                  <c:v>15.14822</c:v>
                </c:pt>
                <c:pt idx="6">
                  <c:v>14.733639999999999</c:v>
                </c:pt>
              </c:numCache>
            </c:numRef>
          </c:val>
        </c:ser>
        <c:dLbls>
          <c:showLegendKey val="0"/>
          <c:showVal val="0"/>
          <c:showCatName val="0"/>
          <c:showSerName val="0"/>
          <c:showPercent val="0"/>
          <c:showBubbleSize val="0"/>
        </c:dLbls>
        <c:gapWidth val="150"/>
        <c:overlap val="100"/>
        <c:axId val="208793984"/>
        <c:axId val="208795520"/>
      </c:barChart>
      <c:catAx>
        <c:axId val="208793984"/>
        <c:scaling>
          <c:orientation val="minMax"/>
        </c:scaling>
        <c:delete val="0"/>
        <c:axPos val="b"/>
        <c:majorTickMark val="out"/>
        <c:minorTickMark val="none"/>
        <c:tickLblPos val="nextTo"/>
        <c:crossAx val="208795520"/>
        <c:crosses val="autoZero"/>
        <c:auto val="1"/>
        <c:lblAlgn val="ctr"/>
        <c:lblOffset val="100"/>
        <c:noMultiLvlLbl val="0"/>
      </c:catAx>
      <c:valAx>
        <c:axId val="208795520"/>
        <c:scaling>
          <c:orientation val="minMax"/>
        </c:scaling>
        <c:delete val="0"/>
        <c:axPos val="l"/>
        <c:majorGridlines/>
        <c:numFmt formatCode="0.0" sourceLinked="1"/>
        <c:majorTickMark val="out"/>
        <c:minorTickMark val="none"/>
        <c:tickLblPos val="nextTo"/>
        <c:crossAx val="208793984"/>
        <c:crosses val="autoZero"/>
        <c:crossBetween val="between"/>
      </c:valAx>
    </c:plotArea>
    <c:legend>
      <c:legendPos val="r"/>
      <c:layout>
        <c:manualLayout>
          <c:xMode val="edge"/>
          <c:yMode val="edge"/>
          <c:x val="0.65638888888888902"/>
          <c:y val="3.9363517060367503E-2"/>
          <c:w val="0.32694444444444398"/>
          <c:h val="0.9397914843977840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'OECD.Stat export'!$A$17</c:f>
              <c:strCache>
                <c:ptCount val="1"/>
                <c:pt idx="0">
                  <c:v>I. Social Infrastructure &amp; Services</c:v>
                </c:pt>
              </c:strCache>
            </c:strRef>
          </c:tx>
          <c:spPr>
            <a:ln>
              <a:prstDash val="sysDash"/>
            </a:ln>
          </c:spPr>
          <c:marker>
            <c:symbol val="none"/>
          </c:marker>
          <c:cat>
            <c:strRef>
              <c:f>'OECD.Stat export'!$B$16:$H$16</c:f>
              <c:strCache>
                <c:ptCount val="7"/>
                <c:pt idx="0">
                  <c:v>2006</c:v>
                </c:pt>
                <c:pt idx="1">
                  <c:v>2007</c:v>
                </c:pt>
                <c:pt idx="2">
                  <c:v>2008</c:v>
                </c:pt>
                <c:pt idx="3">
                  <c:v>2009</c:v>
                </c:pt>
                <c:pt idx="4">
                  <c:v>2010</c:v>
                </c:pt>
                <c:pt idx="5">
                  <c:v>2011</c:v>
                </c:pt>
                <c:pt idx="6">
                  <c:v>2012</c:v>
                </c:pt>
              </c:strCache>
            </c:strRef>
          </c:cat>
          <c:val>
            <c:numRef>
              <c:f>'OECD.Stat export'!$B$17:$H$17</c:f>
              <c:numCache>
                <c:formatCode>General</c:formatCode>
                <c:ptCount val="7"/>
                <c:pt idx="0">
                  <c:v>100</c:v>
                </c:pt>
                <c:pt idx="1">
                  <c:v>116.6195218700605</c:v>
                </c:pt>
                <c:pt idx="2">
                  <c:v>132.91631042698799</c:v>
                </c:pt>
                <c:pt idx="3">
                  <c:v>140.3603204859742</c:v>
                </c:pt>
                <c:pt idx="4">
                  <c:v>138.19133818098069</c:v>
                </c:pt>
                <c:pt idx="5">
                  <c:v>148.00178757800549</c:v>
                </c:pt>
                <c:pt idx="6">
                  <c:v>143.22357612957191</c:v>
                </c:pt>
              </c:numCache>
            </c:numRef>
          </c:val>
          <c:smooth val="0"/>
        </c:ser>
        <c:ser>
          <c:idx val="1"/>
          <c:order val="1"/>
          <c:tx>
            <c:strRef>
              <c:f>'OECD.Stat export'!$A$18</c:f>
              <c:strCache>
                <c:ptCount val="1"/>
                <c:pt idx="0">
                  <c:v>II. Economic Infrastructure &amp; Services</c:v>
                </c:pt>
              </c:strCache>
            </c:strRef>
          </c:tx>
          <c:marker>
            <c:symbol val="none"/>
          </c:marker>
          <c:cat>
            <c:strRef>
              <c:f>'OECD.Stat export'!$B$16:$H$16</c:f>
              <c:strCache>
                <c:ptCount val="7"/>
                <c:pt idx="0">
                  <c:v>2006</c:v>
                </c:pt>
                <c:pt idx="1">
                  <c:v>2007</c:v>
                </c:pt>
                <c:pt idx="2">
                  <c:v>2008</c:v>
                </c:pt>
                <c:pt idx="3">
                  <c:v>2009</c:v>
                </c:pt>
                <c:pt idx="4">
                  <c:v>2010</c:v>
                </c:pt>
                <c:pt idx="5">
                  <c:v>2011</c:v>
                </c:pt>
                <c:pt idx="6">
                  <c:v>2012</c:v>
                </c:pt>
              </c:strCache>
            </c:strRef>
          </c:cat>
          <c:val>
            <c:numRef>
              <c:f>'OECD.Stat export'!$B$18:$H$18</c:f>
              <c:numCache>
                <c:formatCode>General</c:formatCode>
                <c:ptCount val="7"/>
                <c:pt idx="0">
                  <c:v>100</c:v>
                </c:pt>
                <c:pt idx="1">
                  <c:v>123.2892372090907</c:v>
                </c:pt>
                <c:pt idx="2">
                  <c:v>173.57885104887851</c:v>
                </c:pt>
                <c:pt idx="3">
                  <c:v>162.47210025959711</c:v>
                </c:pt>
                <c:pt idx="4">
                  <c:v>192.54024766628001</c:v>
                </c:pt>
                <c:pt idx="5">
                  <c:v>194.31338201727451</c:v>
                </c:pt>
                <c:pt idx="6">
                  <c:v>236.86437250545359</c:v>
                </c:pt>
              </c:numCache>
            </c:numRef>
          </c:val>
          <c:smooth val="0"/>
        </c:ser>
        <c:ser>
          <c:idx val="2"/>
          <c:order val="2"/>
          <c:tx>
            <c:strRef>
              <c:f>'OECD.Stat export'!$A$19</c:f>
              <c:strCache>
                <c:ptCount val="1"/>
                <c:pt idx="0">
                  <c:v>III. Production Sectors</c:v>
                </c:pt>
              </c:strCache>
            </c:strRef>
          </c:tx>
          <c:marker>
            <c:symbol val="none"/>
          </c:marker>
          <c:cat>
            <c:strRef>
              <c:f>'OECD.Stat export'!$B$16:$H$16</c:f>
              <c:strCache>
                <c:ptCount val="7"/>
                <c:pt idx="0">
                  <c:v>2006</c:v>
                </c:pt>
                <c:pt idx="1">
                  <c:v>2007</c:v>
                </c:pt>
                <c:pt idx="2">
                  <c:v>2008</c:v>
                </c:pt>
                <c:pt idx="3">
                  <c:v>2009</c:v>
                </c:pt>
                <c:pt idx="4">
                  <c:v>2010</c:v>
                </c:pt>
                <c:pt idx="5">
                  <c:v>2011</c:v>
                </c:pt>
                <c:pt idx="6">
                  <c:v>2012</c:v>
                </c:pt>
              </c:strCache>
            </c:strRef>
          </c:cat>
          <c:val>
            <c:numRef>
              <c:f>'OECD.Stat export'!$B$19:$H$19</c:f>
              <c:numCache>
                <c:formatCode>General</c:formatCode>
                <c:ptCount val="7"/>
                <c:pt idx="0">
                  <c:v>100</c:v>
                </c:pt>
                <c:pt idx="1">
                  <c:v>111.11627131414311</c:v>
                </c:pt>
                <c:pt idx="2">
                  <c:v>139.5059380075715</c:v>
                </c:pt>
                <c:pt idx="3">
                  <c:v>157.55365204449029</c:v>
                </c:pt>
                <c:pt idx="4">
                  <c:v>159.16305898482611</c:v>
                </c:pt>
                <c:pt idx="5">
                  <c:v>195.12237297974971</c:v>
                </c:pt>
                <c:pt idx="6">
                  <c:v>217.95273061887451</c:v>
                </c:pt>
              </c:numCache>
            </c:numRef>
          </c:val>
          <c:smooth val="0"/>
        </c:ser>
        <c:ser>
          <c:idx val="3"/>
          <c:order val="3"/>
          <c:tx>
            <c:strRef>
              <c:f>'OECD.Stat export'!$A$20</c:f>
              <c:strCache>
                <c:ptCount val="1"/>
                <c:pt idx="0">
                  <c:v>IV. Multi-Sector / Cross-Cutting</c:v>
                </c:pt>
              </c:strCache>
            </c:strRef>
          </c:tx>
          <c:spPr>
            <a:ln>
              <a:prstDash val="sysDash"/>
            </a:ln>
          </c:spPr>
          <c:marker>
            <c:symbol val="none"/>
          </c:marker>
          <c:cat>
            <c:strRef>
              <c:f>'OECD.Stat export'!$B$16:$H$16</c:f>
              <c:strCache>
                <c:ptCount val="7"/>
                <c:pt idx="0">
                  <c:v>2006</c:v>
                </c:pt>
                <c:pt idx="1">
                  <c:v>2007</c:v>
                </c:pt>
                <c:pt idx="2">
                  <c:v>2008</c:v>
                </c:pt>
                <c:pt idx="3">
                  <c:v>2009</c:v>
                </c:pt>
                <c:pt idx="4">
                  <c:v>2010</c:v>
                </c:pt>
                <c:pt idx="5">
                  <c:v>2011</c:v>
                </c:pt>
                <c:pt idx="6">
                  <c:v>2012</c:v>
                </c:pt>
              </c:strCache>
            </c:strRef>
          </c:cat>
          <c:val>
            <c:numRef>
              <c:f>'OECD.Stat export'!$B$20:$H$20</c:f>
              <c:numCache>
                <c:formatCode>General</c:formatCode>
                <c:ptCount val="7"/>
                <c:pt idx="0">
                  <c:v>100</c:v>
                </c:pt>
                <c:pt idx="1">
                  <c:v>121.0633236797842</c:v>
                </c:pt>
                <c:pt idx="2">
                  <c:v>136.88786285598661</c:v>
                </c:pt>
                <c:pt idx="3">
                  <c:v>159.46728044690681</c:v>
                </c:pt>
                <c:pt idx="4">
                  <c:v>241.7836953510056</c:v>
                </c:pt>
                <c:pt idx="5">
                  <c:v>209.34662066380699</c:v>
                </c:pt>
                <c:pt idx="6">
                  <c:v>217.10149792883661</c:v>
                </c:pt>
              </c:numCache>
            </c:numRef>
          </c:val>
          <c:smooth val="0"/>
        </c:ser>
        <c:ser>
          <c:idx val="4"/>
          <c:order val="4"/>
          <c:tx>
            <c:strRef>
              <c:f>'OECD.Stat export'!$A$21</c:f>
              <c:strCache>
                <c:ptCount val="1"/>
                <c:pt idx="0">
                  <c:v>VII. Action Relating to Debt</c:v>
                </c:pt>
              </c:strCache>
            </c:strRef>
          </c:tx>
          <c:spPr>
            <a:ln>
              <a:prstDash val="sysDash"/>
            </a:ln>
          </c:spPr>
          <c:marker>
            <c:symbol val="none"/>
          </c:marker>
          <c:cat>
            <c:strRef>
              <c:f>'OECD.Stat export'!$B$16:$H$16</c:f>
              <c:strCache>
                <c:ptCount val="7"/>
                <c:pt idx="0">
                  <c:v>2006</c:v>
                </c:pt>
                <c:pt idx="1">
                  <c:v>2007</c:v>
                </c:pt>
                <c:pt idx="2">
                  <c:v>2008</c:v>
                </c:pt>
                <c:pt idx="3">
                  <c:v>2009</c:v>
                </c:pt>
                <c:pt idx="4">
                  <c:v>2010</c:v>
                </c:pt>
                <c:pt idx="5">
                  <c:v>2011</c:v>
                </c:pt>
                <c:pt idx="6">
                  <c:v>2012</c:v>
                </c:pt>
              </c:strCache>
            </c:strRef>
          </c:cat>
          <c:val>
            <c:numRef>
              <c:f>'OECD.Stat export'!$B$21:$H$21</c:f>
              <c:numCache>
                <c:formatCode>General</c:formatCode>
                <c:ptCount val="7"/>
                <c:pt idx="0">
                  <c:v>100</c:v>
                </c:pt>
                <c:pt idx="1">
                  <c:v>59.271369767430834</c:v>
                </c:pt>
                <c:pt idx="2">
                  <c:v>48.660668301800762</c:v>
                </c:pt>
                <c:pt idx="3">
                  <c:v>11.840586062399719</c:v>
                </c:pt>
                <c:pt idx="4">
                  <c:v>20.9824251098673</c:v>
                </c:pt>
                <c:pt idx="5">
                  <c:v>19.485247375446001</c:v>
                </c:pt>
                <c:pt idx="6">
                  <c:v>12.632552959769409</c:v>
                </c:pt>
              </c:numCache>
            </c:numRef>
          </c:val>
          <c:smooth val="0"/>
        </c:ser>
        <c:ser>
          <c:idx val="5"/>
          <c:order val="5"/>
          <c:tx>
            <c:strRef>
              <c:f>'OECD.Stat export'!$A$22</c:f>
              <c:strCache>
                <c:ptCount val="1"/>
                <c:pt idx="0">
                  <c:v>VIII. Humanitarian Aid</c:v>
                </c:pt>
              </c:strCache>
            </c:strRef>
          </c:tx>
          <c:spPr>
            <a:ln>
              <a:prstDash val="sysDash"/>
            </a:ln>
          </c:spPr>
          <c:marker>
            <c:symbol val="none"/>
          </c:marker>
          <c:cat>
            <c:strRef>
              <c:f>'OECD.Stat export'!$B$16:$H$16</c:f>
              <c:strCache>
                <c:ptCount val="7"/>
                <c:pt idx="0">
                  <c:v>2006</c:v>
                </c:pt>
                <c:pt idx="1">
                  <c:v>2007</c:v>
                </c:pt>
                <c:pt idx="2">
                  <c:v>2008</c:v>
                </c:pt>
                <c:pt idx="3">
                  <c:v>2009</c:v>
                </c:pt>
                <c:pt idx="4">
                  <c:v>2010</c:v>
                </c:pt>
                <c:pt idx="5">
                  <c:v>2011</c:v>
                </c:pt>
                <c:pt idx="6">
                  <c:v>2012</c:v>
                </c:pt>
              </c:strCache>
            </c:strRef>
          </c:cat>
          <c:val>
            <c:numRef>
              <c:f>'OECD.Stat export'!$B$22:$H$22</c:f>
              <c:numCache>
                <c:formatCode>General</c:formatCode>
                <c:ptCount val="7"/>
                <c:pt idx="0">
                  <c:v>100</c:v>
                </c:pt>
                <c:pt idx="1">
                  <c:v>105.0143750263816</c:v>
                </c:pt>
                <c:pt idx="2">
                  <c:v>129.00753692247801</c:v>
                </c:pt>
                <c:pt idx="3">
                  <c:v>132.6624987688599</c:v>
                </c:pt>
                <c:pt idx="4">
                  <c:v>156.9351880947579</c:v>
                </c:pt>
                <c:pt idx="5">
                  <c:v>149.75740677338109</c:v>
                </c:pt>
                <c:pt idx="6">
                  <c:v>153.6193174090246</c:v>
                </c:pt>
              </c:numCache>
            </c:numRef>
          </c:val>
          <c:smooth val="0"/>
        </c:ser>
        <c:ser>
          <c:idx val="6"/>
          <c:order val="6"/>
          <c:tx>
            <c:strRef>
              <c:f>'OECD.Stat export'!$A$23</c:f>
              <c:strCache>
                <c:ptCount val="1"/>
                <c:pt idx="0">
                  <c:v>IX. Unallocated / Unspecified</c:v>
                </c:pt>
              </c:strCache>
            </c:strRef>
          </c:tx>
          <c:spPr>
            <a:ln>
              <a:prstDash val="sysDash"/>
            </a:ln>
          </c:spPr>
          <c:marker>
            <c:symbol val="none"/>
          </c:marker>
          <c:cat>
            <c:strRef>
              <c:f>'OECD.Stat export'!$B$16:$H$16</c:f>
              <c:strCache>
                <c:ptCount val="7"/>
                <c:pt idx="0">
                  <c:v>2006</c:v>
                </c:pt>
                <c:pt idx="1">
                  <c:v>2007</c:v>
                </c:pt>
                <c:pt idx="2">
                  <c:v>2008</c:v>
                </c:pt>
                <c:pt idx="3">
                  <c:v>2009</c:v>
                </c:pt>
                <c:pt idx="4">
                  <c:v>2010</c:v>
                </c:pt>
                <c:pt idx="5">
                  <c:v>2011</c:v>
                </c:pt>
                <c:pt idx="6">
                  <c:v>2012</c:v>
                </c:pt>
              </c:strCache>
            </c:strRef>
          </c:cat>
          <c:val>
            <c:numRef>
              <c:f>'OECD.Stat export'!$B$23:$H$23</c:f>
              <c:numCache>
                <c:formatCode>General</c:formatCode>
                <c:ptCount val="7"/>
                <c:pt idx="0">
                  <c:v>100</c:v>
                </c:pt>
                <c:pt idx="1">
                  <c:v>84.112036062048958</c:v>
                </c:pt>
                <c:pt idx="2">
                  <c:v>97.014476181225632</c:v>
                </c:pt>
                <c:pt idx="3">
                  <c:v>95.345002284783348</c:v>
                </c:pt>
                <c:pt idx="4">
                  <c:v>94.673253906758745</c:v>
                </c:pt>
                <c:pt idx="5">
                  <c:v>111.4666690213548</c:v>
                </c:pt>
                <c:pt idx="6">
                  <c:v>108.41602335850639</c:v>
                </c:pt>
              </c:numCache>
            </c:numRef>
          </c:val>
          <c:smooth val="0"/>
        </c:ser>
        <c:dLbls>
          <c:showLegendKey val="0"/>
          <c:showVal val="0"/>
          <c:showCatName val="0"/>
          <c:showSerName val="0"/>
          <c:showPercent val="0"/>
          <c:showBubbleSize val="0"/>
        </c:dLbls>
        <c:marker val="1"/>
        <c:smooth val="0"/>
        <c:axId val="230258560"/>
        <c:axId val="230260096"/>
      </c:lineChart>
      <c:catAx>
        <c:axId val="230258560"/>
        <c:scaling>
          <c:orientation val="minMax"/>
        </c:scaling>
        <c:delete val="0"/>
        <c:axPos val="b"/>
        <c:majorTickMark val="out"/>
        <c:minorTickMark val="none"/>
        <c:tickLblPos val="nextTo"/>
        <c:crossAx val="230260096"/>
        <c:crosses val="autoZero"/>
        <c:auto val="1"/>
        <c:lblAlgn val="ctr"/>
        <c:lblOffset val="100"/>
        <c:noMultiLvlLbl val="0"/>
      </c:catAx>
      <c:valAx>
        <c:axId val="230260096"/>
        <c:scaling>
          <c:orientation val="minMax"/>
        </c:scaling>
        <c:delete val="0"/>
        <c:axPos val="l"/>
        <c:majorGridlines/>
        <c:numFmt formatCode="General" sourceLinked="1"/>
        <c:majorTickMark val="out"/>
        <c:minorTickMark val="none"/>
        <c:tickLblPos val="nextTo"/>
        <c:crossAx val="230258560"/>
        <c:crosses val="autoZero"/>
        <c:crossBetween val="between"/>
      </c:valAx>
    </c:plotArea>
    <c:legend>
      <c:legendPos val="r"/>
      <c:layout>
        <c:manualLayout>
          <c:xMode val="edge"/>
          <c:yMode val="edge"/>
          <c:x val="0.65155424321959798"/>
          <c:y val="2.0844998541848899E-2"/>
          <c:w val="0.33177909011373602"/>
          <c:h val="0.9675692621755610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798950AD-AFD7-4551-9102-CFAB1165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4675</Words>
  <Characters>25715</Characters>
  <Application>Microsoft Office Word</Application>
  <DocSecurity>0</DocSecurity>
  <Lines>214</Lines>
  <Paragraphs>60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O.E.C.D.</Company>
  <LinksUpToDate>false</LinksUpToDate>
  <CharactersWithSpaces>30330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HABBARD Pierre</dc:creator>
  <cp:lastModifiedBy>Marion Levillain</cp:lastModifiedBy>
  <cp:revision>3</cp:revision>
  <cp:lastPrinted>2014-03-16T12:45:00Z</cp:lastPrinted>
  <dcterms:created xsi:type="dcterms:W3CDTF">2014-03-18T09:24:00Z</dcterms:created>
  <dcterms:modified xsi:type="dcterms:W3CDTF">2014-03-18T09:25:00Z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20110530-001</vt:lpwstr>
  </property>
</Properties>
</file>