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2D" w:rsidRPr="00917F3D" w:rsidRDefault="003D052D" w:rsidP="003D052D">
      <w:pPr>
        <w:pStyle w:val="Heading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color w:val="980027"/>
          <w:sz w:val="32"/>
        </w:rPr>
      </w:pPr>
      <w:r w:rsidRPr="00917F3D">
        <w:rPr>
          <w:rFonts w:asciiTheme="minorHAnsi" w:hAnsiTheme="minorHAnsi"/>
          <w:color w:val="980027"/>
          <w:sz w:val="32"/>
        </w:rPr>
        <w:t>Organisational Capacity Assessment</w:t>
      </w:r>
    </w:p>
    <w:p w:rsidR="003D052D" w:rsidRPr="00917F3D" w:rsidRDefault="003D052D" w:rsidP="003D052D">
      <w:pPr>
        <w:pStyle w:val="Heading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jc w:val="center"/>
        <w:rPr>
          <w:rFonts w:asciiTheme="minorHAnsi" w:hAnsiTheme="minorHAnsi"/>
          <w:color w:val="000000"/>
        </w:rPr>
      </w:pPr>
      <w:r w:rsidRPr="00917F3D">
        <w:rPr>
          <w:rFonts w:asciiTheme="minorHAnsi" w:hAnsiTheme="minorHAnsi"/>
          <w:color w:val="000000"/>
        </w:rPr>
        <w:t xml:space="preserve">WORK PLAN </w:t>
      </w:r>
    </w:p>
    <w:p w:rsidR="003D052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rPr>
      </w:pPr>
    </w:p>
    <w:p w:rsidR="003D052D" w:rsidRPr="00917F3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rPr>
      </w:pPr>
      <w:r w:rsidRPr="00917F3D">
        <w:rPr>
          <w:rFonts w:asciiTheme="minorHAnsi" w:hAnsiTheme="minorHAnsi"/>
        </w:rPr>
        <w:tab/>
      </w:r>
      <w:r w:rsidRPr="00917F3D">
        <w:rPr>
          <w:rFonts w:asciiTheme="minorHAnsi" w:hAnsiTheme="minorHAnsi"/>
        </w:rPr>
        <w:tab/>
      </w:r>
      <w:r w:rsidRPr="00917F3D">
        <w:rPr>
          <w:rFonts w:asciiTheme="minorHAnsi" w:hAnsiTheme="minorHAnsi"/>
        </w:rPr>
        <w:tab/>
      </w:r>
      <w:r w:rsidRPr="00917F3D">
        <w:rPr>
          <w:rFonts w:asciiTheme="minorHAnsi" w:hAnsiTheme="minorHAnsi"/>
        </w:rPr>
        <w:tab/>
      </w:r>
      <w:r w:rsidRPr="00917F3D">
        <w:rPr>
          <w:rFonts w:asciiTheme="minorHAnsi" w:hAnsiTheme="minorHAnsi"/>
        </w:rPr>
        <w:tab/>
      </w:r>
    </w:p>
    <w:p w:rsidR="003D052D" w:rsidRPr="00917F3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rPr>
      </w:pPr>
      <w:r w:rsidRPr="00917F3D">
        <w:rPr>
          <w:rFonts w:asciiTheme="minorHAnsi" w:hAnsiTheme="minorHAnsi"/>
          <w:b/>
          <w:sz w:val="28"/>
        </w:rPr>
        <w:t>Introduction</w:t>
      </w:r>
    </w:p>
    <w:p w:rsidR="003D052D" w:rsidRPr="00917F3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917F3D">
        <w:rPr>
          <w:rFonts w:asciiTheme="minorHAnsi" w:hAnsiTheme="minorHAnsi"/>
        </w:rPr>
        <w:t xml:space="preserve">Union growth is set as one of the three main strategic goals of the ITUC </w:t>
      </w:r>
      <w:r>
        <w:rPr>
          <w:rFonts w:asciiTheme="minorHAnsi" w:hAnsiTheme="minorHAnsi"/>
        </w:rPr>
        <w:t>following its 3</w:t>
      </w:r>
      <w:r w:rsidRPr="002B6DE1">
        <w:rPr>
          <w:rFonts w:asciiTheme="minorHAnsi" w:hAnsiTheme="minorHAnsi"/>
          <w:vertAlign w:val="superscript"/>
        </w:rPr>
        <w:t>rd</w:t>
      </w:r>
      <w:r>
        <w:rPr>
          <w:rFonts w:asciiTheme="minorHAnsi" w:hAnsiTheme="minorHAnsi"/>
        </w:rPr>
        <w:t xml:space="preserve"> World Congress</w:t>
      </w:r>
      <w:r w:rsidRPr="00917F3D">
        <w:rPr>
          <w:rFonts w:asciiTheme="minorHAnsi" w:hAnsiTheme="minorHAnsi"/>
        </w:rPr>
        <w:t>.</w:t>
      </w:r>
      <w:r w:rsidRPr="00917F3D">
        <w:rPr>
          <w:rFonts w:asciiTheme="minorHAnsi" w:hAnsiTheme="minorHAnsi"/>
          <w:b/>
        </w:rPr>
        <w:t xml:space="preserve"> </w:t>
      </w:r>
      <w:r w:rsidRPr="00917F3D">
        <w:rPr>
          <w:rFonts w:asciiTheme="minorHAnsi" w:hAnsiTheme="minorHAnsi"/>
        </w:rPr>
        <w:t>In this sense</w:t>
      </w:r>
      <w:r w:rsidRPr="00917F3D">
        <w:rPr>
          <w:rFonts w:asciiTheme="minorHAnsi" w:hAnsiTheme="minorHAnsi"/>
          <w:b/>
        </w:rPr>
        <w:t xml:space="preserve"> “organising”</w:t>
      </w:r>
      <w:r w:rsidRPr="00917F3D">
        <w:rPr>
          <w:rFonts w:asciiTheme="minorHAnsi" w:hAnsiTheme="minorHAnsi"/>
        </w:rPr>
        <w:t xml:space="preserve"> is one of the priorities of trade union work. Capacity development strategies undertaken by trade unions contribute to organising through fostering stronger unions. After many years of trade union development cooperation work on capacity development, reflections need to be deepened on the impact of this work. Several trade unions and Solidarity Support Organisations (SSOs) have already undertaken such evaluations of capacity development. It now becomes pressing to put together the different experiences and </w:t>
      </w:r>
      <w:r>
        <w:rPr>
          <w:rFonts w:asciiTheme="minorHAnsi" w:hAnsiTheme="minorHAnsi"/>
        </w:rPr>
        <w:t>work on</w:t>
      </w:r>
      <w:r w:rsidRPr="00917F3D">
        <w:rPr>
          <w:rFonts w:asciiTheme="minorHAnsi" w:hAnsiTheme="minorHAnsi"/>
        </w:rPr>
        <w:t xml:space="preserve"> common </w:t>
      </w:r>
      <w:r w:rsidRPr="00917F3D">
        <w:rPr>
          <w:rFonts w:asciiTheme="minorHAnsi" w:hAnsiTheme="minorHAnsi"/>
          <w:b/>
        </w:rPr>
        <w:t>Organisational Capacity Assessment (OCA) frameworks</w:t>
      </w:r>
      <w:r w:rsidRPr="00917F3D">
        <w:rPr>
          <w:rFonts w:asciiTheme="minorHAnsi" w:hAnsiTheme="minorHAnsi"/>
        </w:rPr>
        <w:t xml:space="preserve"> that will serve the trade union movement in its capacity development strategies. The development of common OCA frameworks will contribute to evaluate these strategies and to shape new strategies with clear objectives, results and indicators. </w:t>
      </w:r>
    </w:p>
    <w:p w:rsidR="003D052D" w:rsidRPr="00917F3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rPr>
      </w:pPr>
      <w:r w:rsidRPr="00917F3D">
        <w:rPr>
          <w:rFonts w:asciiTheme="minorHAnsi" w:hAnsiTheme="minorHAnsi"/>
          <w:b/>
          <w:sz w:val="28"/>
        </w:rPr>
        <w:t>Background</w:t>
      </w:r>
    </w:p>
    <w:p w:rsidR="003D052D" w:rsidRPr="00917F3D" w:rsidRDefault="003D052D" w:rsidP="003D052D">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rPr>
      </w:pPr>
      <w:r w:rsidRPr="00917F3D">
        <w:rPr>
          <w:rFonts w:asciiTheme="minorHAnsi" w:hAnsiTheme="minorHAnsi"/>
        </w:rPr>
        <w:t xml:space="preserve">Following the work </w:t>
      </w:r>
      <w:r>
        <w:rPr>
          <w:rFonts w:asciiTheme="minorHAnsi" w:hAnsiTheme="minorHAnsi"/>
        </w:rPr>
        <w:t>of</w:t>
      </w:r>
      <w:r w:rsidRPr="00917F3D">
        <w:rPr>
          <w:rFonts w:asciiTheme="minorHAnsi" w:hAnsiTheme="minorHAnsi"/>
        </w:rPr>
        <w:t xml:space="preserve"> the TUDCN on the Trade Union Development Effectiveness Principles (the drafting of the Principles and Guidelines and the elaboration of the Trade Union Development Effectiveness Profile -TUDEP) and the research “Insight into the Results of Trade Unions’ Development Work”, several organisations manifested their interest in going a step further. </w:t>
      </w:r>
    </w:p>
    <w:p w:rsidR="003D052D" w:rsidRPr="00917F3D" w:rsidRDefault="003D052D" w:rsidP="003D052D">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inorHAnsi" w:hAnsiTheme="minorHAnsi"/>
        </w:rPr>
      </w:pP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917F3D">
        <w:rPr>
          <w:rFonts w:asciiTheme="minorHAnsi" w:hAnsiTheme="minorHAnsi"/>
        </w:rPr>
        <w:t>This implies deepening the reflection on the relation between trade union solidarity projects and the impact of those on the actual partner organisations, specifically in terms of structural improvements. In other words, the question that we should tackle is to what extent our solidarity programs contribute to the strengthening of partner organisations, and how (on what criteria) we can assess it. Trade unions have already clear cut points of reference in this respect</w:t>
      </w:r>
      <w:r w:rsidRPr="00917F3D">
        <w:rPr>
          <w:rStyle w:val="FootnoteReference1"/>
          <w:rFonts w:asciiTheme="minorHAnsi" w:hAnsiTheme="minorHAnsi"/>
        </w:rPr>
        <w:footnoteReference w:id="1"/>
      </w:r>
      <w:r w:rsidRPr="00917F3D">
        <w:rPr>
          <w:rFonts w:asciiTheme="minorHAnsi" w:hAnsiTheme="minorHAnsi"/>
        </w:rPr>
        <w:t xml:space="preserve">, linked to their very nature of representative and membership based organisations. However, there is no common approach when it comes to assessment. Quite surprisingly, during the elaboration of “Insight into </w:t>
      </w:r>
      <w:r>
        <w:rPr>
          <w:rFonts w:asciiTheme="minorHAnsi" w:hAnsiTheme="minorHAnsi"/>
        </w:rPr>
        <w:t>the R</w:t>
      </w:r>
      <w:r w:rsidRPr="00917F3D">
        <w:rPr>
          <w:rFonts w:asciiTheme="minorHAnsi" w:hAnsiTheme="minorHAnsi"/>
        </w:rPr>
        <w:t>esults</w:t>
      </w:r>
      <w:r>
        <w:rPr>
          <w:rFonts w:asciiTheme="minorHAnsi" w:hAnsiTheme="minorHAnsi"/>
        </w:rPr>
        <w:t>…</w:t>
      </w:r>
      <w:proofErr w:type="gramStart"/>
      <w:r w:rsidRPr="00917F3D">
        <w:rPr>
          <w:rFonts w:asciiTheme="minorHAnsi" w:hAnsiTheme="minorHAnsi"/>
        </w:rPr>
        <w:t>”,</w:t>
      </w:r>
      <w:proofErr w:type="gramEnd"/>
      <w:r w:rsidRPr="00917F3D">
        <w:rPr>
          <w:rFonts w:asciiTheme="minorHAnsi" w:hAnsiTheme="minorHAnsi"/>
        </w:rPr>
        <w:t xml:space="preserve"> it was registered that TUs are currently using different methodologies and instruments in the field of OCA</w:t>
      </w:r>
      <w:r w:rsidRPr="00917F3D">
        <w:rPr>
          <w:rStyle w:val="FootnoteReference1"/>
          <w:rFonts w:asciiTheme="minorHAnsi" w:hAnsiTheme="minorHAnsi"/>
        </w:rPr>
        <w:footnoteReference w:id="2"/>
      </w:r>
      <w:r w:rsidRPr="005F65A5">
        <w:rPr>
          <w:rFonts w:asciiTheme="minorHAnsi" w:hAnsiTheme="minorHAnsi"/>
        </w:rPr>
        <w:t xml:space="preserve">.  Therefore, the elaboration of shared OCA frameworks will </w:t>
      </w:r>
      <w:r w:rsidRPr="005F65A5">
        <w:rPr>
          <w:rFonts w:asciiTheme="minorHAnsi" w:hAnsiTheme="minorHAnsi"/>
        </w:rPr>
        <w:lastRenderedPageBreak/>
        <w:t xml:space="preserve">help us to build up a coherent approach in supporting organisations, and also to strengthen joint ownership in trade union cooperation. </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rPr>
      </w:pPr>
      <w:r w:rsidRPr="005F65A5">
        <w:rPr>
          <w:rFonts w:asciiTheme="minorHAnsi" w:hAnsiTheme="minorHAnsi"/>
          <w:b/>
          <w:sz w:val="28"/>
        </w:rPr>
        <w:t>Objectives</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The objectives of the work to be undertaken are:</w:t>
      </w:r>
    </w:p>
    <w:p w:rsidR="003D052D" w:rsidRPr="005F65A5" w:rsidRDefault="003D052D" w:rsidP="003D052D">
      <w:pPr>
        <w:pStyle w:val="ListParagraph"/>
        <w:numPr>
          <w:ilvl w:val="0"/>
          <w:numId w:val="28"/>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rPr>
      </w:pPr>
      <w:r w:rsidRPr="005F65A5">
        <w:rPr>
          <w:rFonts w:asciiTheme="minorHAnsi" w:hAnsiTheme="minorHAnsi"/>
        </w:rPr>
        <w:t>To establish a shared trade union framework on Organisational Capacity Assessment.</w:t>
      </w:r>
    </w:p>
    <w:p w:rsidR="003D052D" w:rsidRPr="005F65A5" w:rsidRDefault="003D052D" w:rsidP="003D052D">
      <w:pPr>
        <w:pStyle w:val="ListParagraph"/>
        <w:numPr>
          <w:ilvl w:val="0"/>
          <w:numId w:val="28"/>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rPr>
      </w:pPr>
      <w:r w:rsidRPr="005F65A5">
        <w:rPr>
          <w:rFonts w:asciiTheme="minorHAnsi" w:hAnsiTheme="minorHAnsi"/>
        </w:rPr>
        <w:t>To develop joint criteria for capacity building/organising strategies in the trade union movement.</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sz w:val="28"/>
        </w:rPr>
      </w:pPr>
      <w:r w:rsidRPr="005F65A5">
        <w:rPr>
          <w:rFonts w:asciiTheme="minorHAnsi" w:hAnsiTheme="minorHAnsi"/>
          <w:b/>
          <w:sz w:val="28"/>
        </w:rPr>
        <w:t>Methodology</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The TUDCN Working Group on TU Partnership will be the point of reference for this work. In addition to online work, an OCA seminar will touch base and set the scene</w:t>
      </w:r>
      <w:r>
        <w:rPr>
          <w:rFonts w:asciiTheme="minorHAnsi" w:hAnsiTheme="minorHAnsi"/>
        </w:rPr>
        <w:t>,</w:t>
      </w:r>
      <w:r w:rsidRPr="005F65A5">
        <w:rPr>
          <w:rFonts w:asciiTheme="minorHAnsi" w:hAnsiTheme="minorHAnsi"/>
        </w:rPr>
        <w:t xml:space="preserve"> bearing in mind the following:</w:t>
      </w:r>
    </w:p>
    <w:p w:rsidR="003D052D" w:rsidRPr="005F65A5" w:rsidRDefault="003D052D" w:rsidP="003D052D">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 xml:space="preserve">First, the elaboration of OCA criteria serves the primary purpose of evaluating capacity building strategies so as to improve </w:t>
      </w:r>
      <w:r>
        <w:rPr>
          <w:rFonts w:asciiTheme="minorHAnsi" w:hAnsiTheme="minorHAnsi"/>
        </w:rPr>
        <w:t>them</w:t>
      </w:r>
      <w:r w:rsidRPr="005F65A5">
        <w:rPr>
          <w:rStyle w:val="FootnoteReference1"/>
          <w:rFonts w:asciiTheme="minorHAnsi" w:hAnsiTheme="minorHAnsi"/>
        </w:rPr>
        <w:footnoteReference w:id="3"/>
      </w:r>
      <w:r w:rsidRPr="005F65A5">
        <w:rPr>
          <w:rFonts w:asciiTheme="minorHAnsi" w:hAnsiTheme="minorHAnsi"/>
        </w:rPr>
        <w:t xml:space="preserve"> </w:t>
      </w:r>
      <w:r>
        <w:rPr>
          <w:rFonts w:asciiTheme="minorHAnsi" w:hAnsiTheme="minorHAnsi"/>
        </w:rPr>
        <w:t>f</w:t>
      </w:r>
      <w:r w:rsidRPr="005F65A5">
        <w:rPr>
          <w:rFonts w:asciiTheme="minorHAnsi" w:hAnsiTheme="minorHAnsi"/>
        </w:rPr>
        <w:t xml:space="preserve">or organising and </w:t>
      </w:r>
      <w:r>
        <w:rPr>
          <w:rFonts w:asciiTheme="minorHAnsi" w:hAnsiTheme="minorHAnsi"/>
        </w:rPr>
        <w:t xml:space="preserve">to </w:t>
      </w:r>
      <w:r w:rsidRPr="005F65A5">
        <w:rPr>
          <w:rFonts w:asciiTheme="minorHAnsi" w:hAnsiTheme="minorHAnsi"/>
        </w:rPr>
        <w:t>elaborat</w:t>
      </w:r>
      <w:r>
        <w:rPr>
          <w:rFonts w:asciiTheme="minorHAnsi" w:hAnsiTheme="minorHAnsi"/>
        </w:rPr>
        <w:t xml:space="preserve">e new </w:t>
      </w:r>
      <w:r w:rsidRPr="005F65A5">
        <w:rPr>
          <w:rFonts w:asciiTheme="minorHAnsi" w:hAnsiTheme="minorHAnsi"/>
        </w:rPr>
        <w:t xml:space="preserve">National Trade Union Development Strategies. </w:t>
      </w:r>
    </w:p>
    <w:p w:rsidR="003D052D" w:rsidRPr="005F65A5" w:rsidRDefault="003D052D" w:rsidP="003D052D">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 xml:space="preserve">Second, democratic ownership has to be guaranteed, this involves the direct implication of partner organisations throughout the process. </w:t>
      </w:r>
    </w:p>
    <w:p w:rsidR="003D052D" w:rsidRPr="005F65A5" w:rsidRDefault="003D052D" w:rsidP="003D052D">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Third, previous work and specially the TU Development Effectiveness Principles</w:t>
      </w:r>
      <w:r w:rsidRPr="005F65A5">
        <w:rPr>
          <w:rStyle w:val="FootnoteReference"/>
          <w:rFonts w:asciiTheme="minorHAnsi" w:hAnsiTheme="minorHAnsi"/>
        </w:rPr>
        <w:footnoteReference w:id="4"/>
      </w:r>
      <w:r w:rsidRPr="005F65A5">
        <w:rPr>
          <w:rFonts w:asciiTheme="minorHAnsi" w:hAnsiTheme="minorHAnsi"/>
        </w:rPr>
        <w:t xml:space="preserve"> should be taken into account. </w:t>
      </w:r>
    </w:p>
    <w:p w:rsidR="003D052D" w:rsidRPr="005F65A5" w:rsidRDefault="003D052D" w:rsidP="003D052D">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Fourth, a trade union methodology implies the use of concepts that are applicable to the trade union movement and its dynamism</w:t>
      </w:r>
      <w:r>
        <w:rPr>
          <w:rFonts w:asciiTheme="minorHAnsi" w:hAnsiTheme="minorHAnsi"/>
        </w:rPr>
        <w:t>,</w:t>
      </w:r>
      <w:r w:rsidRPr="005F65A5">
        <w:rPr>
          <w:rFonts w:asciiTheme="minorHAnsi" w:hAnsiTheme="minorHAnsi"/>
        </w:rPr>
        <w:t xml:space="preserve"> OCA having mainly been used by NGOs and in “classical” development cooperation settings</w:t>
      </w:r>
      <w:r w:rsidR="0057454D">
        <w:rPr>
          <w:rFonts w:asciiTheme="minorHAnsi" w:hAnsiTheme="minorHAnsi"/>
        </w:rPr>
        <w:t>.</w:t>
      </w:r>
      <w:r w:rsidRPr="005F65A5">
        <w:rPr>
          <w:rFonts w:asciiTheme="minorHAnsi" w:hAnsiTheme="minorHAnsi"/>
        </w:rPr>
        <w:t xml:space="preserve"> </w:t>
      </w:r>
    </w:p>
    <w:p w:rsidR="003D052D" w:rsidRPr="005F65A5" w:rsidRDefault="003D052D" w:rsidP="003D052D">
      <w:pPr>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 xml:space="preserve">Fifth and last: things have to be kept simple and practical. </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rPr>
      </w:pPr>
      <w:r w:rsidRPr="005F65A5">
        <w:rPr>
          <w:rFonts w:asciiTheme="minorHAnsi" w:hAnsiTheme="minorHAnsi"/>
          <w:b/>
          <w:sz w:val="28"/>
        </w:rPr>
        <w:t>Activities</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t xml:space="preserve">The starting point </w:t>
      </w:r>
      <w:r>
        <w:rPr>
          <w:rFonts w:asciiTheme="minorHAnsi" w:hAnsiTheme="minorHAnsi"/>
        </w:rPr>
        <w:t>will</w:t>
      </w:r>
      <w:r w:rsidRPr="005F65A5">
        <w:rPr>
          <w:rFonts w:asciiTheme="minorHAnsi" w:hAnsiTheme="minorHAnsi"/>
        </w:rPr>
        <w:t xml:space="preserve"> be </w:t>
      </w:r>
      <w:r>
        <w:rPr>
          <w:rFonts w:asciiTheme="minorHAnsi" w:hAnsiTheme="minorHAnsi"/>
        </w:rPr>
        <w:t>a</w:t>
      </w:r>
      <w:r w:rsidRPr="005F65A5">
        <w:rPr>
          <w:rFonts w:asciiTheme="minorHAnsi" w:hAnsiTheme="minorHAnsi"/>
        </w:rPr>
        <w:t xml:space="preserve"> mapping of</w:t>
      </w:r>
      <w:r>
        <w:rPr>
          <w:rFonts w:asciiTheme="minorHAnsi" w:hAnsiTheme="minorHAnsi"/>
        </w:rPr>
        <w:t xml:space="preserve"> the</w:t>
      </w:r>
      <w:r w:rsidRPr="005F65A5">
        <w:rPr>
          <w:rFonts w:asciiTheme="minorHAnsi" w:hAnsiTheme="minorHAnsi"/>
        </w:rPr>
        <w:t xml:space="preserve"> different OCA frameworks used by trade union partners and </w:t>
      </w:r>
      <w:r>
        <w:rPr>
          <w:rFonts w:asciiTheme="minorHAnsi" w:hAnsiTheme="minorHAnsi"/>
        </w:rPr>
        <w:t>the analysis of</w:t>
      </w:r>
      <w:r w:rsidRPr="005F65A5">
        <w:rPr>
          <w:rFonts w:asciiTheme="minorHAnsi" w:hAnsiTheme="minorHAnsi"/>
        </w:rPr>
        <w:t xml:space="preserve"> their effectiveness as well as the problems found. This will be followed by a seminar in March in which the debates will be presented and discussed and the basis for the work will be set. Work will continue online towards the </w:t>
      </w:r>
      <w:r w:rsidR="00D600BD">
        <w:rPr>
          <w:rFonts w:asciiTheme="minorHAnsi" w:hAnsiTheme="minorHAnsi"/>
        </w:rPr>
        <w:t xml:space="preserve">elaboration of common criteria and </w:t>
      </w:r>
      <w:r w:rsidRPr="005F65A5">
        <w:rPr>
          <w:rFonts w:asciiTheme="minorHAnsi" w:hAnsiTheme="minorHAnsi"/>
        </w:rPr>
        <w:t xml:space="preserve">a Partnerships Working Group meeting </w:t>
      </w:r>
      <w:r w:rsidR="00D600BD">
        <w:rPr>
          <w:rFonts w:asciiTheme="minorHAnsi" w:hAnsiTheme="minorHAnsi"/>
        </w:rPr>
        <w:t xml:space="preserve">will take place </w:t>
      </w:r>
      <w:bookmarkStart w:id="0" w:name="_GoBack"/>
      <w:bookmarkEnd w:id="0"/>
      <w:r w:rsidRPr="005F65A5">
        <w:rPr>
          <w:rFonts w:asciiTheme="minorHAnsi" w:hAnsiTheme="minorHAnsi"/>
        </w:rPr>
        <w:t xml:space="preserve">in the month of </w:t>
      </w:r>
      <w:r>
        <w:rPr>
          <w:rFonts w:asciiTheme="minorHAnsi" w:hAnsiTheme="minorHAnsi"/>
        </w:rPr>
        <w:t>October</w:t>
      </w:r>
      <w:r w:rsidRPr="005F65A5">
        <w:rPr>
          <w:rFonts w:asciiTheme="minorHAnsi" w:hAnsiTheme="minorHAnsi"/>
        </w:rPr>
        <w:t xml:space="preserve">. The overall aim is to reach common conclusions by the end of 2015, launching a shared TUs framework on OCA, with policy guidelines for the trade union movement. </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r w:rsidRPr="005F65A5">
        <w:rPr>
          <w:rFonts w:asciiTheme="minorHAnsi" w:hAnsiTheme="minorHAnsi"/>
        </w:rPr>
        <w:lastRenderedPageBreak/>
        <w:t xml:space="preserve">The </w:t>
      </w:r>
      <w:r w:rsidRPr="005F65A5">
        <w:rPr>
          <w:rFonts w:asciiTheme="minorHAnsi" w:hAnsiTheme="minorHAnsi"/>
          <w:b/>
        </w:rPr>
        <w:t>different steps</w:t>
      </w:r>
      <w:r w:rsidRPr="005F65A5">
        <w:rPr>
          <w:rFonts w:asciiTheme="minorHAnsi" w:hAnsiTheme="minorHAnsi"/>
        </w:rPr>
        <w:t xml:space="preserve"> </w:t>
      </w:r>
      <w:r>
        <w:rPr>
          <w:rFonts w:asciiTheme="minorHAnsi" w:hAnsiTheme="minorHAnsi"/>
        </w:rPr>
        <w:t xml:space="preserve">for the activities that </w:t>
      </w:r>
      <w:r w:rsidRPr="005F65A5">
        <w:rPr>
          <w:rFonts w:asciiTheme="minorHAnsi" w:hAnsiTheme="minorHAnsi"/>
        </w:rPr>
        <w:t>will</w:t>
      </w:r>
      <w:r>
        <w:rPr>
          <w:rFonts w:asciiTheme="minorHAnsi" w:hAnsiTheme="minorHAnsi"/>
        </w:rPr>
        <w:t xml:space="preserve"> take place throughout 2015 </w:t>
      </w:r>
      <w:r w:rsidRPr="005F65A5">
        <w:rPr>
          <w:rFonts w:asciiTheme="minorHAnsi" w:hAnsiTheme="minorHAnsi"/>
        </w:rPr>
        <w:t>will be:</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Stock taking on OCA frameworks used by trade unions and SSOs</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Pr>
          <w:rFonts w:asciiTheme="minorHAnsi" w:hAnsiTheme="minorHAnsi"/>
        </w:rPr>
        <w:t>At the beginning of this work we had</w:t>
      </w:r>
      <w:r w:rsidRPr="005F65A5">
        <w:rPr>
          <w:rFonts w:asciiTheme="minorHAnsi" w:hAnsiTheme="minorHAnsi"/>
        </w:rPr>
        <w:t xml:space="preserve"> gathered ten different OCA frameworks used by trade unions and SSOs. More frameworks are used and </w:t>
      </w:r>
      <w:r>
        <w:rPr>
          <w:rFonts w:asciiTheme="minorHAnsi" w:hAnsiTheme="minorHAnsi"/>
        </w:rPr>
        <w:t>these will have to be compiled</w:t>
      </w:r>
      <w:r w:rsidRPr="005F65A5">
        <w:rPr>
          <w:rFonts w:asciiTheme="minorHAnsi" w:hAnsiTheme="minorHAnsi"/>
        </w:rPr>
        <w:t>. In this process it is important to see with the different organisations which frameworks work well and what the problems encountered are. This will be done during the months of January and February.</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Sharing OCA frameworks used by trade unions and SSOs</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sidRPr="005F65A5">
        <w:rPr>
          <w:rFonts w:asciiTheme="minorHAnsi" w:hAnsiTheme="minorHAnsi"/>
        </w:rPr>
        <w:t>The sharing and exchange of views on the different OCA frameworks prior to the seminar is important to set the basic context and launch the discussions. This will be done throughout the months of February and March.</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OCA Seminar</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sidRPr="005F65A5">
        <w:rPr>
          <w:rFonts w:asciiTheme="minorHAnsi" w:hAnsiTheme="minorHAnsi"/>
        </w:rPr>
        <w:t>The OCA seminar will take place the 19</w:t>
      </w:r>
      <w:r w:rsidRPr="005F65A5">
        <w:rPr>
          <w:rFonts w:asciiTheme="minorHAnsi" w:hAnsiTheme="minorHAnsi"/>
          <w:vertAlign w:val="superscript"/>
        </w:rPr>
        <w:t>th</w:t>
      </w:r>
      <w:r w:rsidRPr="005F65A5">
        <w:rPr>
          <w:rFonts w:asciiTheme="minorHAnsi" w:hAnsiTheme="minorHAnsi"/>
        </w:rPr>
        <w:t xml:space="preserve"> and 20</w:t>
      </w:r>
      <w:r w:rsidRPr="005F65A5">
        <w:rPr>
          <w:rFonts w:asciiTheme="minorHAnsi" w:hAnsiTheme="minorHAnsi"/>
          <w:vertAlign w:val="superscript"/>
        </w:rPr>
        <w:t>th</w:t>
      </w:r>
      <w:r w:rsidRPr="005F65A5">
        <w:rPr>
          <w:rFonts w:asciiTheme="minorHAnsi" w:hAnsiTheme="minorHAnsi"/>
        </w:rPr>
        <w:t xml:space="preserve"> of March. In this seminar the different OCA frameworks will be presented and discussions will take place to establish the basic framework/s, setting the key principles and the most relevant themes that will be the backbone of the guidelines.</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Development of TU Guidelines on OCA</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sidRPr="005F65A5">
        <w:rPr>
          <w:rFonts w:asciiTheme="minorHAnsi" w:hAnsiTheme="minorHAnsi"/>
        </w:rPr>
        <w:t xml:space="preserve">Based on the recommendations in the OCA seminar, the work to develop the TU Guidelines on OCA will take place during the months of April to December. This work will </w:t>
      </w:r>
      <w:r w:rsidR="00DB4F7C">
        <w:rPr>
          <w:rFonts w:asciiTheme="minorHAnsi" w:hAnsiTheme="minorHAnsi"/>
        </w:rPr>
        <w:t>be undertaken</w:t>
      </w:r>
      <w:r w:rsidRPr="005F65A5">
        <w:rPr>
          <w:rFonts w:asciiTheme="minorHAnsi" w:hAnsiTheme="minorHAnsi"/>
        </w:rPr>
        <w:t xml:space="preserve"> mainly online.</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Work review</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sidRPr="005F65A5">
        <w:rPr>
          <w:rFonts w:asciiTheme="minorHAnsi" w:hAnsiTheme="minorHAnsi"/>
        </w:rPr>
        <w:t xml:space="preserve">A meeting of the TUDCN partnerships working group will take place during the month of </w:t>
      </w:r>
      <w:r w:rsidR="00DB4F7C">
        <w:rPr>
          <w:rFonts w:asciiTheme="minorHAnsi" w:hAnsiTheme="minorHAnsi"/>
        </w:rPr>
        <w:t>October</w:t>
      </w:r>
      <w:r w:rsidRPr="005F65A5">
        <w:rPr>
          <w:rFonts w:asciiTheme="minorHAnsi" w:hAnsiTheme="minorHAnsi"/>
        </w:rPr>
        <w:t xml:space="preserve"> in which the undertaken work will be reviewed and the necessary corrections will be made. The Open Coordination Meeting in September will also help to review the work.</w:t>
      </w:r>
    </w:p>
    <w:p w:rsidR="003D052D" w:rsidRPr="005F65A5" w:rsidRDefault="003D052D" w:rsidP="003D052D">
      <w:pPr>
        <w:pStyle w:val="ListParagraph"/>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contextualSpacing w:val="0"/>
        <w:jc w:val="both"/>
        <w:rPr>
          <w:rFonts w:asciiTheme="minorHAnsi" w:hAnsiTheme="minorHAnsi"/>
          <w:b/>
        </w:rPr>
      </w:pPr>
      <w:r w:rsidRPr="005F65A5">
        <w:rPr>
          <w:rFonts w:asciiTheme="minorHAnsi" w:hAnsiTheme="minorHAnsi"/>
          <w:b/>
        </w:rPr>
        <w:t>Finalisation of Guidelines</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r w:rsidRPr="005F65A5">
        <w:rPr>
          <w:rFonts w:asciiTheme="minorHAnsi" w:hAnsiTheme="minorHAnsi"/>
        </w:rPr>
        <w:t>The guidelines will be finalised by December and will be presented to the TUDCN General Meeting for approval in 2016, after which a publication will be issued.</w:t>
      </w:r>
    </w:p>
    <w:p w:rsidR="003D052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DB4F7C" w:rsidRDefault="00DB4F7C"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DB4F7C" w:rsidRDefault="00DB4F7C"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DB4F7C" w:rsidRPr="005F65A5" w:rsidRDefault="00DB4F7C"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inorHAnsi" w:hAnsiTheme="minorHAnsi"/>
        </w:rPr>
      </w:pP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rPr>
      </w:pPr>
      <w:r w:rsidRPr="005F65A5">
        <w:rPr>
          <w:rFonts w:asciiTheme="minorHAnsi" w:hAnsiTheme="minorHAnsi"/>
          <w:b/>
          <w:sz w:val="28"/>
        </w:rPr>
        <w:lastRenderedPageBreak/>
        <w:t>Timeline</w:t>
      </w: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rPr>
      </w:pPr>
      <w:r w:rsidRPr="005F65A5">
        <w:rPr>
          <w:rFonts w:asciiTheme="minorHAnsi" w:hAnsiTheme="minorHAnsi"/>
          <w:b/>
        </w:rPr>
        <w:t>The timeline will be the following:</w:t>
      </w:r>
    </w:p>
    <w:tbl>
      <w:tblPr>
        <w:tblW w:w="0" w:type="auto"/>
        <w:jc w:val="center"/>
        <w:shd w:val="clear" w:color="auto" w:fill="FFFFFF"/>
        <w:tblLayout w:type="fixed"/>
        <w:tblLook w:val="0000" w:firstRow="0" w:lastRow="0" w:firstColumn="0" w:lastColumn="0" w:noHBand="0" w:noVBand="0"/>
      </w:tblPr>
      <w:tblGrid>
        <w:gridCol w:w="3303"/>
        <w:gridCol w:w="438"/>
        <w:gridCol w:w="430"/>
        <w:gridCol w:w="504"/>
        <w:gridCol w:w="453"/>
        <w:gridCol w:w="496"/>
        <w:gridCol w:w="447"/>
        <w:gridCol w:w="413"/>
        <w:gridCol w:w="485"/>
        <w:gridCol w:w="427"/>
        <w:gridCol w:w="460"/>
        <w:gridCol w:w="488"/>
        <w:gridCol w:w="452"/>
      </w:tblGrid>
      <w:tr w:rsidR="003D052D" w:rsidRPr="005F65A5" w:rsidTr="009859F5">
        <w:trPr>
          <w:cantSplit/>
          <w:trHeight w:val="297"/>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 </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JAN</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FEB</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heme="minorHAnsi" w:hAnsiTheme="minorHAnsi"/>
                <w:sz w:val="16"/>
              </w:rPr>
            </w:pPr>
            <w:r w:rsidRPr="005F65A5">
              <w:rPr>
                <w:rFonts w:asciiTheme="minorHAnsi" w:hAnsiTheme="minorHAnsi"/>
                <w:sz w:val="16"/>
              </w:rPr>
              <w:t>MAR</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APR</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heme="minorHAnsi" w:hAnsiTheme="minorHAnsi"/>
                <w:sz w:val="16"/>
              </w:rPr>
            </w:pPr>
            <w:r w:rsidRPr="005F65A5">
              <w:rPr>
                <w:rFonts w:asciiTheme="minorHAnsi" w:hAnsiTheme="minorHAnsi"/>
                <w:sz w:val="16"/>
              </w:rPr>
              <w:t>MAY</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JUN</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Theme="minorHAnsi" w:hAnsiTheme="minorHAnsi"/>
                <w:sz w:val="16"/>
              </w:rPr>
            </w:pPr>
            <w:r w:rsidRPr="005F65A5">
              <w:rPr>
                <w:rFonts w:asciiTheme="minorHAnsi" w:hAnsiTheme="minorHAnsi"/>
                <w:sz w:val="16"/>
              </w:rPr>
              <w:t xml:space="preserve">JUL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AUG</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SEP</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OCT</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heme="minorHAnsi" w:hAnsiTheme="minorHAnsi"/>
                <w:sz w:val="16"/>
              </w:rPr>
            </w:pPr>
            <w:r w:rsidRPr="005F65A5">
              <w:rPr>
                <w:rFonts w:asciiTheme="minorHAnsi" w:hAnsiTheme="minorHAnsi"/>
                <w:sz w:val="16"/>
              </w:rPr>
              <w:t xml:space="preserve">NOV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heme="minorHAnsi" w:hAnsiTheme="minorHAnsi"/>
                <w:sz w:val="16"/>
              </w:rPr>
            </w:pPr>
            <w:r w:rsidRPr="005F65A5">
              <w:rPr>
                <w:rFonts w:asciiTheme="minorHAnsi" w:hAnsiTheme="minorHAnsi"/>
                <w:sz w:val="16"/>
              </w:rPr>
              <w:t>DEC</w:t>
            </w:r>
          </w:p>
        </w:tc>
      </w:tr>
      <w:tr w:rsidR="003D052D" w:rsidRPr="005F65A5" w:rsidTr="009859F5">
        <w:trPr>
          <w:cantSplit/>
          <w:trHeight w:val="548"/>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1. Stock taking on OCA frameworks used by trade unions and SSOs</w:t>
            </w:r>
          </w:p>
        </w:tc>
        <w:tc>
          <w:tcPr>
            <w:tcW w:w="438"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3D052D" w:rsidRPr="005F65A5" w:rsidTr="009859F5">
        <w:trPr>
          <w:cantSplit/>
          <w:trHeight w:val="565"/>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2. Sharing OCA frameworks used by trade unions and SSOs</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A5A5A5"/>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3D052D" w:rsidRPr="005F65A5" w:rsidTr="009859F5">
        <w:trPr>
          <w:cantSplit/>
          <w:trHeight w:val="549"/>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3. OCA Seminar</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3D052D" w:rsidRPr="005F65A5" w:rsidTr="00DB4F7C">
        <w:trPr>
          <w:cantSplit/>
          <w:trHeight w:val="543"/>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4. Development of TU Guidelines on OCA</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DB4F7C" w:rsidRPr="005F65A5" w:rsidTr="00DB4F7C">
        <w:trPr>
          <w:cantSplit/>
          <w:trHeight w:val="561"/>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5. Work review (TUDCN partnerships working group and OCM)</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pct35" w:color="auto" w:fill="auto"/>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pct35" w:color="auto" w:fill="auto"/>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r w:rsidR="003D052D" w:rsidRPr="005F65A5" w:rsidTr="009859F5">
        <w:trPr>
          <w:cantSplit/>
          <w:trHeight w:val="545"/>
          <w:jc w:val="center"/>
        </w:trPr>
        <w:tc>
          <w:tcPr>
            <w:tcW w:w="3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D052D" w:rsidRPr="005F65A5" w:rsidRDefault="003D052D" w:rsidP="009859F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heme="minorHAnsi" w:hAnsiTheme="minorHAnsi"/>
                <w:sz w:val="16"/>
              </w:rPr>
            </w:pPr>
            <w:r w:rsidRPr="005F65A5">
              <w:rPr>
                <w:rFonts w:asciiTheme="minorHAnsi" w:hAnsiTheme="minorHAnsi"/>
                <w:sz w:val="16"/>
              </w:rPr>
              <w:t>6. Finalisation of Guidelines</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heme="minorHAnsi" w:hAnsiTheme="minorHAnsi"/>
                <w:sz w:val="16"/>
              </w:rPr>
            </w:pPr>
            <w:r w:rsidRPr="005F65A5">
              <w:rPr>
                <w:rFonts w:asciiTheme="minorHAnsi" w:hAnsiTheme="minorHAnsi"/>
                <w:sz w:val="16"/>
              </w:rPr>
              <w:t> </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40" w:lineRule="auto"/>
              <w:rPr>
                <w:rFonts w:asciiTheme="minorHAnsi" w:hAnsiTheme="minorHAnsi"/>
                <w:sz w:val="16"/>
              </w:rPr>
            </w:pPr>
            <w:r w:rsidRPr="005F65A5">
              <w:rPr>
                <w:rFonts w:asciiTheme="minorHAnsi" w:hAnsiTheme="minorHAnsi"/>
                <w:sz w:val="16"/>
              </w:rPr>
              <w:t> </w:t>
            </w:r>
          </w:p>
        </w:tc>
        <w:tc>
          <w:tcPr>
            <w:tcW w:w="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heme="minorHAnsi" w:hAnsiTheme="minorHAnsi"/>
                <w:sz w:val="16"/>
              </w:rPr>
            </w:pPr>
            <w:r w:rsidRPr="005F65A5">
              <w:rPr>
                <w:rFonts w:asciiTheme="minorHAnsi" w:hAnsiTheme="minorHAnsi"/>
                <w:sz w:val="16"/>
              </w:rPr>
              <w:t> </w:t>
            </w:r>
          </w:p>
        </w:tc>
        <w:tc>
          <w:tcPr>
            <w:tcW w:w="45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vAlign w:val="bottom"/>
          </w:tcPr>
          <w:p w:rsidR="003D052D" w:rsidRPr="005F65A5" w:rsidRDefault="003D052D" w:rsidP="009859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heme="minorHAnsi" w:hAnsiTheme="minorHAnsi"/>
                <w:sz w:val="16"/>
              </w:rPr>
            </w:pPr>
            <w:r w:rsidRPr="005F65A5">
              <w:rPr>
                <w:rFonts w:asciiTheme="minorHAnsi" w:hAnsiTheme="minorHAnsi"/>
                <w:sz w:val="16"/>
              </w:rPr>
              <w:t> </w:t>
            </w:r>
          </w:p>
        </w:tc>
      </w:tr>
    </w:tbl>
    <w:p w:rsidR="003D052D" w:rsidRPr="005F65A5" w:rsidRDefault="003D052D" w:rsidP="003D052D">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rPr>
      </w:pPr>
    </w:p>
    <w:p w:rsidR="003D052D" w:rsidRPr="005F65A5"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rPr>
      </w:pPr>
    </w:p>
    <w:p w:rsidR="003D052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3D052D" w:rsidRDefault="003D052D" w:rsidP="003D052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3D052D" w:rsidRDefault="003D052D" w:rsidP="003D052D">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3D052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3D052D" w:rsidRDefault="003D052D" w:rsidP="003D05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en-GB" w:bidi="x-none"/>
        </w:rPr>
      </w:pPr>
    </w:p>
    <w:p w:rsidR="002F4045" w:rsidRPr="00C53945" w:rsidRDefault="002F4045" w:rsidP="00593802">
      <w:pPr>
        <w:rPr>
          <w:i/>
        </w:rPr>
      </w:pPr>
    </w:p>
    <w:sectPr w:rsidR="002F4045" w:rsidRPr="00C53945" w:rsidSect="00DB4F7C">
      <w:headerReference w:type="even" r:id="rId9"/>
      <w:headerReference w:type="default" r:id="rId10"/>
      <w:headerReference w:type="first" r:id="rId11"/>
      <w:pgSz w:w="11906" w:h="16838"/>
      <w:pgMar w:top="1977" w:right="1466" w:bottom="1418"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BE" w:rsidRDefault="00F453BE" w:rsidP="00463227">
      <w:pPr>
        <w:spacing w:after="0" w:line="240" w:lineRule="auto"/>
      </w:pPr>
      <w:r>
        <w:separator/>
      </w:r>
    </w:p>
  </w:endnote>
  <w:endnote w:type="continuationSeparator" w:id="0">
    <w:p w:rsidR="00F453BE" w:rsidRDefault="00F453BE"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BE" w:rsidRDefault="00F453BE" w:rsidP="00463227">
      <w:pPr>
        <w:spacing w:after="0" w:line="240" w:lineRule="auto"/>
      </w:pPr>
      <w:r>
        <w:separator/>
      </w:r>
    </w:p>
  </w:footnote>
  <w:footnote w:type="continuationSeparator" w:id="0">
    <w:p w:rsidR="00F453BE" w:rsidRDefault="00F453BE" w:rsidP="00463227">
      <w:pPr>
        <w:spacing w:after="0" w:line="240" w:lineRule="auto"/>
      </w:pPr>
      <w:r>
        <w:continuationSeparator/>
      </w:r>
    </w:p>
  </w:footnote>
  <w:footnote w:id="1">
    <w:p w:rsidR="003D052D" w:rsidRPr="00917F3D" w:rsidRDefault="003D052D" w:rsidP="003D052D">
      <w:pPr>
        <w:pStyle w:val="FootnoteText1"/>
        <w:rPr>
          <w:rFonts w:asciiTheme="minorHAnsi" w:eastAsia="Times New Roman" w:hAnsiTheme="minorHAnsi"/>
          <w:color w:val="auto"/>
        </w:rPr>
      </w:pPr>
      <w:r w:rsidRPr="00917F3D">
        <w:rPr>
          <w:rStyle w:val="FootnoteReference1"/>
          <w:rFonts w:asciiTheme="minorHAnsi" w:hAnsiTheme="minorHAnsi"/>
        </w:rPr>
        <w:footnoteRef/>
      </w:r>
      <w:r w:rsidRPr="00917F3D">
        <w:rPr>
          <w:rFonts w:asciiTheme="minorHAnsi" w:hAnsiTheme="minorHAnsi"/>
        </w:rPr>
        <w:t xml:space="preserve"> For instance increased membership; collecting dues; political autonomy etc… </w:t>
      </w:r>
    </w:p>
  </w:footnote>
  <w:footnote w:id="2">
    <w:p w:rsidR="003D052D" w:rsidRPr="005F65A5" w:rsidRDefault="003D052D" w:rsidP="003D052D">
      <w:pPr>
        <w:spacing w:after="0" w:line="240" w:lineRule="auto"/>
        <w:jc w:val="both"/>
        <w:rPr>
          <w:rFonts w:asciiTheme="minorHAnsi" w:eastAsia="Times New Roman" w:hAnsiTheme="minorHAnsi"/>
          <w:color w:val="auto"/>
          <w:sz w:val="20"/>
          <w:lang w:eastAsia="en-GB" w:bidi="x-none"/>
        </w:rPr>
      </w:pPr>
      <w:r w:rsidRPr="005F65A5">
        <w:rPr>
          <w:rStyle w:val="FootnoteReference1"/>
          <w:rFonts w:asciiTheme="minorHAnsi" w:hAnsiTheme="minorHAnsi"/>
          <w:sz w:val="20"/>
        </w:rPr>
        <w:footnoteRef/>
      </w:r>
      <w:r w:rsidRPr="005F65A5">
        <w:rPr>
          <w:rFonts w:asciiTheme="minorHAnsi" w:hAnsiTheme="minorHAnsi"/>
          <w:sz w:val="20"/>
        </w:rPr>
        <w:t xml:space="preserve"> A mapping of 10 OCA frameworks used by different SSOs was done in the “</w:t>
      </w:r>
      <w:hyperlink r:id="rId1" w:history="1">
        <w:r w:rsidRPr="00F03D4D">
          <w:rPr>
            <w:rStyle w:val="Hyperlink"/>
            <w:rFonts w:asciiTheme="minorHAnsi" w:hAnsiTheme="minorHAnsi"/>
            <w:sz w:val="20"/>
          </w:rPr>
          <w:t>Insight into results of trade unions’ development work</w:t>
        </w:r>
      </w:hyperlink>
      <w:r w:rsidRPr="005F65A5">
        <w:rPr>
          <w:rFonts w:asciiTheme="minorHAnsi" w:hAnsiTheme="minorHAnsi"/>
          <w:sz w:val="20"/>
        </w:rPr>
        <w:t>” research. This already sets a basis for the work to be done on OCA. In chapter 3 of the publication a framework on OCA was elaborated based on the “Five Capability Model”, contextualised and adapted on the basis of the 10 different OCA</w:t>
      </w:r>
      <w:r w:rsidR="00A056CF">
        <w:rPr>
          <w:rFonts w:asciiTheme="minorHAnsi" w:hAnsiTheme="minorHAnsi"/>
          <w:sz w:val="20"/>
        </w:rPr>
        <w:t xml:space="preserve"> frameworks analysed</w:t>
      </w:r>
      <w:r w:rsidRPr="005F65A5">
        <w:rPr>
          <w:rFonts w:asciiTheme="minorHAnsi" w:hAnsiTheme="minorHAnsi"/>
          <w:sz w:val="20"/>
        </w:rPr>
        <w:t xml:space="preserve">. </w:t>
      </w:r>
    </w:p>
  </w:footnote>
  <w:footnote w:id="3">
    <w:p w:rsidR="003D052D" w:rsidRPr="005F65A5" w:rsidRDefault="003D052D" w:rsidP="003D052D">
      <w:pPr>
        <w:pStyle w:val="FootnoteText1"/>
        <w:rPr>
          <w:rFonts w:asciiTheme="minorHAnsi" w:eastAsia="Times New Roman" w:hAnsiTheme="minorHAnsi"/>
          <w:color w:val="auto"/>
        </w:rPr>
      </w:pPr>
      <w:r w:rsidRPr="005F65A5">
        <w:rPr>
          <w:rStyle w:val="FootnoteReference1"/>
          <w:rFonts w:asciiTheme="minorHAnsi" w:hAnsiTheme="minorHAnsi"/>
        </w:rPr>
        <w:footnoteRef/>
      </w:r>
      <w:r w:rsidRPr="005F65A5">
        <w:rPr>
          <w:rFonts w:asciiTheme="minorHAnsi" w:hAnsiTheme="minorHAnsi"/>
        </w:rPr>
        <w:t xml:space="preserve"> The elaboration of good baselines for trade unions is especially relevant here.</w:t>
      </w:r>
    </w:p>
  </w:footnote>
  <w:footnote w:id="4">
    <w:p w:rsidR="003D052D" w:rsidRPr="005F65A5" w:rsidRDefault="003D052D" w:rsidP="003D052D">
      <w:pPr>
        <w:pStyle w:val="FootnoteText"/>
        <w:rPr>
          <w:lang w:val="nl-BE"/>
        </w:rPr>
      </w:pPr>
      <w:r w:rsidRPr="005F65A5">
        <w:rPr>
          <w:rStyle w:val="FootnoteReference"/>
          <w:rFonts w:asciiTheme="minorHAnsi" w:hAnsiTheme="minorHAnsi"/>
        </w:rPr>
        <w:footnoteRef/>
      </w:r>
      <w:r w:rsidRPr="005F65A5">
        <w:rPr>
          <w:rFonts w:asciiTheme="minorHAnsi" w:hAnsiTheme="minorHAnsi"/>
        </w:rPr>
        <w:t xml:space="preserve"> </w:t>
      </w:r>
      <w:hyperlink r:id="rId2" w:history="1">
        <w:r w:rsidRPr="00917F3D">
          <w:rPr>
            <w:rStyle w:val="Hyperlink"/>
            <w:rFonts w:asciiTheme="minorHAnsi" w:hAnsiTheme="minorHAnsi"/>
            <w:lang w:val="nl-BE"/>
          </w:rPr>
          <w:t xml:space="preserve">Trade Union </w:t>
        </w:r>
        <w:proofErr w:type="spellStart"/>
        <w:r w:rsidRPr="00917F3D">
          <w:rPr>
            <w:rStyle w:val="Hyperlink"/>
            <w:rFonts w:asciiTheme="minorHAnsi" w:hAnsiTheme="minorHAnsi"/>
            <w:lang w:val="nl-BE"/>
          </w:rPr>
          <w:t>Principles</w:t>
        </w:r>
        <w:proofErr w:type="spellEnd"/>
        <w:r w:rsidRPr="00917F3D">
          <w:rPr>
            <w:rStyle w:val="Hyperlink"/>
            <w:rFonts w:asciiTheme="minorHAnsi" w:hAnsiTheme="minorHAnsi"/>
            <w:lang w:val="nl-BE"/>
          </w:rPr>
          <w:t xml:space="preserve"> and </w:t>
        </w:r>
        <w:proofErr w:type="spellStart"/>
        <w:r w:rsidRPr="00917F3D">
          <w:rPr>
            <w:rStyle w:val="Hyperlink"/>
            <w:rFonts w:asciiTheme="minorHAnsi" w:hAnsiTheme="minorHAnsi"/>
            <w:lang w:val="nl-BE"/>
          </w:rPr>
          <w:t>Guidelines</w:t>
        </w:r>
        <w:proofErr w:type="spellEnd"/>
        <w:r w:rsidRPr="00917F3D">
          <w:rPr>
            <w:rStyle w:val="Hyperlink"/>
            <w:rFonts w:asciiTheme="minorHAnsi" w:hAnsiTheme="minorHAnsi"/>
            <w:lang w:val="nl-BE"/>
          </w:rPr>
          <w:t xml:space="preserve"> on Development </w:t>
        </w:r>
        <w:proofErr w:type="spellStart"/>
        <w:r w:rsidRPr="00917F3D">
          <w:rPr>
            <w:rStyle w:val="Hyperlink"/>
            <w:rFonts w:asciiTheme="minorHAnsi" w:hAnsiTheme="minorHAnsi"/>
            <w:lang w:val="nl-BE"/>
          </w:rPr>
          <w:t>Effectiveness</w:t>
        </w:r>
        <w:proofErr w:type="spellEnd"/>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D600B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D600B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93.55pt;margin-top:-94.95pt;width:595.2pt;height:841.9pt;z-index:-251658240;mso-wrap-edited:f;mso-position-horizontal-relative:margin;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227" w:rsidRDefault="00D600B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11E1359"/>
    <w:multiLevelType w:val="hybridMultilevel"/>
    <w:tmpl w:val="0A7A4E64"/>
    <w:lvl w:ilvl="0" w:tplc="AACE34E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02494DBD"/>
    <w:multiLevelType w:val="hybridMultilevel"/>
    <w:tmpl w:val="954A9D12"/>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3C677F7"/>
    <w:multiLevelType w:val="hybridMultilevel"/>
    <w:tmpl w:val="F67A4E8C"/>
    <w:lvl w:ilvl="0" w:tplc="6B24AF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CC3CE7"/>
    <w:multiLevelType w:val="hybridMultilevel"/>
    <w:tmpl w:val="98BE47E4"/>
    <w:lvl w:ilvl="0" w:tplc="50F06AC8">
      <w:start w:val="1"/>
      <w:numFmt w:val="decimal"/>
      <w:lvlText w:val="%1."/>
      <w:lvlJc w:val="left"/>
      <w:pPr>
        <w:ind w:left="360" w:hanging="360"/>
      </w:pPr>
      <w:rPr>
        <w:color w:val="auto"/>
        <w:u w:val="none"/>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501780"/>
    <w:multiLevelType w:val="hybridMultilevel"/>
    <w:tmpl w:val="69C8AC8C"/>
    <w:lvl w:ilvl="0" w:tplc="3DB6C06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2440F4"/>
    <w:multiLevelType w:val="hybridMultilevel"/>
    <w:tmpl w:val="CEC86CD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A4F6CB0"/>
    <w:multiLevelType w:val="hybridMultilevel"/>
    <w:tmpl w:val="C53C3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8C1579"/>
    <w:multiLevelType w:val="hybridMultilevel"/>
    <w:tmpl w:val="F758A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A55E52"/>
    <w:multiLevelType w:val="hybridMultilevel"/>
    <w:tmpl w:val="799A6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F201C90"/>
    <w:multiLevelType w:val="hybridMultilevel"/>
    <w:tmpl w:val="96E68E9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F3A0821"/>
    <w:multiLevelType w:val="hybridMultilevel"/>
    <w:tmpl w:val="3A9CF184"/>
    <w:lvl w:ilvl="0" w:tplc="13DA0EB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26B75"/>
    <w:multiLevelType w:val="hybridMultilevel"/>
    <w:tmpl w:val="8DD0F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253139"/>
    <w:multiLevelType w:val="hybridMultilevel"/>
    <w:tmpl w:val="FA309DCA"/>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start w:val="1"/>
      <w:numFmt w:val="bullet"/>
      <w:lvlText w:val=""/>
      <w:lvlJc w:val="left"/>
      <w:pPr>
        <w:ind w:left="2925" w:hanging="360"/>
      </w:pPr>
      <w:rPr>
        <w:rFonts w:ascii="Symbol" w:hAnsi="Symbol" w:hint="default"/>
      </w:rPr>
    </w:lvl>
    <w:lvl w:ilvl="4" w:tplc="080C0003">
      <w:start w:val="1"/>
      <w:numFmt w:val="bullet"/>
      <w:lvlText w:val="o"/>
      <w:lvlJc w:val="left"/>
      <w:pPr>
        <w:ind w:left="3645" w:hanging="360"/>
      </w:pPr>
      <w:rPr>
        <w:rFonts w:ascii="Courier New" w:hAnsi="Courier New" w:cs="Courier New" w:hint="default"/>
      </w:rPr>
    </w:lvl>
    <w:lvl w:ilvl="5" w:tplc="080C0005">
      <w:start w:val="1"/>
      <w:numFmt w:val="bullet"/>
      <w:lvlText w:val=""/>
      <w:lvlJc w:val="left"/>
      <w:pPr>
        <w:ind w:left="4365" w:hanging="360"/>
      </w:pPr>
      <w:rPr>
        <w:rFonts w:ascii="Wingdings" w:hAnsi="Wingdings" w:hint="default"/>
      </w:rPr>
    </w:lvl>
    <w:lvl w:ilvl="6" w:tplc="080C0001">
      <w:start w:val="1"/>
      <w:numFmt w:val="bullet"/>
      <w:lvlText w:val=""/>
      <w:lvlJc w:val="left"/>
      <w:pPr>
        <w:ind w:left="5085" w:hanging="360"/>
      </w:pPr>
      <w:rPr>
        <w:rFonts w:ascii="Symbol" w:hAnsi="Symbol" w:hint="default"/>
      </w:rPr>
    </w:lvl>
    <w:lvl w:ilvl="7" w:tplc="080C0003">
      <w:start w:val="1"/>
      <w:numFmt w:val="bullet"/>
      <w:lvlText w:val="o"/>
      <w:lvlJc w:val="left"/>
      <w:pPr>
        <w:ind w:left="5805" w:hanging="360"/>
      </w:pPr>
      <w:rPr>
        <w:rFonts w:ascii="Courier New" w:hAnsi="Courier New" w:cs="Courier New" w:hint="default"/>
      </w:rPr>
    </w:lvl>
    <w:lvl w:ilvl="8" w:tplc="080C0005">
      <w:start w:val="1"/>
      <w:numFmt w:val="bullet"/>
      <w:lvlText w:val=""/>
      <w:lvlJc w:val="left"/>
      <w:pPr>
        <w:ind w:left="6525" w:hanging="360"/>
      </w:pPr>
      <w:rPr>
        <w:rFonts w:ascii="Wingdings" w:hAnsi="Wingdings" w:hint="default"/>
      </w:rPr>
    </w:lvl>
  </w:abstractNum>
  <w:abstractNum w:abstractNumId="16">
    <w:nsid w:val="478D243E"/>
    <w:multiLevelType w:val="hybridMultilevel"/>
    <w:tmpl w:val="12EEA74A"/>
    <w:lvl w:ilvl="0" w:tplc="2E749F32">
      <w:start w:val="1"/>
      <w:numFmt w:val="upperRoman"/>
      <w:lvlText w:val="%1."/>
      <w:lvlJc w:val="left"/>
      <w:pPr>
        <w:ind w:left="1800" w:hanging="720"/>
      </w:pPr>
      <w:rPr>
        <w:rFonts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4BE1404B"/>
    <w:multiLevelType w:val="hybridMultilevel"/>
    <w:tmpl w:val="66AC6E16"/>
    <w:lvl w:ilvl="0" w:tplc="3DB6C0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5D4AEB"/>
    <w:multiLevelType w:val="hybridMultilevel"/>
    <w:tmpl w:val="EA2666D2"/>
    <w:lvl w:ilvl="0" w:tplc="BDDC3C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E22BA2"/>
    <w:multiLevelType w:val="hybridMultilevel"/>
    <w:tmpl w:val="10FE31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E2576B6"/>
    <w:multiLevelType w:val="hybridMultilevel"/>
    <w:tmpl w:val="D4A2C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425587"/>
    <w:multiLevelType w:val="hybridMultilevel"/>
    <w:tmpl w:val="10FE31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3480E1B"/>
    <w:multiLevelType w:val="hybridMultilevel"/>
    <w:tmpl w:val="B9C07BEE"/>
    <w:lvl w:ilvl="0" w:tplc="2E749F32">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D6710C"/>
    <w:multiLevelType w:val="hybridMultilevel"/>
    <w:tmpl w:val="3B20995E"/>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nsid w:val="6C567BF3"/>
    <w:multiLevelType w:val="hybridMultilevel"/>
    <w:tmpl w:val="B60ED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F317357"/>
    <w:multiLevelType w:val="hybridMultilevel"/>
    <w:tmpl w:val="F0ACA6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5A463C3"/>
    <w:multiLevelType w:val="hybridMultilevel"/>
    <w:tmpl w:val="1AC2C348"/>
    <w:lvl w:ilvl="0" w:tplc="50F06AC8">
      <w:start w:val="1"/>
      <w:numFmt w:val="decimal"/>
      <w:lvlText w:val="%1."/>
      <w:lvlJc w:val="left"/>
      <w:pPr>
        <w:ind w:left="360" w:hanging="360"/>
      </w:pPr>
      <w:rPr>
        <w:color w:val="auto"/>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3D4752"/>
    <w:multiLevelType w:val="hybridMultilevel"/>
    <w:tmpl w:val="D4D44BB4"/>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642B7F"/>
    <w:multiLevelType w:val="hybridMultilevel"/>
    <w:tmpl w:val="AEFA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065C43"/>
    <w:multiLevelType w:val="hybridMultilevel"/>
    <w:tmpl w:val="7BFE1DC6"/>
    <w:lvl w:ilvl="0" w:tplc="681EE6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21"/>
  </w:num>
  <w:num w:numId="5">
    <w:abstractNumId w:val="23"/>
  </w:num>
  <w:num w:numId="6">
    <w:abstractNumId w:val="13"/>
  </w:num>
  <w:num w:numId="7">
    <w:abstractNumId w:val="2"/>
  </w:num>
  <w:num w:numId="8">
    <w:abstractNumId w:val="8"/>
  </w:num>
  <w:num w:numId="9">
    <w:abstractNumId w:val="15"/>
  </w:num>
  <w:num w:numId="10">
    <w:abstractNumId w:val="7"/>
  </w:num>
  <w:num w:numId="11">
    <w:abstractNumId w:val="20"/>
  </w:num>
  <w:num w:numId="12">
    <w:abstractNumId w:val="12"/>
  </w:num>
  <w:num w:numId="13">
    <w:abstractNumId w:val="10"/>
  </w:num>
  <w:num w:numId="14">
    <w:abstractNumId w:val="26"/>
  </w:num>
  <w:num w:numId="15">
    <w:abstractNumId w:val="4"/>
  </w:num>
  <w:num w:numId="16">
    <w:abstractNumId w:val="22"/>
  </w:num>
  <w:num w:numId="17">
    <w:abstractNumId w:val="16"/>
  </w:num>
  <w:num w:numId="18">
    <w:abstractNumId w:val="18"/>
  </w:num>
  <w:num w:numId="19">
    <w:abstractNumId w:val="24"/>
  </w:num>
  <w:num w:numId="20">
    <w:abstractNumId w:val="19"/>
  </w:num>
  <w:num w:numId="21">
    <w:abstractNumId w:val="9"/>
  </w:num>
  <w:num w:numId="22">
    <w:abstractNumId w:val="14"/>
  </w:num>
  <w:num w:numId="23">
    <w:abstractNumId w:val="3"/>
  </w:num>
  <w:num w:numId="24">
    <w:abstractNumId w:val="27"/>
  </w:num>
  <w:num w:numId="25">
    <w:abstractNumId w:val="29"/>
  </w:num>
  <w:num w:numId="26">
    <w:abstractNumId w:val="17"/>
  </w:num>
  <w:num w:numId="27">
    <w:abstractNumId w:val="25"/>
  </w:num>
  <w:num w:numId="28">
    <w:abstractNumId w:val="0"/>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01CCE"/>
    <w:rsid w:val="00003DB9"/>
    <w:rsid w:val="0001633F"/>
    <w:rsid w:val="00017DF6"/>
    <w:rsid w:val="00036403"/>
    <w:rsid w:val="00036426"/>
    <w:rsid w:val="00037900"/>
    <w:rsid w:val="00045C74"/>
    <w:rsid w:val="00051307"/>
    <w:rsid w:val="000578F7"/>
    <w:rsid w:val="00067B9D"/>
    <w:rsid w:val="000728CC"/>
    <w:rsid w:val="00073628"/>
    <w:rsid w:val="00080EAD"/>
    <w:rsid w:val="000A0145"/>
    <w:rsid w:val="000A1F52"/>
    <w:rsid w:val="000C6191"/>
    <w:rsid w:val="000E063F"/>
    <w:rsid w:val="00102666"/>
    <w:rsid w:val="001175CD"/>
    <w:rsid w:val="001351B9"/>
    <w:rsid w:val="00141FC1"/>
    <w:rsid w:val="0014226E"/>
    <w:rsid w:val="001503FC"/>
    <w:rsid w:val="0018095E"/>
    <w:rsid w:val="0018110A"/>
    <w:rsid w:val="001860BE"/>
    <w:rsid w:val="001863DC"/>
    <w:rsid w:val="001933A7"/>
    <w:rsid w:val="001A659B"/>
    <w:rsid w:val="001D0FFD"/>
    <w:rsid w:val="001E49E4"/>
    <w:rsid w:val="001E6BA5"/>
    <w:rsid w:val="002067D3"/>
    <w:rsid w:val="0021134D"/>
    <w:rsid w:val="00215EE6"/>
    <w:rsid w:val="0022480F"/>
    <w:rsid w:val="002258A8"/>
    <w:rsid w:val="002278FB"/>
    <w:rsid w:val="00235A9A"/>
    <w:rsid w:val="00251374"/>
    <w:rsid w:val="00272D4C"/>
    <w:rsid w:val="00275D70"/>
    <w:rsid w:val="002769F6"/>
    <w:rsid w:val="00286AD1"/>
    <w:rsid w:val="002912A3"/>
    <w:rsid w:val="0029649B"/>
    <w:rsid w:val="002A5C70"/>
    <w:rsid w:val="002A7526"/>
    <w:rsid w:val="002A7F77"/>
    <w:rsid w:val="002B4D82"/>
    <w:rsid w:val="002F4045"/>
    <w:rsid w:val="002F4CD7"/>
    <w:rsid w:val="003031E6"/>
    <w:rsid w:val="00303BDD"/>
    <w:rsid w:val="00317351"/>
    <w:rsid w:val="00340003"/>
    <w:rsid w:val="00362D49"/>
    <w:rsid w:val="00382742"/>
    <w:rsid w:val="00395C0B"/>
    <w:rsid w:val="003A0DF9"/>
    <w:rsid w:val="003A544C"/>
    <w:rsid w:val="003B425B"/>
    <w:rsid w:val="003B68F4"/>
    <w:rsid w:val="003D052D"/>
    <w:rsid w:val="003E1450"/>
    <w:rsid w:val="003E3210"/>
    <w:rsid w:val="003F2FB8"/>
    <w:rsid w:val="003F49E8"/>
    <w:rsid w:val="004219C9"/>
    <w:rsid w:val="00424BF7"/>
    <w:rsid w:val="00427EDD"/>
    <w:rsid w:val="004400AE"/>
    <w:rsid w:val="00452C52"/>
    <w:rsid w:val="00453C17"/>
    <w:rsid w:val="00463227"/>
    <w:rsid w:val="00473A70"/>
    <w:rsid w:val="00476E5C"/>
    <w:rsid w:val="0048189A"/>
    <w:rsid w:val="00482460"/>
    <w:rsid w:val="00491C89"/>
    <w:rsid w:val="004969D2"/>
    <w:rsid w:val="004B08C6"/>
    <w:rsid w:val="004B2BA9"/>
    <w:rsid w:val="004C06C0"/>
    <w:rsid w:val="004D6015"/>
    <w:rsid w:val="00502C06"/>
    <w:rsid w:val="005115D3"/>
    <w:rsid w:val="00520795"/>
    <w:rsid w:val="00521583"/>
    <w:rsid w:val="0052449D"/>
    <w:rsid w:val="00545071"/>
    <w:rsid w:val="005613F6"/>
    <w:rsid w:val="00561409"/>
    <w:rsid w:val="0057454D"/>
    <w:rsid w:val="00583C45"/>
    <w:rsid w:val="00585125"/>
    <w:rsid w:val="00590CAE"/>
    <w:rsid w:val="00593802"/>
    <w:rsid w:val="005C3A1E"/>
    <w:rsid w:val="005D0EA8"/>
    <w:rsid w:val="005E3FCD"/>
    <w:rsid w:val="006010C7"/>
    <w:rsid w:val="00602FAF"/>
    <w:rsid w:val="0060605C"/>
    <w:rsid w:val="00606ABE"/>
    <w:rsid w:val="006149DC"/>
    <w:rsid w:val="00622408"/>
    <w:rsid w:val="00625536"/>
    <w:rsid w:val="0062596F"/>
    <w:rsid w:val="0064581F"/>
    <w:rsid w:val="006709D4"/>
    <w:rsid w:val="00670EA3"/>
    <w:rsid w:val="00680D40"/>
    <w:rsid w:val="0068312A"/>
    <w:rsid w:val="006B4C00"/>
    <w:rsid w:val="006B7D2D"/>
    <w:rsid w:val="006D2ECF"/>
    <w:rsid w:val="006E255C"/>
    <w:rsid w:val="006E6AFF"/>
    <w:rsid w:val="00703EBF"/>
    <w:rsid w:val="007124E0"/>
    <w:rsid w:val="007212C5"/>
    <w:rsid w:val="00726815"/>
    <w:rsid w:val="00747CD7"/>
    <w:rsid w:val="00751A65"/>
    <w:rsid w:val="00752903"/>
    <w:rsid w:val="007557B9"/>
    <w:rsid w:val="00755B9B"/>
    <w:rsid w:val="0076734A"/>
    <w:rsid w:val="007720F6"/>
    <w:rsid w:val="007741AC"/>
    <w:rsid w:val="00780786"/>
    <w:rsid w:val="0078352D"/>
    <w:rsid w:val="007C2D14"/>
    <w:rsid w:val="007C6276"/>
    <w:rsid w:val="007D100A"/>
    <w:rsid w:val="007F0A94"/>
    <w:rsid w:val="007F1BB3"/>
    <w:rsid w:val="00802D72"/>
    <w:rsid w:val="00804A8B"/>
    <w:rsid w:val="00824D84"/>
    <w:rsid w:val="00826CB4"/>
    <w:rsid w:val="00834F62"/>
    <w:rsid w:val="00835FDB"/>
    <w:rsid w:val="00836978"/>
    <w:rsid w:val="008421DD"/>
    <w:rsid w:val="0084326C"/>
    <w:rsid w:val="008453D5"/>
    <w:rsid w:val="008551DF"/>
    <w:rsid w:val="00865622"/>
    <w:rsid w:val="008724EF"/>
    <w:rsid w:val="00883AB9"/>
    <w:rsid w:val="00890D4C"/>
    <w:rsid w:val="008A7AF8"/>
    <w:rsid w:val="008B6009"/>
    <w:rsid w:val="008C3AB5"/>
    <w:rsid w:val="008F3620"/>
    <w:rsid w:val="00912BB1"/>
    <w:rsid w:val="0092549D"/>
    <w:rsid w:val="00926BC1"/>
    <w:rsid w:val="00965CE1"/>
    <w:rsid w:val="00976931"/>
    <w:rsid w:val="009769DA"/>
    <w:rsid w:val="0098345C"/>
    <w:rsid w:val="00985275"/>
    <w:rsid w:val="009947C1"/>
    <w:rsid w:val="009A2D6F"/>
    <w:rsid w:val="009A4F88"/>
    <w:rsid w:val="009B1B95"/>
    <w:rsid w:val="009B5B60"/>
    <w:rsid w:val="009C37FF"/>
    <w:rsid w:val="009E436C"/>
    <w:rsid w:val="00A056CF"/>
    <w:rsid w:val="00A12EAB"/>
    <w:rsid w:val="00A25D6E"/>
    <w:rsid w:val="00A50778"/>
    <w:rsid w:val="00A50AF3"/>
    <w:rsid w:val="00A53154"/>
    <w:rsid w:val="00A60F6D"/>
    <w:rsid w:val="00A61120"/>
    <w:rsid w:val="00A62E74"/>
    <w:rsid w:val="00A72CD8"/>
    <w:rsid w:val="00A977BA"/>
    <w:rsid w:val="00AA0BD4"/>
    <w:rsid w:val="00AA514E"/>
    <w:rsid w:val="00AB2FAA"/>
    <w:rsid w:val="00AC100A"/>
    <w:rsid w:val="00AD79CE"/>
    <w:rsid w:val="00AE1B50"/>
    <w:rsid w:val="00B01684"/>
    <w:rsid w:val="00B0698E"/>
    <w:rsid w:val="00B11D00"/>
    <w:rsid w:val="00B50CDC"/>
    <w:rsid w:val="00B55C5F"/>
    <w:rsid w:val="00B57037"/>
    <w:rsid w:val="00B6051B"/>
    <w:rsid w:val="00B616BA"/>
    <w:rsid w:val="00B640FB"/>
    <w:rsid w:val="00B6450E"/>
    <w:rsid w:val="00B71F12"/>
    <w:rsid w:val="00BA2C23"/>
    <w:rsid w:val="00BA372D"/>
    <w:rsid w:val="00BC15C6"/>
    <w:rsid w:val="00BC2A5C"/>
    <w:rsid w:val="00BC2F49"/>
    <w:rsid w:val="00BD011E"/>
    <w:rsid w:val="00BD2149"/>
    <w:rsid w:val="00BE1E8F"/>
    <w:rsid w:val="00C013DA"/>
    <w:rsid w:val="00C0153B"/>
    <w:rsid w:val="00C02762"/>
    <w:rsid w:val="00C02C27"/>
    <w:rsid w:val="00C150B9"/>
    <w:rsid w:val="00C17651"/>
    <w:rsid w:val="00C32845"/>
    <w:rsid w:val="00C35C5F"/>
    <w:rsid w:val="00C36E80"/>
    <w:rsid w:val="00C36E99"/>
    <w:rsid w:val="00C42C56"/>
    <w:rsid w:val="00C46C72"/>
    <w:rsid w:val="00C53945"/>
    <w:rsid w:val="00C60B70"/>
    <w:rsid w:val="00C6752E"/>
    <w:rsid w:val="00C76677"/>
    <w:rsid w:val="00C97769"/>
    <w:rsid w:val="00CA3119"/>
    <w:rsid w:val="00CA5473"/>
    <w:rsid w:val="00CD6167"/>
    <w:rsid w:val="00CE6087"/>
    <w:rsid w:val="00CF263C"/>
    <w:rsid w:val="00CF4E66"/>
    <w:rsid w:val="00D06E4B"/>
    <w:rsid w:val="00D121C2"/>
    <w:rsid w:val="00D20695"/>
    <w:rsid w:val="00D20D92"/>
    <w:rsid w:val="00D476E4"/>
    <w:rsid w:val="00D600BD"/>
    <w:rsid w:val="00D67AED"/>
    <w:rsid w:val="00D73971"/>
    <w:rsid w:val="00D73C6C"/>
    <w:rsid w:val="00D7410B"/>
    <w:rsid w:val="00D76B5C"/>
    <w:rsid w:val="00D82313"/>
    <w:rsid w:val="00DA4F0B"/>
    <w:rsid w:val="00DB4F7C"/>
    <w:rsid w:val="00DC6522"/>
    <w:rsid w:val="00DD402B"/>
    <w:rsid w:val="00DD63FE"/>
    <w:rsid w:val="00DD68FD"/>
    <w:rsid w:val="00DE1F37"/>
    <w:rsid w:val="00DF33C2"/>
    <w:rsid w:val="00E24D61"/>
    <w:rsid w:val="00E333BF"/>
    <w:rsid w:val="00E519B7"/>
    <w:rsid w:val="00E72285"/>
    <w:rsid w:val="00E73A35"/>
    <w:rsid w:val="00E86997"/>
    <w:rsid w:val="00E9720D"/>
    <w:rsid w:val="00EA0886"/>
    <w:rsid w:val="00EA7B43"/>
    <w:rsid w:val="00EB2F4A"/>
    <w:rsid w:val="00EC06CE"/>
    <w:rsid w:val="00EC6139"/>
    <w:rsid w:val="00EC6D02"/>
    <w:rsid w:val="00EC7551"/>
    <w:rsid w:val="00ED05AF"/>
    <w:rsid w:val="00ED2C04"/>
    <w:rsid w:val="00ED4688"/>
    <w:rsid w:val="00EE2D3C"/>
    <w:rsid w:val="00EE3B30"/>
    <w:rsid w:val="00EE7CAB"/>
    <w:rsid w:val="00EF5797"/>
    <w:rsid w:val="00F20624"/>
    <w:rsid w:val="00F40ADD"/>
    <w:rsid w:val="00F413D2"/>
    <w:rsid w:val="00F43C1A"/>
    <w:rsid w:val="00F453BE"/>
    <w:rsid w:val="00F516B9"/>
    <w:rsid w:val="00F531BE"/>
    <w:rsid w:val="00F53D3F"/>
    <w:rsid w:val="00F747FB"/>
    <w:rsid w:val="00F8476A"/>
    <w:rsid w:val="00FC04F2"/>
    <w:rsid w:val="00FD52BA"/>
    <w:rsid w:val="00FF3994"/>
    <w:rsid w:val="00FF68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2D"/>
    <w:rPr>
      <w:rFonts w:ascii="Lucida Grande" w:eastAsia="ヒラギノ角ゴ Pro W3" w:hAnsi="Lucida Grande"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sz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94"/>
    <w:rPr>
      <w:color w:val="0000FF" w:themeColor="hyperlink"/>
      <w:u w:val="single"/>
    </w:rPr>
  </w:style>
  <w:style w:type="paragraph" w:styleId="PlainText">
    <w:name w:val="Plain Text"/>
    <w:basedOn w:val="Normal"/>
    <w:link w:val="PlainTextChar"/>
    <w:uiPriority w:val="99"/>
    <w:unhideWhenUsed/>
    <w:rsid w:val="00EC6139"/>
    <w:pPr>
      <w:spacing w:after="0" w:line="240" w:lineRule="auto"/>
    </w:pPr>
    <w:rPr>
      <w:rFonts w:ascii="Calibri" w:hAnsi="Calibri"/>
      <w:szCs w:val="21"/>
      <w:lang w:val="fr-BE"/>
    </w:rPr>
  </w:style>
  <w:style w:type="character" w:customStyle="1" w:styleId="PlainTextChar">
    <w:name w:val="Plain Text Char"/>
    <w:basedOn w:val="DefaultParagraphFont"/>
    <w:link w:val="PlainText"/>
    <w:uiPriority w:val="99"/>
    <w:rsid w:val="00EC6139"/>
    <w:rPr>
      <w:rFonts w:ascii="Calibri" w:hAnsi="Calibri"/>
      <w:szCs w:val="21"/>
      <w:lang w:val="fr-BE"/>
    </w:rPr>
  </w:style>
  <w:style w:type="character" w:styleId="FollowedHyperlink">
    <w:name w:val="FollowedHyperlink"/>
    <w:basedOn w:val="DefaultParagraphFont"/>
    <w:uiPriority w:val="99"/>
    <w:semiHidden/>
    <w:unhideWhenUsed/>
    <w:rsid w:val="00275D70"/>
    <w:rPr>
      <w:color w:val="800080" w:themeColor="followedHyperlink"/>
      <w:u w:val="single"/>
    </w:rPr>
  </w:style>
  <w:style w:type="character" w:styleId="CommentReference">
    <w:name w:val="annotation reference"/>
    <w:basedOn w:val="DefaultParagraphFont"/>
    <w:uiPriority w:val="99"/>
    <w:semiHidden/>
    <w:unhideWhenUsed/>
    <w:rsid w:val="0076734A"/>
    <w:rPr>
      <w:sz w:val="16"/>
      <w:szCs w:val="16"/>
    </w:rPr>
  </w:style>
  <w:style w:type="paragraph" w:styleId="CommentText">
    <w:name w:val="annotation text"/>
    <w:basedOn w:val="Normal"/>
    <w:link w:val="CommentTextChar"/>
    <w:uiPriority w:val="99"/>
    <w:semiHidden/>
    <w:unhideWhenUsed/>
    <w:rsid w:val="0076734A"/>
    <w:pPr>
      <w:spacing w:line="240" w:lineRule="auto"/>
    </w:pPr>
    <w:rPr>
      <w:sz w:val="20"/>
      <w:szCs w:val="20"/>
    </w:rPr>
  </w:style>
  <w:style w:type="character" w:customStyle="1" w:styleId="CommentTextChar">
    <w:name w:val="Comment Text Char"/>
    <w:basedOn w:val="DefaultParagraphFont"/>
    <w:link w:val="CommentText"/>
    <w:uiPriority w:val="99"/>
    <w:semiHidden/>
    <w:rsid w:val="0076734A"/>
    <w:rPr>
      <w:sz w:val="20"/>
      <w:szCs w:val="20"/>
      <w:lang w:val="en-GB"/>
    </w:rPr>
  </w:style>
  <w:style w:type="paragraph" w:styleId="CommentSubject">
    <w:name w:val="annotation subject"/>
    <w:basedOn w:val="CommentText"/>
    <w:next w:val="CommentText"/>
    <w:link w:val="CommentSubjectChar"/>
    <w:uiPriority w:val="99"/>
    <w:semiHidden/>
    <w:unhideWhenUsed/>
    <w:rsid w:val="0076734A"/>
    <w:rPr>
      <w:b/>
      <w:bCs/>
    </w:rPr>
  </w:style>
  <w:style w:type="character" w:customStyle="1" w:styleId="CommentSubjectChar">
    <w:name w:val="Comment Subject Char"/>
    <w:basedOn w:val="CommentTextChar"/>
    <w:link w:val="CommentSubject"/>
    <w:uiPriority w:val="99"/>
    <w:semiHidden/>
    <w:rsid w:val="0076734A"/>
    <w:rPr>
      <w:b/>
      <w:bCs/>
      <w:sz w:val="20"/>
      <w:szCs w:val="20"/>
      <w:lang w:val="en-GB"/>
    </w:rPr>
  </w:style>
  <w:style w:type="paragraph" w:customStyle="1" w:styleId="Heading11">
    <w:name w:val="Heading 11"/>
    <w:next w:val="Normal"/>
    <w:rsid w:val="003D052D"/>
    <w:pPr>
      <w:keepNext/>
      <w:keepLines/>
      <w:spacing w:before="480" w:after="0"/>
      <w:outlineLvl w:val="0"/>
    </w:pPr>
    <w:rPr>
      <w:rFonts w:ascii="Lucida Grande" w:eastAsia="ヒラギノ角ゴ Pro W3" w:hAnsi="Lucida Grande" w:cs="Times New Roman"/>
      <w:b/>
      <w:color w:val="214D7E"/>
      <w:sz w:val="28"/>
      <w:szCs w:val="20"/>
      <w:lang w:val="en-GB" w:eastAsia="en-GB"/>
    </w:rPr>
  </w:style>
  <w:style w:type="character" w:customStyle="1" w:styleId="FootnoteReference1">
    <w:name w:val="Footnote Reference1"/>
    <w:rsid w:val="003D052D"/>
    <w:rPr>
      <w:color w:val="000000"/>
      <w:sz w:val="22"/>
      <w:vertAlign w:val="superscript"/>
    </w:rPr>
  </w:style>
  <w:style w:type="paragraph" w:customStyle="1" w:styleId="FootnoteText1">
    <w:name w:val="Footnote Text1"/>
    <w:rsid w:val="003D052D"/>
    <w:pPr>
      <w:spacing w:after="0" w:line="240" w:lineRule="auto"/>
    </w:pPr>
    <w:rPr>
      <w:rFonts w:ascii="Lucida Grande" w:eastAsia="ヒラギノ角ゴ Pro W3" w:hAnsi="Lucida Grande" w:cs="Times New Roman"/>
      <w:color w:val="000000"/>
      <w:sz w:val="20"/>
      <w:szCs w:val="20"/>
      <w:lang w:val="en-GB" w:eastAsia="en-GB"/>
    </w:rPr>
  </w:style>
  <w:style w:type="paragraph" w:customStyle="1" w:styleId="Modulovuoto">
    <w:name w:val="Modulo vuoto"/>
    <w:rsid w:val="003D052D"/>
    <w:rPr>
      <w:rFonts w:ascii="Lucida Grande" w:eastAsia="ヒラギノ角ゴ Pro W3" w:hAnsi="Lucida Grande" w:cs="Times New Roman"/>
      <w:color w:val="000000"/>
      <w:szCs w:val="20"/>
      <w:lang w:eastAsia="en-GB"/>
    </w:rPr>
  </w:style>
  <w:style w:type="paragraph" w:styleId="FootnoteText">
    <w:name w:val="footnote text"/>
    <w:basedOn w:val="Normal"/>
    <w:link w:val="FootnoteTextChar"/>
    <w:uiPriority w:val="99"/>
    <w:semiHidden/>
    <w:unhideWhenUsed/>
    <w:rsid w:val="003D052D"/>
    <w:rPr>
      <w:sz w:val="20"/>
      <w:szCs w:val="20"/>
    </w:rPr>
  </w:style>
  <w:style w:type="character" w:customStyle="1" w:styleId="FootnoteTextChar">
    <w:name w:val="Footnote Text Char"/>
    <w:basedOn w:val="DefaultParagraphFont"/>
    <w:link w:val="FootnoteText"/>
    <w:uiPriority w:val="99"/>
    <w:semiHidden/>
    <w:rsid w:val="003D052D"/>
    <w:rPr>
      <w:rFonts w:ascii="Lucida Grande" w:eastAsia="ヒラギノ角ゴ Pro W3" w:hAnsi="Lucida Grande" w:cs="Times New Roman"/>
      <w:color w:val="000000"/>
      <w:sz w:val="20"/>
      <w:szCs w:val="20"/>
      <w:lang w:val="en-GB"/>
    </w:rPr>
  </w:style>
  <w:style w:type="character" w:styleId="FootnoteReference">
    <w:name w:val="footnote reference"/>
    <w:uiPriority w:val="99"/>
    <w:semiHidden/>
    <w:unhideWhenUsed/>
    <w:rsid w:val="003D0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D052D"/>
    <w:rPr>
      <w:rFonts w:ascii="Lucida Grande" w:eastAsia="ヒラギノ角ゴ Pro W3" w:hAnsi="Lucida Grande"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sz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27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F6"/>
    <w:rPr>
      <w:rFonts w:ascii="Tahoma" w:hAnsi="Tahoma" w:cs="Tahoma"/>
      <w:sz w:val="16"/>
      <w:szCs w:val="16"/>
    </w:rPr>
  </w:style>
  <w:style w:type="paragraph" w:styleId="Title">
    <w:name w:val="Title"/>
    <w:basedOn w:val="Normal"/>
    <w:next w:val="Normal"/>
    <w:link w:val="TitleChar"/>
    <w:uiPriority w:val="10"/>
    <w:qFormat/>
    <w:rsid w:val="00E86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699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qFormat/>
    <w:rsid w:val="00E86997"/>
    <w:pPr>
      <w:ind w:left="720"/>
      <w:contextualSpacing/>
    </w:pPr>
  </w:style>
  <w:style w:type="table" w:styleId="TableGrid">
    <w:name w:val="Table Grid"/>
    <w:basedOn w:val="TableNormal"/>
    <w:uiPriority w:val="59"/>
    <w:rsid w:val="00E86997"/>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A94"/>
    <w:rPr>
      <w:color w:val="0000FF" w:themeColor="hyperlink"/>
      <w:u w:val="single"/>
    </w:rPr>
  </w:style>
  <w:style w:type="paragraph" w:styleId="PlainText">
    <w:name w:val="Plain Text"/>
    <w:basedOn w:val="Normal"/>
    <w:link w:val="PlainTextChar"/>
    <w:uiPriority w:val="99"/>
    <w:unhideWhenUsed/>
    <w:rsid w:val="00EC6139"/>
    <w:pPr>
      <w:spacing w:after="0" w:line="240" w:lineRule="auto"/>
    </w:pPr>
    <w:rPr>
      <w:rFonts w:ascii="Calibri" w:hAnsi="Calibri"/>
      <w:szCs w:val="21"/>
      <w:lang w:val="fr-BE"/>
    </w:rPr>
  </w:style>
  <w:style w:type="character" w:customStyle="1" w:styleId="PlainTextChar">
    <w:name w:val="Plain Text Char"/>
    <w:basedOn w:val="DefaultParagraphFont"/>
    <w:link w:val="PlainText"/>
    <w:uiPriority w:val="99"/>
    <w:rsid w:val="00EC6139"/>
    <w:rPr>
      <w:rFonts w:ascii="Calibri" w:hAnsi="Calibri"/>
      <w:szCs w:val="21"/>
      <w:lang w:val="fr-BE"/>
    </w:rPr>
  </w:style>
  <w:style w:type="character" w:styleId="FollowedHyperlink">
    <w:name w:val="FollowedHyperlink"/>
    <w:basedOn w:val="DefaultParagraphFont"/>
    <w:uiPriority w:val="99"/>
    <w:semiHidden/>
    <w:unhideWhenUsed/>
    <w:rsid w:val="00275D70"/>
    <w:rPr>
      <w:color w:val="800080" w:themeColor="followedHyperlink"/>
      <w:u w:val="single"/>
    </w:rPr>
  </w:style>
  <w:style w:type="character" w:styleId="CommentReference">
    <w:name w:val="annotation reference"/>
    <w:basedOn w:val="DefaultParagraphFont"/>
    <w:uiPriority w:val="99"/>
    <w:semiHidden/>
    <w:unhideWhenUsed/>
    <w:rsid w:val="0076734A"/>
    <w:rPr>
      <w:sz w:val="16"/>
      <w:szCs w:val="16"/>
    </w:rPr>
  </w:style>
  <w:style w:type="paragraph" w:styleId="CommentText">
    <w:name w:val="annotation text"/>
    <w:basedOn w:val="Normal"/>
    <w:link w:val="CommentTextChar"/>
    <w:uiPriority w:val="99"/>
    <w:semiHidden/>
    <w:unhideWhenUsed/>
    <w:rsid w:val="0076734A"/>
    <w:pPr>
      <w:spacing w:line="240" w:lineRule="auto"/>
    </w:pPr>
    <w:rPr>
      <w:sz w:val="20"/>
      <w:szCs w:val="20"/>
    </w:rPr>
  </w:style>
  <w:style w:type="character" w:customStyle="1" w:styleId="CommentTextChar">
    <w:name w:val="Comment Text Char"/>
    <w:basedOn w:val="DefaultParagraphFont"/>
    <w:link w:val="CommentText"/>
    <w:uiPriority w:val="99"/>
    <w:semiHidden/>
    <w:rsid w:val="0076734A"/>
    <w:rPr>
      <w:sz w:val="20"/>
      <w:szCs w:val="20"/>
      <w:lang w:val="en-GB"/>
    </w:rPr>
  </w:style>
  <w:style w:type="paragraph" w:styleId="CommentSubject">
    <w:name w:val="annotation subject"/>
    <w:basedOn w:val="CommentText"/>
    <w:next w:val="CommentText"/>
    <w:link w:val="CommentSubjectChar"/>
    <w:uiPriority w:val="99"/>
    <w:semiHidden/>
    <w:unhideWhenUsed/>
    <w:rsid w:val="0076734A"/>
    <w:rPr>
      <w:b/>
      <w:bCs/>
    </w:rPr>
  </w:style>
  <w:style w:type="character" w:customStyle="1" w:styleId="CommentSubjectChar">
    <w:name w:val="Comment Subject Char"/>
    <w:basedOn w:val="CommentTextChar"/>
    <w:link w:val="CommentSubject"/>
    <w:uiPriority w:val="99"/>
    <w:semiHidden/>
    <w:rsid w:val="0076734A"/>
    <w:rPr>
      <w:b/>
      <w:bCs/>
      <w:sz w:val="20"/>
      <w:szCs w:val="20"/>
      <w:lang w:val="en-GB"/>
    </w:rPr>
  </w:style>
  <w:style w:type="paragraph" w:customStyle="1" w:styleId="Heading11">
    <w:name w:val="Heading 11"/>
    <w:next w:val="Normal"/>
    <w:rsid w:val="003D052D"/>
    <w:pPr>
      <w:keepNext/>
      <w:keepLines/>
      <w:spacing w:before="480" w:after="0"/>
      <w:outlineLvl w:val="0"/>
    </w:pPr>
    <w:rPr>
      <w:rFonts w:ascii="Lucida Grande" w:eastAsia="ヒラギノ角ゴ Pro W3" w:hAnsi="Lucida Grande" w:cs="Times New Roman"/>
      <w:b/>
      <w:color w:val="214D7E"/>
      <w:sz w:val="28"/>
      <w:szCs w:val="20"/>
      <w:lang w:val="en-GB" w:eastAsia="en-GB"/>
    </w:rPr>
  </w:style>
  <w:style w:type="character" w:customStyle="1" w:styleId="FootnoteReference1">
    <w:name w:val="Footnote Reference1"/>
    <w:rsid w:val="003D052D"/>
    <w:rPr>
      <w:color w:val="000000"/>
      <w:sz w:val="22"/>
      <w:vertAlign w:val="superscript"/>
    </w:rPr>
  </w:style>
  <w:style w:type="paragraph" w:customStyle="1" w:styleId="FootnoteText1">
    <w:name w:val="Footnote Text1"/>
    <w:rsid w:val="003D052D"/>
    <w:pPr>
      <w:spacing w:after="0" w:line="240" w:lineRule="auto"/>
    </w:pPr>
    <w:rPr>
      <w:rFonts w:ascii="Lucida Grande" w:eastAsia="ヒラギノ角ゴ Pro W3" w:hAnsi="Lucida Grande" w:cs="Times New Roman"/>
      <w:color w:val="000000"/>
      <w:sz w:val="20"/>
      <w:szCs w:val="20"/>
      <w:lang w:val="en-GB" w:eastAsia="en-GB"/>
    </w:rPr>
  </w:style>
  <w:style w:type="paragraph" w:customStyle="1" w:styleId="Modulovuoto">
    <w:name w:val="Modulo vuoto"/>
    <w:rsid w:val="003D052D"/>
    <w:rPr>
      <w:rFonts w:ascii="Lucida Grande" w:eastAsia="ヒラギノ角ゴ Pro W3" w:hAnsi="Lucida Grande" w:cs="Times New Roman"/>
      <w:color w:val="000000"/>
      <w:szCs w:val="20"/>
      <w:lang w:eastAsia="en-GB"/>
    </w:rPr>
  </w:style>
  <w:style w:type="paragraph" w:styleId="FootnoteText">
    <w:name w:val="footnote text"/>
    <w:basedOn w:val="Normal"/>
    <w:link w:val="FootnoteTextChar"/>
    <w:uiPriority w:val="99"/>
    <w:semiHidden/>
    <w:unhideWhenUsed/>
    <w:rsid w:val="003D052D"/>
    <w:rPr>
      <w:sz w:val="20"/>
      <w:szCs w:val="20"/>
    </w:rPr>
  </w:style>
  <w:style w:type="character" w:customStyle="1" w:styleId="FootnoteTextChar">
    <w:name w:val="Footnote Text Char"/>
    <w:basedOn w:val="DefaultParagraphFont"/>
    <w:link w:val="FootnoteText"/>
    <w:uiPriority w:val="99"/>
    <w:semiHidden/>
    <w:rsid w:val="003D052D"/>
    <w:rPr>
      <w:rFonts w:ascii="Lucida Grande" w:eastAsia="ヒラギノ角ゴ Pro W3" w:hAnsi="Lucida Grande" w:cs="Times New Roman"/>
      <w:color w:val="000000"/>
      <w:sz w:val="20"/>
      <w:szCs w:val="20"/>
      <w:lang w:val="en-GB"/>
    </w:rPr>
  </w:style>
  <w:style w:type="character" w:styleId="FootnoteReference">
    <w:name w:val="footnote reference"/>
    <w:uiPriority w:val="99"/>
    <w:semiHidden/>
    <w:unhideWhenUsed/>
    <w:rsid w:val="003D0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16788">
      <w:bodyDiv w:val="1"/>
      <w:marLeft w:val="0"/>
      <w:marRight w:val="0"/>
      <w:marTop w:val="0"/>
      <w:marBottom w:val="0"/>
      <w:divBdr>
        <w:top w:val="none" w:sz="0" w:space="0" w:color="auto"/>
        <w:left w:val="none" w:sz="0" w:space="0" w:color="auto"/>
        <w:bottom w:val="none" w:sz="0" w:space="0" w:color="auto"/>
        <w:right w:val="none" w:sz="0" w:space="0" w:color="auto"/>
      </w:divBdr>
      <w:divsChild>
        <w:div w:id="1031878597">
          <w:marLeft w:val="0"/>
          <w:marRight w:val="0"/>
          <w:marTop w:val="0"/>
          <w:marBottom w:val="0"/>
          <w:divBdr>
            <w:top w:val="none" w:sz="0" w:space="0" w:color="auto"/>
            <w:left w:val="none" w:sz="0" w:space="0" w:color="auto"/>
            <w:bottom w:val="none" w:sz="0" w:space="0" w:color="auto"/>
            <w:right w:val="none" w:sz="0" w:space="0" w:color="auto"/>
          </w:divBdr>
          <w:divsChild>
            <w:div w:id="1684816418">
              <w:marLeft w:val="0"/>
              <w:marRight w:val="0"/>
              <w:marTop w:val="0"/>
              <w:marBottom w:val="0"/>
              <w:divBdr>
                <w:top w:val="none" w:sz="0" w:space="0" w:color="auto"/>
                <w:left w:val="none" w:sz="0" w:space="0" w:color="auto"/>
                <w:bottom w:val="none" w:sz="0" w:space="0" w:color="auto"/>
                <w:right w:val="none" w:sz="0" w:space="0" w:color="auto"/>
              </w:divBdr>
            </w:div>
          </w:divsChild>
        </w:div>
        <w:div w:id="30345525">
          <w:marLeft w:val="0"/>
          <w:marRight w:val="0"/>
          <w:marTop w:val="0"/>
          <w:marBottom w:val="0"/>
          <w:divBdr>
            <w:top w:val="none" w:sz="0" w:space="0" w:color="auto"/>
            <w:left w:val="none" w:sz="0" w:space="0" w:color="auto"/>
            <w:bottom w:val="none" w:sz="0" w:space="0" w:color="auto"/>
            <w:right w:val="none" w:sz="0" w:space="0" w:color="auto"/>
          </w:divBdr>
          <w:divsChild>
            <w:div w:id="5739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835">
      <w:bodyDiv w:val="1"/>
      <w:marLeft w:val="0"/>
      <w:marRight w:val="0"/>
      <w:marTop w:val="0"/>
      <w:marBottom w:val="0"/>
      <w:divBdr>
        <w:top w:val="none" w:sz="0" w:space="0" w:color="auto"/>
        <w:left w:val="none" w:sz="0" w:space="0" w:color="auto"/>
        <w:bottom w:val="none" w:sz="0" w:space="0" w:color="auto"/>
        <w:right w:val="none" w:sz="0" w:space="0" w:color="auto"/>
      </w:divBdr>
    </w:div>
    <w:div w:id="11899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trade-union-principles-and?lang=en" TargetMode="External"/><Relationship Id="rId1" Type="http://schemas.openxmlformats.org/officeDocument/2006/relationships/hyperlink" Target="http://www.ituc-csi.org/IMG/pdf/trade_union_principles_2013_en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8EBA-4F71-4126-8D7E-70E22B7D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150417 document</vt:lpstr>
      <vt:lpstr/>
    </vt:vector>
  </TitlesOfParts>
  <Company>International Trade Union Confederation</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150417 document</dc:title>
  <dc:creator>Carol</dc:creator>
  <cp:lastModifiedBy>Lopez Gonzalez, Diego</cp:lastModifiedBy>
  <cp:revision>6</cp:revision>
  <cp:lastPrinted>2015-04-17T09:15:00Z</cp:lastPrinted>
  <dcterms:created xsi:type="dcterms:W3CDTF">2015-04-17T08:42:00Z</dcterms:created>
  <dcterms:modified xsi:type="dcterms:W3CDTF">2015-04-17T09:27:00Z</dcterms:modified>
</cp:coreProperties>
</file>