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AE" w:rsidRPr="00B86B91" w:rsidRDefault="00654EAE" w:rsidP="00654EAE">
      <w:pPr>
        <w:spacing w:after="0"/>
        <w:jc w:val="center"/>
        <w:rPr>
          <w:rFonts w:eastAsia="Times New Roman"/>
          <w:b/>
          <w:bCs/>
          <w:caps/>
          <w:color w:val="17365D"/>
          <w:spacing w:val="22"/>
          <w:kern w:val="28"/>
          <w:sz w:val="24"/>
          <w:szCs w:val="36"/>
          <w:lang w:val="es-ES" w:eastAsia="en-GB"/>
        </w:rPr>
      </w:pPr>
      <w:r w:rsidRPr="00B86B91">
        <w:rPr>
          <w:rFonts w:eastAsia="Times New Roman"/>
          <w:b/>
          <w:bCs/>
          <w:caps/>
          <w:color w:val="17365D"/>
          <w:spacing w:val="22"/>
          <w:kern w:val="28"/>
          <w:sz w:val="24"/>
          <w:szCs w:val="36"/>
          <w:lang w:val="es-ES" w:eastAsia="en-GB"/>
        </w:rPr>
        <w:t xml:space="preserve">REUNIÓN GENERAL RED SINDICAL DE COOPERACIÓN AL DESARROLLO </w:t>
      </w:r>
    </w:p>
    <w:p w:rsidR="00654EAE" w:rsidRPr="008632EA" w:rsidRDefault="00654EAE" w:rsidP="00654EAE">
      <w:pPr>
        <w:spacing w:after="0"/>
        <w:jc w:val="center"/>
        <w:rPr>
          <w:rFonts w:eastAsia="Times New Roman"/>
          <w:b/>
          <w:bCs/>
          <w:caps/>
          <w:color w:val="17365D"/>
          <w:spacing w:val="5"/>
          <w:kern w:val="28"/>
          <w:sz w:val="24"/>
          <w:szCs w:val="36"/>
          <w:lang w:val="en-GB" w:eastAsia="en-GB"/>
        </w:rPr>
      </w:pPr>
      <w:r w:rsidRPr="008632EA">
        <w:rPr>
          <w:rFonts w:eastAsia="Times New Roman"/>
          <w:b/>
          <w:bCs/>
          <w:caps/>
          <w:color w:val="17365D"/>
          <w:spacing w:val="5"/>
          <w:kern w:val="28"/>
          <w:sz w:val="24"/>
          <w:szCs w:val="36"/>
          <w:lang w:val="en-GB" w:eastAsia="en-GB"/>
        </w:rPr>
        <w:t>TRADE UNION DEVELOPMENT COOPERATION NETWORK GENERAL MEETING</w:t>
      </w:r>
    </w:p>
    <w:p w:rsidR="00654EAE" w:rsidRPr="00B86B91" w:rsidRDefault="00654EAE" w:rsidP="007851BF">
      <w:pPr>
        <w:pBdr>
          <w:bottom w:val="single" w:sz="4" w:space="1" w:color="auto"/>
        </w:pBdr>
        <w:spacing w:after="240"/>
        <w:jc w:val="center"/>
        <w:rPr>
          <w:rFonts w:eastAsia="Times New Roman"/>
          <w:b/>
          <w:bCs/>
          <w:caps/>
          <w:color w:val="17365D"/>
          <w:spacing w:val="-4"/>
          <w:kern w:val="28"/>
          <w:sz w:val="24"/>
          <w:szCs w:val="36"/>
          <w:lang w:val="fr-BE" w:eastAsia="en-GB"/>
        </w:rPr>
      </w:pPr>
      <w:r w:rsidRPr="00B86B91">
        <w:rPr>
          <w:rFonts w:eastAsia="Times New Roman"/>
          <w:b/>
          <w:bCs/>
          <w:caps/>
          <w:color w:val="17365D"/>
          <w:spacing w:val="-4"/>
          <w:kern w:val="28"/>
          <w:sz w:val="24"/>
          <w:szCs w:val="36"/>
          <w:lang w:val="fr-BE" w:eastAsia="en-GB"/>
        </w:rPr>
        <w:t>RÉSEAU SYNDICAL POUR LA COOPÉRATION AU dÉvelopment RÉUNION GÉNÉRALE</w:t>
      </w:r>
    </w:p>
    <w:p w:rsidR="00654EAE" w:rsidRPr="008632EA" w:rsidRDefault="00654EAE" w:rsidP="007851BF">
      <w:pPr>
        <w:pStyle w:val="TOCHeading"/>
        <w:spacing w:before="0" w:after="240"/>
        <w:jc w:val="center"/>
        <w:rPr>
          <w:rFonts w:ascii="Calibri" w:hAnsi="Calibri"/>
          <w:sz w:val="30"/>
          <w:szCs w:val="30"/>
          <w:lang w:val="en-GB"/>
        </w:rPr>
      </w:pPr>
      <w:r w:rsidRPr="008632EA">
        <w:rPr>
          <w:rFonts w:ascii="Calibri" w:hAnsi="Calibri"/>
          <w:sz w:val="30"/>
          <w:szCs w:val="30"/>
          <w:lang w:val="en-GB"/>
        </w:rPr>
        <w:t xml:space="preserve">Sao Paulo, 18-20 de </w:t>
      </w:r>
      <w:proofErr w:type="spellStart"/>
      <w:r w:rsidRPr="008632EA">
        <w:rPr>
          <w:rFonts w:ascii="Calibri" w:hAnsi="Calibri"/>
          <w:sz w:val="30"/>
          <w:szCs w:val="30"/>
          <w:lang w:val="en-GB"/>
        </w:rPr>
        <w:t>Marzo</w:t>
      </w:r>
      <w:proofErr w:type="spellEnd"/>
      <w:r w:rsidRPr="008632EA">
        <w:rPr>
          <w:rFonts w:ascii="Calibri" w:hAnsi="Calibri"/>
          <w:sz w:val="30"/>
          <w:szCs w:val="30"/>
          <w:lang w:val="en-GB"/>
        </w:rPr>
        <w:t xml:space="preserve"> 2014</w:t>
      </w:r>
    </w:p>
    <w:p w:rsidR="00654EAE" w:rsidRPr="007851BF" w:rsidRDefault="00654EAE" w:rsidP="007851BF">
      <w:pPr>
        <w:spacing w:after="120"/>
        <w:jc w:val="center"/>
        <w:rPr>
          <w:b/>
          <w:color w:val="E36C0A" w:themeColor="accent6" w:themeShade="BF"/>
          <w:sz w:val="28"/>
          <w:u w:val="single"/>
          <w:lang w:val="en-GB"/>
        </w:rPr>
      </w:pPr>
      <w:r w:rsidRPr="007851BF">
        <w:rPr>
          <w:b/>
          <w:color w:val="E36C0A" w:themeColor="accent6" w:themeShade="BF"/>
          <w:sz w:val="28"/>
          <w:u w:val="single"/>
          <w:lang w:val="en-GB"/>
        </w:rPr>
        <w:t>NOTES ON THE AGENDA</w:t>
      </w:r>
    </w:p>
    <w:p w:rsidR="00654EAE" w:rsidRPr="007851BF" w:rsidRDefault="00654EAE" w:rsidP="00DC707D">
      <w:pPr>
        <w:jc w:val="left"/>
        <w:rPr>
          <w:b/>
          <w:color w:val="E36C0A" w:themeColor="accent6" w:themeShade="BF"/>
          <w:lang w:val="en-GB"/>
        </w:rPr>
      </w:pPr>
      <w:r w:rsidRPr="007851BF">
        <w:rPr>
          <w:b/>
          <w:color w:val="E36C0A" w:themeColor="accent6" w:themeShade="BF"/>
          <w:lang w:val="en-GB"/>
        </w:rPr>
        <w:t>Day 1</w:t>
      </w:r>
    </w:p>
    <w:p w:rsidR="00F44E5E" w:rsidRDefault="00654EAE" w:rsidP="00654EAE">
      <w:pPr>
        <w:jc w:val="left"/>
        <w:rPr>
          <w:lang w:val="en-GB"/>
        </w:rPr>
      </w:pPr>
      <w:r w:rsidRPr="008632EA">
        <w:rPr>
          <w:lang w:val="en-GB"/>
        </w:rPr>
        <w:t>The objective of day one is t</w:t>
      </w:r>
      <w:r w:rsidR="003B5EE3">
        <w:rPr>
          <w:lang w:val="en-GB"/>
        </w:rPr>
        <w:t>o</w:t>
      </w:r>
      <w:r w:rsidRPr="008632EA">
        <w:rPr>
          <w:lang w:val="en-GB"/>
        </w:rPr>
        <w:t xml:space="preserve"> discuss the “</w:t>
      </w:r>
      <w:r w:rsidRPr="00F44E5E">
        <w:rPr>
          <w:b/>
          <w:color w:val="548DD4" w:themeColor="text2" w:themeTint="99"/>
          <w:lang w:val="en-GB"/>
        </w:rPr>
        <w:t>development model we want</w:t>
      </w:r>
      <w:r w:rsidRPr="008632EA">
        <w:rPr>
          <w:lang w:val="en-GB"/>
        </w:rPr>
        <w:t xml:space="preserve">”. </w:t>
      </w:r>
      <w:r w:rsidRPr="008632EA">
        <w:rPr>
          <w:lang w:val="en-GB"/>
        </w:rPr>
        <w:br/>
      </w:r>
      <w:r w:rsidR="008632EA">
        <w:rPr>
          <w:lang w:val="en-GB"/>
        </w:rPr>
        <w:t>D</w:t>
      </w:r>
      <w:r w:rsidRPr="008632EA">
        <w:rPr>
          <w:lang w:val="en-GB"/>
        </w:rPr>
        <w:t>uring this day we</w:t>
      </w:r>
      <w:r w:rsidR="00F44E5E">
        <w:rPr>
          <w:lang w:val="en-GB"/>
        </w:rPr>
        <w:t xml:space="preserve"> </w:t>
      </w:r>
      <w:r w:rsidRPr="008632EA">
        <w:rPr>
          <w:lang w:val="en-GB"/>
        </w:rPr>
        <w:t>bring around the table personalities and experts discussing the</w:t>
      </w:r>
      <w:r w:rsidR="00F44E5E">
        <w:rPr>
          <w:lang w:val="en-GB"/>
        </w:rPr>
        <w:t>ir</w:t>
      </w:r>
      <w:r w:rsidRPr="008632EA">
        <w:rPr>
          <w:lang w:val="en-GB"/>
        </w:rPr>
        <w:t xml:space="preserve"> “vision” on development from different angles: political, institutional and from a trade union point of </w:t>
      </w:r>
      <w:r w:rsidR="00F44E5E" w:rsidRPr="008632EA">
        <w:rPr>
          <w:lang w:val="en-GB"/>
        </w:rPr>
        <w:t>view</w:t>
      </w:r>
      <w:r w:rsidRPr="008632EA">
        <w:rPr>
          <w:lang w:val="en-GB"/>
        </w:rPr>
        <w:t xml:space="preserve">.  </w:t>
      </w:r>
      <w:r w:rsidR="00951C1D" w:rsidRPr="008632EA">
        <w:rPr>
          <w:lang w:val="en-GB"/>
        </w:rPr>
        <w:t xml:space="preserve"> The Minister for Social Affairs from Uruguay and the director of the </w:t>
      </w:r>
      <w:hyperlink r:id="rId7" w:history="1">
        <w:r w:rsidR="00951C1D" w:rsidRPr="00F27ADC">
          <w:rPr>
            <w:rStyle w:val="Hyperlink"/>
            <w:lang w:val="en-GB"/>
          </w:rPr>
          <w:t>Lula foundation</w:t>
        </w:r>
      </w:hyperlink>
      <w:r w:rsidR="00951C1D" w:rsidRPr="008632EA">
        <w:rPr>
          <w:lang w:val="en-GB"/>
        </w:rPr>
        <w:t xml:space="preserve"> will be the opening session keynote speakers.  </w:t>
      </w:r>
    </w:p>
    <w:p w:rsidR="00F44E5E" w:rsidRDefault="00F44E5E" w:rsidP="00654EAE">
      <w:pPr>
        <w:jc w:val="left"/>
        <w:rPr>
          <w:lang w:val="en-GB"/>
        </w:rPr>
      </w:pPr>
      <w:r>
        <w:rPr>
          <w:lang w:val="en-GB"/>
        </w:rPr>
        <w:t>I</w:t>
      </w:r>
      <w:r w:rsidRPr="008632EA">
        <w:rPr>
          <w:lang w:val="en-GB"/>
        </w:rPr>
        <w:t xml:space="preserve">n the first panel </w:t>
      </w:r>
      <w:r>
        <w:rPr>
          <w:lang w:val="en-GB"/>
        </w:rPr>
        <w:t>r</w:t>
      </w:r>
      <w:r w:rsidR="00951C1D" w:rsidRPr="008632EA">
        <w:rPr>
          <w:lang w:val="en-GB"/>
        </w:rPr>
        <w:t xml:space="preserve">epresentatives of the </w:t>
      </w:r>
      <w:r w:rsidR="007851BF" w:rsidRPr="008632EA">
        <w:rPr>
          <w:lang w:val="en-GB"/>
        </w:rPr>
        <w:t>World Bank</w:t>
      </w:r>
      <w:r w:rsidR="00951C1D" w:rsidRPr="008632EA">
        <w:rPr>
          <w:lang w:val="en-GB"/>
        </w:rPr>
        <w:t xml:space="preserve">, the UN Economic </w:t>
      </w:r>
      <w:r w:rsidR="008632EA" w:rsidRPr="008632EA">
        <w:rPr>
          <w:lang w:val="en-GB"/>
        </w:rPr>
        <w:t>Commission</w:t>
      </w:r>
      <w:r w:rsidR="00951C1D" w:rsidRPr="008632EA">
        <w:rPr>
          <w:lang w:val="en-GB"/>
        </w:rPr>
        <w:t xml:space="preserve"> for Latin America and the EU Commission will share </w:t>
      </w:r>
      <w:r w:rsidR="007851BF" w:rsidRPr="008632EA">
        <w:rPr>
          <w:lang w:val="en-GB"/>
        </w:rPr>
        <w:t xml:space="preserve">with us </w:t>
      </w:r>
      <w:r w:rsidR="00951C1D" w:rsidRPr="008632EA">
        <w:rPr>
          <w:lang w:val="en-GB"/>
        </w:rPr>
        <w:t xml:space="preserve">their institutional views on </w:t>
      </w:r>
      <w:r w:rsidR="007851BF" w:rsidRPr="008632EA">
        <w:rPr>
          <w:lang w:val="en-GB"/>
        </w:rPr>
        <w:t>development</w:t>
      </w:r>
      <w:r w:rsidR="00951C1D" w:rsidRPr="008632EA">
        <w:rPr>
          <w:lang w:val="en-GB"/>
        </w:rPr>
        <w:t xml:space="preserve">. </w:t>
      </w:r>
    </w:p>
    <w:p w:rsidR="00F44E5E" w:rsidRDefault="00951C1D" w:rsidP="00654EAE">
      <w:pPr>
        <w:jc w:val="left"/>
        <w:rPr>
          <w:lang w:val="en-GB"/>
        </w:rPr>
      </w:pPr>
      <w:r w:rsidRPr="008632EA">
        <w:rPr>
          <w:lang w:val="en-GB"/>
        </w:rPr>
        <w:t>In the second panel of the day t</w:t>
      </w:r>
      <w:r w:rsidR="00654EAE" w:rsidRPr="008632EA">
        <w:rPr>
          <w:lang w:val="en-GB"/>
        </w:rPr>
        <w:t>he TUCA/CSA</w:t>
      </w:r>
      <w:r w:rsidRPr="008632EA">
        <w:rPr>
          <w:lang w:val="en-GB"/>
        </w:rPr>
        <w:t xml:space="preserve"> SG Victor Baez will present the </w:t>
      </w:r>
      <w:hyperlink r:id="rId8" w:history="1">
        <w:r w:rsidRPr="00F27ADC">
          <w:rPr>
            <w:rStyle w:val="Hyperlink"/>
            <w:lang w:val="en-GB"/>
          </w:rPr>
          <w:t>PLADA</w:t>
        </w:r>
      </w:hyperlink>
      <w:r w:rsidR="00654EAE" w:rsidRPr="008632EA">
        <w:rPr>
          <w:lang w:val="en-GB"/>
        </w:rPr>
        <w:t xml:space="preserve"> the development platform for</w:t>
      </w:r>
      <w:r w:rsidRPr="008632EA">
        <w:rPr>
          <w:lang w:val="en-GB"/>
        </w:rPr>
        <w:t xml:space="preserve"> the Americas currently debated and prepared for </w:t>
      </w:r>
      <w:r w:rsidR="008632EA" w:rsidRPr="008632EA">
        <w:rPr>
          <w:lang w:val="en-GB"/>
        </w:rPr>
        <w:t>launch</w:t>
      </w:r>
      <w:r w:rsidR="007851BF" w:rsidRPr="008632EA">
        <w:rPr>
          <w:lang w:val="en-GB"/>
        </w:rPr>
        <w:t>, as</w:t>
      </w:r>
      <w:r w:rsidRPr="008632EA">
        <w:rPr>
          <w:lang w:val="en-GB"/>
        </w:rPr>
        <w:t xml:space="preserve"> a major policy framework for the trade union action.   The perspective on development from Africa will be voiced by the SG of ITUC Africa, Kwasi </w:t>
      </w:r>
      <w:proofErr w:type="spellStart"/>
      <w:r w:rsidRPr="008632EA">
        <w:rPr>
          <w:lang w:val="en-GB"/>
        </w:rPr>
        <w:t>Adu</w:t>
      </w:r>
      <w:proofErr w:type="spellEnd"/>
      <w:r w:rsidRPr="008632EA">
        <w:rPr>
          <w:lang w:val="en-GB"/>
        </w:rPr>
        <w:t xml:space="preserve">- </w:t>
      </w:r>
      <w:proofErr w:type="spellStart"/>
      <w:r w:rsidRPr="008632EA">
        <w:rPr>
          <w:lang w:val="en-GB"/>
        </w:rPr>
        <w:t>Amankwah</w:t>
      </w:r>
      <w:proofErr w:type="spellEnd"/>
      <w:r w:rsidRPr="008632EA">
        <w:rPr>
          <w:lang w:val="en-GB"/>
        </w:rPr>
        <w:t xml:space="preserve">.   </w:t>
      </w:r>
    </w:p>
    <w:p w:rsidR="00654EAE" w:rsidRPr="008632EA" w:rsidRDefault="00951C1D" w:rsidP="00654EAE">
      <w:pPr>
        <w:jc w:val="left"/>
        <w:rPr>
          <w:lang w:val="en-GB"/>
        </w:rPr>
      </w:pPr>
      <w:r w:rsidRPr="008632EA">
        <w:rPr>
          <w:lang w:val="en-GB"/>
        </w:rPr>
        <w:t>With the participants from all regions, ITUC affiliates, Global Union representatives and Trade Union Solidarity Support Organisations, we will debate those inputs and trace the headlines for the “</w:t>
      </w:r>
      <w:r w:rsidRPr="00F44E5E">
        <w:rPr>
          <w:b/>
          <w:color w:val="548DD4" w:themeColor="text2" w:themeTint="99"/>
          <w:lang w:val="en-GB"/>
        </w:rPr>
        <w:t>development model we want</w:t>
      </w:r>
      <w:r w:rsidRPr="008632EA">
        <w:rPr>
          <w:lang w:val="en-GB"/>
        </w:rPr>
        <w:t xml:space="preserve">”. </w:t>
      </w:r>
    </w:p>
    <w:p w:rsidR="00F44E5E" w:rsidRDefault="00F44E5E" w:rsidP="007851BF">
      <w:pPr>
        <w:jc w:val="left"/>
        <w:rPr>
          <w:b/>
          <w:color w:val="E36C0A" w:themeColor="accent6" w:themeShade="BF"/>
          <w:lang w:val="en-GB"/>
        </w:rPr>
      </w:pPr>
    </w:p>
    <w:p w:rsidR="00951C1D" w:rsidRPr="007851BF" w:rsidRDefault="00951C1D" w:rsidP="007851BF">
      <w:pPr>
        <w:jc w:val="left"/>
        <w:rPr>
          <w:b/>
          <w:color w:val="E36C0A" w:themeColor="accent6" w:themeShade="BF"/>
          <w:lang w:val="en-GB"/>
        </w:rPr>
      </w:pPr>
      <w:r w:rsidRPr="007851BF">
        <w:rPr>
          <w:b/>
          <w:color w:val="E36C0A" w:themeColor="accent6" w:themeShade="BF"/>
          <w:lang w:val="en-GB"/>
        </w:rPr>
        <w:t>Day 2</w:t>
      </w:r>
    </w:p>
    <w:p w:rsidR="00951C1D" w:rsidRPr="008632EA" w:rsidRDefault="00951C1D" w:rsidP="00654EAE">
      <w:pPr>
        <w:jc w:val="left"/>
        <w:rPr>
          <w:lang w:val="en-GB"/>
        </w:rPr>
      </w:pPr>
      <w:r w:rsidRPr="008632EA">
        <w:rPr>
          <w:lang w:val="en-GB"/>
        </w:rPr>
        <w:t xml:space="preserve">The second day will focus on a number of </w:t>
      </w:r>
      <w:r w:rsidR="00F44E5E">
        <w:rPr>
          <w:lang w:val="en-GB"/>
        </w:rPr>
        <w:t>global, regional and national</w:t>
      </w:r>
      <w:r w:rsidR="00F44E5E" w:rsidRPr="008632EA">
        <w:rPr>
          <w:lang w:val="en-GB"/>
        </w:rPr>
        <w:t xml:space="preserve"> </w:t>
      </w:r>
      <w:r w:rsidR="00A11F64" w:rsidRPr="008632EA">
        <w:rPr>
          <w:lang w:val="en-GB"/>
        </w:rPr>
        <w:t>policy debate</w:t>
      </w:r>
      <w:r w:rsidR="007E6918" w:rsidRPr="008632EA">
        <w:rPr>
          <w:lang w:val="en-GB"/>
        </w:rPr>
        <w:t xml:space="preserve">s </w:t>
      </w:r>
      <w:r w:rsidR="00F44E5E" w:rsidRPr="008632EA">
        <w:rPr>
          <w:lang w:val="en-GB"/>
        </w:rPr>
        <w:t>on the development agendas</w:t>
      </w:r>
      <w:r w:rsidR="00F44E5E">
        <w:rPr>
          <w:lang w:val="en-GB"/>
        </w:rPr>
        <w:t xml:space="preserve"> </w:t>
      </w:r>
      <w:r w:rsidR="008632EA">
        <w:rPr>
          <w:lang w:val="en-GB"/>
        </w:rPr>
        <w:t xml:space="preserve">in plenary and working </w:t>
      </w:r>
      <w:r w:rsidR="00F44E5E">
        <w:rPr>
          <w:lang w:val="en-GB"/>
        </w:rPr>
        <w:t>groups</w:t>
      </w:r>
      <w:r w:rsidR="00A11F64" w:rsidRPr="008632EA">
        <w:rPr>
          <w:lang w:val="en-GB"/>
        </w:rPr>
        <w:t xml:space="preserve">.  </w:t>
      </w:r>
    </w:p>
    <w:p w:rsidR="00F44E5E" w:rsidRDefault="00F44E5E" w:rsidP="00F44E5E">
      <w:pPr>
        <w:rPr>
          <w:lang w:val="en-GB"/>
        </w:rPr>
      </w:pPr>
      <w:r>
        <w:rPr>
          <w:lang w:val="en-GB"/>
        </w:rPr>
        <w:t>T</w:t>
      </w:r>
      <w:r w:rsidRPr="008632EA">
        <w:rPr>
          <w:lang w:val="en-GB"/>
        </w:rPr>
        <w:t xml:space="preserve">he GM will discuss a </w:t>
      </w:r>
      <w:hyperlink r:id="rId9" w:history="1">
        <w:r w:rsidRPr="00C74688">
          <w:rPr>
            <w:rStyle w:val="Hyperlink"/>
            <w:lang w:val="en-GB"/>
          </w:rPr>
          <w:t>synthesis document on the private sector in development</w:t>
        </w:r>
      </w:hyperlink>
      <w:r>
        <w:rPr>
          <w:lang w:val="en-GB"/>
        </w:rPr>
        <w:t>; a</w:t>
      </w:r>
      <w:r w:rsidRPr="008632EA">
        <w:rPr>
          <w:lang w:val="en-GB"/>
        </w:rPr>
        <w:t xml:space="preserve">fter the TUDCN seminar in Barcelona, and ongoing discussion </w:t>
      </w:r>
      <w:r>
        <w:rPr>
          <w:lang w:val="en-GB"/>
        </w:rPr>
        <w:t>at</w:t>
      </w:r>
      <w:r w:rsidRPr="008632EA">
        <w:rPr>
          <w:lang w:val="en-GB"/>
        </w:rPr>
        <w:t xml:space="preserve"> the OECD/DAC, the Global Partnership and the UN</w:t>
      </w:r>
      <w:r>
        <w:rPr>
          <w:lang w:val="en-GB"/>
        </w:rPr>
        <w:t xml:space="preserve">2015 – including national policies of </w:t>
      </w:r>
      <w:r w:rsidRPr="008632EA">
        <w:rPr>
          <w:lang w:val="en-GB"/>
        </w:rPr>
        <w:t>development agencies and global development banks</w:t>
      </w:r>
      <w:r>
        <w:rPr>
          <w:lang w:val="en-GB"/>
        </w:rPr>
        <w:t xml:space="preserve"> - t</w:t>
      </w:r>
      <w:r w:rsidRPr="008632EA">
        <w:rPr>
          <w:lang w:val="en-GB"/>
        </w:rPr>
        <w:t xml:space="preserve">he GM will </w:t>
      </w:r>
      <w:r>
        <w:rPr>
          <w:lang w:val="en-GB"/>
        </w:rPr>
        <w:t>is</w:t>
      </w:r>
      <w:r w:rsidRPr="008632EA">
        <w:rPr>
          <w:lang w:val="en-GB"/>
        </w:rPr>
        <w:t xml:space="preserve"> asked to reach conclusions on </w:t>
      </w:r>
      <w:r>
        <w:rPr>
          <w:lang w:val="en-GB"/>
        </w:rPr>
        <w:t xml:space="preserve">trade union </w:t>
      </w:r>
      <w:r w:rsidRPr="008632EA">
        <w:rPr>
          <w:lang w:val="en-GB"/>
        </w:rPr>
        <w:t>po</w:t>
      </w:r>
      <w:r>
        <w:rPr>
          <w:lang w:val="en-GB"/>
        </w:rPr>
        <w:t>sitioning in this debate</w:t>
      </w:r>
      <w:r w:rsidRPr="008632EA">
        <w:rPr>
          <w:lang w:val="en-GB"/>
        </w:rPr>
        <w:t>.</w:t>
      </w:r>
    </w:p>
    <w:p w:rsidR="00EF4177" w:rsidRPr="008632EA" w:rsidRDefault="00BA2587" w:rsidP="00654EAE">
      <w:pPr>
        <w:jc w:val="left"/>
        <w:rPr>
          <w:lang w:val="en-GB"/>
        </w:rPr>
      </w:pPr>
      <w:r w:rsidRPr="008632EA">
        <w:rPr>
          <w:lang w:val="en-GB"/>
        </w:rPr>
        <w:t xml:space="preserve">A </w:t>
      </w:r>
      <w:hyperlink r:id="rId10" w:history="1">
        <w:r w:rsidRPr="00CB640D">
          <w:rPr>
            <w:rStyle w:val="Hyperlink"/>
            <w:lang w:val="en-GB"/>
          </w:rPr>
          <w:t>short report</w:t>
        </w:r>
      </w:hyperlink>
      <w:r w:rsidRPr="008632EA">
        <w:rPr>
          <w:lang w:val="en-GB"/>
        </w:rPr>
        <w:t xml:space="preserve"> </w:t>
      </w:r>
      <w:r w:rsidR="008632EA">
        <w:rPr>
          <w:lang w:val="en-GB"/>
        </w:rPr>
        <w:t xml:space="preserve">will be presented </w:t>
      </w:r>
      <w:r w:rsidRPr="008632EA">
        <w:rPr>
          <w:lang w:val="en-GB"/>
        </w:rPr>
        <w:t xml:space="preserve">on the </w:t>
      </w:r>
      <w:hyperlink r:id="rId11" w:history="1">
        <w:r w:rsidRPr="00CB640D">
          <w:rPr>
            <w:rStyle w:val="Hyperlink"/>
            <w:lang w:val="en-GB"/>
          </w:rPr>
          <w:t xml:space="preserve">most recent </w:t>
        </w:r>
        <w:r w:rsidR="00EF4177" w:rsidRPr="00CB640D">
          <w:rPr>
            <w:rStyle w:val="Hyperlink"/>
            <w:lang w:val="en-GB"/>
          </w:rPr>
          <w:t>progress in the UN2015 discussion</w:t>
        </w:r>
      </w:hyperlink>
      <w:r w:rsidR="00EF4177" w:rsidRPr="008632EA">
        <w:rPr>
          <w:lang w:val="en-GB"/>
        </w:rPr>
        <w:t xml:space="preserve"> for a new development framework replacing the </w:t>
      </w:r>
      <w:r w:rsidR="008632EA" w:rsidRPr="008632EA">
        <w:rPr>
          <w:lang w:val="en-GB"/>
        </w:rPr>
        <w:t>Millennium</w:t>
      </w:r>
      <w:r w:rsidR="00EF4177" w:rsidRPr="008632EA">
        <w:rPr>
          <w:lang w:val="en-GB"/>
        </w:rPr>
        <w:t xml:space="preserve"> Development Objectives.  The discussion will give us the </w:t>
      </w:r>
      <w:r w:rsidR="008632EA" w:rsidRPr="008632EA">
        <w:rPr>
          <w:lang w:val="en-GB"/>
        </w:rPr>
        <w:t>opportunity</w:t>
      </w:r>
      <w:r w:rsidR="00EF4177" w:rsidRPr="008632EA">
        <w:rPr>
          <w:lang w:val="en-GB"/>
        </w:rPr>
        <w:t xml:space="preserve"> to address our </w:t>
      </w:r>
      <w:r w:rsidR="008632EA" w:rsidRPr="008632EA">
        <w:rPr>
          <w:lang w:val="en-GB"/>
        </w:rPr>
        <w:t>priorities</w:t>
      </w:r>
      <w:r w:rsidR="00EF4177" w:rsidRPr="008632EA">
        <w:rPr>
          <w:lang w:val="en-GB"/>
        </w:rPr>
        <w:t xml:space="preserve"> and proposals for the </w:t>
      </w:r>
      <w:r w:rsidR="008632EA" w:rsidRPr="008632EA">
        <w:rPr>
          <w:lang w:val="en-GB"/>
        </w:rPr>
        <w:t>negotiations</w:t>
      </w:r>
      <w:r w:rsidR="00EF4177" w:rsidRPr="008632EA">
        <w:rPr>
          <w:lang w:val="en-GB"/>
        </w:rPr>
        <w:t xml:space="preserve"> ahead. </w:t>
      </w:r>
    </w:p>
    <w:p w:rsidR="00EF4177" w:rsidRPr="008632EA" w:rsidRDefault="00EF4177" w:rsidP="00654EAE">
      <w:pPr>
        <w:jc w:val="left"/>
        <w:rPr>
          <w:lang w:val="en-GB"/>
        </w:rPr>
      </w:pPr>
      <w:r w:rsidRPr="008632EA">
        <w:rPr>
          <w:lang w:val="en-GB"/>
        </w:rPr>
        <w:lastRenderedPageBreak/>
        <w:t>South</w:t>
      </w:r>
      <w:r w:rsidR="008632EA">
        <w:rPr>
          <w:lang w:val="en-GB"/>
        </w:rPr>
        <w:t>-</w:t>
      </w:r>
      <w:r w:rsidRPr="008632EA">
        <w:rPr>
          <w:lang w:val="en-GB"/>
        </w:rPr>
        <w:t xml:space="preserve">South cooperation is an emerging factor in development cooperation, promoting sharing of experiences and cooperation based on mutual interests amongst partners.  What is our approach on this cooperation that is affecting more and more countries, especially the emerging economies and middle income </w:t>
      </w:r>
      <w:r w:rsidR="008632EA" w:rsidRPr="008632EA">
        <w:rPr>
          <w:lang w:val="en-GB"/>
        </w:rPr>
        <w:t>countries?</w:t>
      </w:r>
      <w:r w:rsidRPr="008632EA">
        <w:rPr>
          <w:lang w:val="en-GB"/>
        </w:rPr>
        <w:t xml:space="preserve"> </w:t>
      </w:r>
    </w:p>
    <w:p w:rsidR="008632EA" w:rsidRPr="008632EA" w:rsidRDefault="00EF4177" w:rsidP="00654EAE">
      <w:pPr>
        <w:jc w:val="left"/>
        <w:rPr>
          <w:lang w:val="en-GB"/>
        </w:rPr>
      </w:pPr>
      <w:r w:rsidRPr="008632EA">
        <w:rPr>
          <w:lang w:val="en-GB"/>
        </w:rPr>
        <w:t xml:space="preserve">The last thematic discussion will be oriented on the </w:t>
      </w:r>
      <w:hyperlink r:id="rId12" w:history="1">
        <w:r w:rsidRPr="00F27ADC">
          <w:rPr>
            <w:rStyle w:val="Hyperlink"/>
            <w:lang w:val="en-GB"/>
          </w:rPr>
          <w:t>1st Ministerial High Level Meeting</w:t>
        </w:r>
      </w:hyperlink>
      <w:r w:rsidRPr="008632EA">
        <w:rPr>
          <w:lang w:val="en-GB"/>
        </w:rPr>
        <w:t xml:space="preserve"> of the Global Partnership for effective </w:t>
      </w:r>
      <w:r w:rsidR="008632EA" w:rsidRPr="008632EA">
        <w:rPr>
          <w:lang w:val="en-GB"/>
        </w:rPr>
        <w:t>development</w:t>
      </w:r>
      <w:r w:rsidRPr="008632EA">
        <w:rPr>
          <w:lang w:val="en-GB"/>
        </w:rPr>
        <w:t xml:space="preserve"> cooperation (GPEDC), established in Busan (2011), that will take place in April in Mexico.  Mr. Gerardo </w:t>
      </w:r>
      <w:proofErr w:type="spellStart"/>
      <w:r w:rsidRPr="008632EA">
        <w:rPr>
          <w:lang w:val="en-GB"/>
        </w:rPr>
        <w:t>Bracho</w:t>
      </w:r>
      <w:proofErr w:type="spellEnd"/>
      <w:r w:rsidRPr="008632EA">
        <w:rPr>
          <w:lang w:val="en-GB"/>
        </w:rPr>
        <w:t xml:space="preserve"> will present the objectives of the HLM and the elements for the final communiqué.  The GM will </w:t>
      </w:r>
      <w:r w:rsidR="008632EA" w:rsidRPr="008632EA">
        <w:rPr>
          <w:lang w:val="en-GB"/>
        </w:rPr>
        <w:t xml:space="preserve">discuss its positions on the Mexico event and more in general on its engagement on the development effectiveness agenda. </w:t>
      </w:r>
    </w:p>
    <w:p w:rsidR="00BE5C4B" w:rsidRDefault="00BE5C4B" w:rsidP="007851BF">
      <w:pPr>
        <w:jc w:val="left"/>
        <w:rPr>
          <w:b/>
          <w:color w:val="E36C0A" w:themeColor="accent6" w:themeShade="BF"/>
          <w:lang w:val="en-GB"/>
        </w:rPr>
      </w:pPr>
    </w:p>
    <w:p w:rsidR="007E6918" w:rsidRPr="007851BF" w:rsidRDefault="008632EA" w:rsidP="007851BF">
      <w:pPr>
        <w:jc w:val="left"/>
        <w:rPr>
          <w:b/>
          <w:color w:val="E36C0A" w:themeColor="accent6" w:themeShade="BF"/>
          <w:lang w:val="en-GB"/>
        </w:rPr>
      </w:pPr>
      <w:r w:rsidRPr="007851BF">
        <w:rPr>
          <w:b/>
          <w:color w:val="E36C0A" w:themeColor="accent6" w:themeShade="BF"/>
          <w:lang w:val="en-GB"/>
        </w:rPr>
        <w:t>Day 3</w:t>
      </w:r>
    </w:p>
    <w:p w:rsidR="008632EA" w:rsidRDefault="008632EA" w:rsidP="00654EAE">
      <w:pPr>
        <w:jc w:val="left"/>
        <w:rPr>
          <w:lang w:val="en-GB"/>
        </w:rPr>
      </w:pPr>
      <w:r>
        <w:rPr>
          <w:lang w:val="en-GB"/>
        </w:rPr>
        <w:t xml:space="preserve">The last day of the meeting will be focused on the ongoing work of the Network and the future plan of action. </w:t>
      </w:r>
      <w:r w:rsidR="00064DFD">
        <w:rPr>
          <w:lang w:val="en-GB"/>
        </w:rPr>
        <w:t xml:space="preserve">  For all documents related to the points below, please see </w:t>
      </w:r>
      <w:hyperlink r:id="rId13" w:history="1">
        <w:r w:rsidR="00064DFD" w:rsidRPr="006B5C0E">
          <w:rPr>
            <w:rStyle w:val="Hyperlink"/>
            <w:lang w:val="en-GB"/>
          </w:rPr>
          <w:t>http://www.ituc-csi.org/background-documents-14332</w:t>
        </w:r>
      </w:hyperlink>
      <w:r w:rsidR="00064DFD">
        <w:rPr>
          <w:lang w:val="en-GB"/>
        </w:rPr>
        <w:t xml:space="preserve"> </w:t>
      </w:r>
    </w:p>
    <w:p w:rsidR="00A81910" w:rsidRDefault="008632EA" w:rsidP="00654EAE">
      <w:pPr>
        <w:jc w:val="left"/>
        <w:rPr>
          <w:lang w:val="en-GB"/>
        </w:rPr>
      </w:pPr>
      <w:r>
        <w:rPr>
          <w:lang w:val="en-GB"/>
        </w:rPr>
        <w:t xml:space="preserve">Improving the </w:t>
      </w:r>
      <w:r w:rsidRPr="00890D20">
        <w:rPr>
          <w:b/>
          <w:u w:val="single"/>
          <w:lang w:val="en-GB"/>
        </w:rPr>
        <w:t>governance of the network</w:t>
      </w:r>
      <w:r>
        <w:rPr>
          <w:lang w:val="en-GB"/>
        </w:rPr>
        <w:t xml:space="preserve"> was one of the recommendations of the </w:t>
      </w:r>
      <w:hyperlink r:id="rId14" w:history="1">
        <w:r w:rsidR="00F01945" w:rsidRPr="00F27ADC">
          <w:rPr>
            <w:rStyle w:val="Hyperlink"/>
            <w:lang w:val="en-GB"/>
          </w:rPr>
          <w:t xml:space="preserve">external </w:t>
        </w:r>
        <w:r w:rsidRPr="00F27ADC">
          <w:rPr>
            <w:rStyle w:val="Hyperlink"/>
            <w:lang w:val="en-GB"/>
          </w:rPr>
          <w:t>evaluation</w:t>
        </w:r>
      </w:hyperlink>
      <w:r w:rsidR="00F01945">
        <w:rPr>
          <w:lang w:val="en-GB"/>
        </w:rPr>
        <w:t xml:space="preserve"> of the initial programme period of the TUDCN.  The decision to reinforce the organisations of the Network at regional level and to increase southern voices in the advocacy debates, has led to the option to decentralise activities to the southern regions and organise global meetings accordingly also in the south. This has an impact on resources but also on the multiple agenda’s</w:t>
      </w:r>
      <w:r w:rsidR="00F44E5E">
        <w:rPr>
          <w:lang w:val="en-GB"/>
        </w:rPr>
        <w:t>,</w:t>
      </w:r>
      <w:r w:rsidR="00F01945">
        <w:rPr>
          <w:lang w:val="en-GB"/>
        </w:rPr>
        <w:t xml:space="preserve"> timings and capacities.  We therefore propose to hold only one GM a year and to replace the second meeting by an </w:t>
      </w:r>
      <w:hyperlink r:id="rId15" w:history="1">
        <w:r w:rsidR="00F01945" w:rsidRPr="00F27ADC">
          <w:rPr>
            <w:rStyle w:val="Hyperlink"/>
            <w:lang w:val="en-GB"/>
          </w:rPr>
          <w:t>Open Coordination Meeting</w:t>
        </w:r>
      </w:hyperlink>
      <w:r w:rsidR="00F01945">
        <w:rPr>
          <w:lang w:val="en-GB"/>
        </w:rPr>
        <w:t xml:space="preserve"> </w:t>
      </w:r>
      <w:r w:rsidR="00A81910">
        <w:rPr>
          <w:lang w:val="en-GB"/>
        </w:rPr>
        <w:t xml:space="preserve">complemented by </w:t>
      </w:r>
      <w:proofErr w:type="gramStart"/>
      <w:r w:rsidR="00F01945">
        <w:rPr>
          <w:lang w:val="en-GB"/>
        </w:rPr>
        <w:t xml:space="preserve">a </w:t>
      </w:r>
      <w:r w:rsidR="00A81910">
        <w:rPr>
          <w:lang w:val="en-GB"/>
        </w:rPr>
        <w:t>small</w:t>
      </w:r>
      <w:proofErr w:type="gramEnd"/>
      <w:r w:rsidR="00A81910">
        <w:rPr>
          <w:lang w:val="en-GB"/>
        </w:rPr>
        <w:t xml:space="preserve"> </w:t>
      </w:r>
      <w:r w:rsidR="00F01945">
        <w:rPr>
          <w:lang w:val="en-GB"/>
        </w:rPr>
        <w:t>Governance Group</w:t>
      </w:r>
      <w:r w:rsidR="00064DFD">
        <w:rPr>
          <w:lang w:val="en-GB"/>
        </w:rPr>
        <w:t xml:space="preserve">.  </w:t>
      </w:r>
    </w:p>
    <w:p w:rsidR="00064DFD" w:rsidRPr="00890D20" w:rsidRDefault="00A81910" w:rsidP="00654EAE">
      <w:pPr>
        <w:jc w:val="left"/>
        <w:rPr>
          <w:b/>
          <w:u w:val="single"/>
          <w:lang w:val="en-GB"/>
        </w:rPr>
      </w:pPr>
      <w:r>
        <w:rPr>
          <w:lang w:val="en-GB"/>
        </w:rPr>
        <w:t xml:space="preserve">The </w:t>
      </w:r>
      <w:hyperlink r:id="rId16" w:history="1">
        <w:r w:rsidRPr="00F27ADC">
          <w:rPr>
            <w:rStyle w:val="Hyperlink"/>
            <w:b/>
            <w:lang w:val="en-GB"/>
          </w:rPr>
          <w:t>report on the past activities</w:t>
        </w:r>
      </w:hyperlink>
      <w:r>
        <w:rPr>
          <w:lang w:val="en-GB"/>
        </w:rPr>
        <w:t xml:space="preserve"> will be presented for assessment and comments. </w:t>
      </w:r>
    </w:p>
    <w:p w:rsidR="00A81910" w:rsidRDefault="00A81910" w:rsidP="00654EAE">
      <w:pPr>
        <w:jc w:val="left"/>
        <w:rPr>
          <w:lang w:val="en-GB"/>
        </w:rPr>
      </w:pPr>
      <w:r>
        <w:rPr>
          <w:lang w:val="en-GB"/>
        </w:rPr>
        <w:t xml:space="preserve">An important task of the general meeting is to set out the orientations for further action and to discuss and approve the </w:t>
      </w:r>
      <w:hyperlink r:id="rId17" w:history="1">
        <w:r w:rsidRPr="00B474BE">
          <w:rPr>
            <w:rStyle w:val="Hyperlink"/>
            <w:lang w:val="en-GB"/>
          </w:rPr>
          <w:t xml:space="preserve">action </w:t>
        </w:r>
        <w:bookmarkStart w:id="0" w:name="_GoBack"/>
        <w:bookmarkEnd w:id="0"/>
        <w:r w:rsidRPr="00B474BE">
          <w:rPr>
            <w:rStyle w:val="Hyperlink"/>
            <w:lang w:val="en-GB"/>
          </w:rPr>
          <w:t>plan for 2014-2015</w:t>
        </w:r>
      </w:hyperlink>
      <w:r>
        <w:rPr>
          <w:lang w:val="en-GB"/>
        </w:rPr>
        <w:t xml:space="preserve">.  At the last meeting in Slangerup (DK) a global </w:t>
      </w:r>
      <w:hyperlink r:id="rId18" w:history="1">
        <w:r w:rsidRPr="00F27ADC">
          <w:rPr>
            <w:rStyle w:val="Hyperlink"/>
            <w:lang w:val="en-GB"/>
          </w:rPr>
          <w:t>advocacy strategy document</w:t>
        </w:r>
      </w:hyperlink>
      <w:r w:rsidR="00F27ADC">
        <w:rPr>
          <w:lang w:val="en-GB"/>
        </w:rPr>
        <w:t xml:space="preserve"> was endorsed</w:t>
      </w:r>
      <w:r>
        <w:rPr>
          <w:lang w:val="en-GB"/>
        </w:rPr>
        <w:t xml:space="preserve"> as well as the direction for the </w:t>
      </w:r>
      <w:hyperlink r:id="rId19" w:history="1">
        <w:r w:rsidRPr="00A35E4B">
          <w:rPr>
            <w:rStyle w:val="Hyperlink"/>
            <w:lang w:val="en-GB"/>
          </w:rPr>
          <w:t>partnership work</w:t>
        </w:r>
      </w:hyperlink>
      <w:r>
        <w:rPr>
          <w:lang w:val="en-GB"/>
        </w:rPr>
        <w:t xml:space="preserve">.   Based on those orientations a </w:t>
      </w:r>
      <w:r w:rsidRPr="00B474BE">
        <w:rPr>
          <w:b/>
          <w:lang w:val="en-GB"/>
        </w:rPr>
        <w:t>draft action plan</w:t>
      </w:r>
      <w:r>
        <w:rPr>
          <w:lang w:val="en-GB"/>
        </w:rPr>
        <w:t xml:space="preserve"> </w:t>
      </w:r>
      <w:r w:rsidR="00064DFD">
        <w:rPr>
          <w:lang w:val="en-GB"/>
        </w:rPr>
        <w:t>is</w:t>
      </w:r>
      <w:r>
        <w:rPr>
          <w:lang w:val="en-GB"/>
        </w:rPr>
        <w:t xml:space="preserve"> presented for approval to the GM. </w:t>
      </w:r>
    </w:p>
    <w:p w:rsidR="00B86B91" w:rsidRDefault="00B86B91" w:rsidP="00654EAE">
      <w:pPr>
        <w:jc w:val="left"/>
        <w:rPr>
          <w:lang w:val="en-GB"/>
        </w:rPr>
      </w:pPr>
      <w:r>
        <w:rPr>
          <w:lang w:val="en-GB"/>
        </w:rPr>
        <w:t xml:space="preserve">Finally the GM is invited to discuss and suggest orientations and potential deliverables on TU development cooperation and partnerships to be taken for consideration to the ITUC congress that will outline the overall action plan of the ITUC for the next years.  </w:t>
      </w:r>
    </w:p>
    <w:p w:rsidR="00BE5C4B" w:rsidRDefault="00BE5C4B" w:rsidP="00654EAE">
      <w:pPr>
        <w:jc w:val="left"/>
        <w:rPr>
          <w:lang w:val="en-GB"/>
        </w:rPr>
      </w:pPr>
    </w:p>
    <w:p w:rsidR="00BE5C4B" w:rsidRDefault="00B86B91" w:rsidP="00BE5C4B">
      <w:pPr>
        <w:pBdr>
          <w:top w:val="single" w:sz="4" w:space="1" w:color="auto"/>
        </w:pBdr>
        <w:spacing w:before="360" w:after="120"/>
        <w:jc w:val="center"/>
      </w:pPr>
      <w:r>
        <w:rPr>
          <w:lang w:val="en-GB"/>
        </w:rPr>
        <w:t>Please find all related documents on the TUDCN website</w:t>
      </w:r>
      <w:r w:rsidRPr="00B86B91">
        <w:t xml:space="preserve"> </w:t>
      </w:r>
    </w:p>
    <w:p w:rsidR="008632EA" w:rsidRPr="00BE5C4B" w:rsidRDefault="005A6DBC" w:rsidP="00BE5C4B">
      <w:pPr>
        <w:pBdr>
          <w:top w:val="single" w:sz="4" w:space="1" w:color="auto"/>
        </w:pBdr>
        <w:jc w:val="center"/>
      </w:pPr>
      <w:hyperlink r:id="rId20" w:history="1">
        <w:r w:rsidR="00064DFD" w:rsidRPr="006B5C0E">
          <w:rPr>
            <w:rStyle w:val="Hyperlink"/>
          </w:rPr>
          <w:t>http://www.ituc-csi.org/background-documents-14332</w:t>
        </w:r>
      </w:hyperlink>
    </w:p>
    <w:sectPr w:rsidR="008632EA" w:rsidRPr="00BE5C4B">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BC" w:rsidRDefault="005A6DBC" w:rsidP="00654EAE">
      <w:pPr>
        <w:spacing w:after="0" w:line="240" w:lineRule="auto"/>
      </w:pPr>
      <w:r>
        <w:separator/>
      </w:r>
    </w:p>
  </w:endnote>
  <w:endnote w:type="continuationSeparator" w:id="0">
    <w:p w:rsidR="005A6DBC" w:rsidRDefault="005A6DBC" w:rsidP="0065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BF" w:rsidRPr="007851BF" w:rsidRDefault="007851BF" w:rsidP="007851BF">
    <w:pPr>
      <w:pStyle w:val="Footer"/>
      <w:pBdr>
        <w:top w:val="single" w:sz="4" w:space="1" w:color="auto"/>
      </w:pBdr>
      <w:rPr>
        <w:color w:val="E36C0A" w:themeColor="accent6" w:themeShade="BF"/>
      </w:rPr>
    </w:pPr>
    <w:r w:rsidRPr="007851BF">
      <w:rPr>
        <w:color w:val="E36C0A" w:themeColor="accent6" w:themeShade="BF"/>
      </w:rPr>
      <w:t>ANNOTATED AGENDA</w:t>
    </w:r>
    <w:r w:rsidRPr="007851BF">
      <w:rPr>
        <w:color w:val="E36C0A" w:themeColor="accent6" w:themeShade="BF"/>
      </w:rPr>
      <w:tab/>
    </w:r>
    <w:r w:rsidR="008C7665">
      <w:rPr>
        <w:color w:val="E36C0A" w:themeColor="accent6" w:themeShade="BF"/>
      </w:rPr>
      <w:t xml:space="preserve">GENERAL MEETING </w:t>
    </w:r>
    <w:r w:rsidR="008C7665">
      <w:rPr>
        <w:color w:val="E36C0A" w:themeColor="accent6" w:themeShade="BF"/>
      </w:rPr>
      <w:tab/>
      <w:t>SAO PAULO MARCH</w:t>
    </w:r>
    <w:r w:rsidRPr="007851BF">
      <w:rPr>
        <w:color w:val="E36C0A" w:themeColor="accent6" w:themeShade="BF"/>
      </w:rPr>
      <w:t xml:space="preserve"> 18-20 201</w:t>
    </w:r>
    <w:r w:rsidR="008C7665">
      <w:rPr>
        <w:color w:val="E36C0A" w:themeColor="accent6" w:themeShade="BF"/>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BC" w:rsidRDefault="005A6DBC" w:rsidP="00654EAE">
      <w:pPr>
        <w:spacing w:after="0" w:line="240" w:lineRule="auto"/>
      </w:pPr>
      <w:r>
        <w:separator/>
      </w:r>
    </w:p>
  </w:footnote>
  <w:footnote w:type="continuationSeparator" w:id="0">
    <w:p w:rsidR="005A6DBC" w:rsidRDefault="005A6DBC" w:rsidP="00654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9" w:type="dxa"/>
      <w:jc w:val="center"/>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1"/>
      <w:gridCol w:w="222"/>
    </w:tblGrid>
    <w:tr w:rsidR="00654EAE" w:rsidTr="007851BF">
      <w:trPr>
        <w:jc w:val="center"/>
      </w:trPr>
      <w:tc>
        <w:tcPr>
          <w:tcW w:w="9537" w:type="dxa"/>
        </w:tcPr>
        <w:tbl>
          <w:tblPr>
            <w:tblStyle w:val="TableGrid"/>
            <w:tblW w:w="9429" w:type="dxa"/>
            <w:tblInd w:w="6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653"/>
          </w:tblGrid>
          <w:tr w:rsidR="007851BF" w:rsidTr="00DC707D">
            <w:trPr>
              <w:trHeight w:val="1553"/>
            </w:trPr>
            <w:tc>
              <w:tcPr>
                <w:tcW w:w="4776" w:type="dxa"/>
              </w:tcPr>
              <w:p w:rsidR="007851BF" w:rsidRDefault="007851BF" w:rsidP="007851BF">
                <w:pPr>
                  <w:pStyle w:val="Header"/>
                </w:pPr>
                <w:r>
                  <w:rPr>
                    <w:noProof/>
                    <w:lang w:val="fr-BE" w:eastAsia="fr-BE"/>
                  </w:rPr>
                  <w:drawing>
                    <wp:inline distT="0" distB="0" distL="0" distR="0" wp14:anchorId="5DB7AD86" wp14:editId="6A88CE1C">
                      <wp:extent cx="1035050" cy="845904"/>
                      <wp:effectExtent l="0" t="0" r="0" b="0"/>
                      <wp:docPr id="1" name="Picture 1" descr="C:\Users\Dereymaeker\AppData\Local\Microsoft\Windows\Temporary Internet Files\Content.Outlook\5W28EJUP\Logo_Reunion_Geral_Cor_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ymaeker\AppData\Local\Microsoft\Windows\Temporary Internet Files\Content.Outlook\5W28EJUP\Logo_Reunion_Geral_Cor_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845904"/>
                              </a:xfrm>
                              <a:prstGeom prst="rect">
                                <a:avLst/>
                              </a:prstGeom>
                              <a:noFill/>
                              <a:ln>
                                <a:noFill/>
                              </a:ln>
                            </pic:spPr>
                          </pic:pic>
                        </a:graphicData>
                      </a:graphic>
                    </wp:inline>
                  </w:drawing>
                </w:r>
              </w:p>
            </w:tc>
            <w:tc>
              <w:tcPr>
                <w:tcW w:w="4653" w:type="dxa"/>
                <w:vAlign w:val="center"/>
              </w:tcPr>
              <w:p w:rsidR="007851BF" w:rsidRDefault="007851BF" w:rsidP="00DC707D">
                <w:pPr>
                  <w:pStyle w:val="Header"/>
                  <w:jc w:val="center"/>
                </w:pPr>
                <w:r>
                  <w:rPr>
                    <w:noProof/>
                    <w:lang w:val="fr-BE" w:eastAsia="fr-BE"/>
                  </w:rPr>
                  <w:drawing>
                    <wp:inline distT="0" distB="0" distL="0" distR="0" wp14:anchorId="1D57FF9C" wp14:editId="53F5CBAD">
                      <wp:extent cx="1579500" cy="5715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cn old.gif"/>
                              <pic:cNvPicPr/>
                            </pic:nvPicPr>
                            <pic:blipFill>
                              <a:blip r:embed="rId2">
                                <a:extLst>
                                  <a:ext uri="{28A0092B-C50C-407E-A947-70E740481C1C}">
                                    <a14:useLocalDpi xmlns:a14="http://schemas.microsoft.com/office/drawing/2010/main" val="0"/>
                                  </a:ext>
                                </a:extLst>
                              </a:blip>
                              <a:stretch>
                                <a:fillRect/>
                              </a:stretch>
                            </pic:blipFill>
                            <pic:spPr>
                              <a:xfrm>
                                <a:off x="0" y="0"/>
                                <a:ext cx="1583657" cy="573004"/>
                              </a:xfrm>
                              <a:prstGeom prst="rect">
                                <a:avLst/>
                              </a:prstGeom>
                            </pic:spPr>
                          </pic:pic>
                        </a:graphicData>
                      </a:graphic>
                    </wp:inline>
                  </w:drawing>
                </w:r>
              </w:p>
            </w:tc>
          </w:tr>
        </w:tbl>
        <w:p w:rsidR="00654EAE" w:rsidRPr="00654EAE" w:rsidRDefault="00654EAE" w:rsidP="00DC707D">
          <w:pPr>
            <w:jc w:val="left"/>
          </w:pPr>
        </w:p>
      </w:tc>
      <w:tc>
        <w:tcPr>
          <w:tcW w:w="222" w:type="dxa"/>
        </w:tcPr>
        <w:p w:rsidR="00654EAE" w:rsidRDefault="00654EAE">
          <w:pPr>
            <w:pStyle w:val="Header"/>
          </w:pPr>
        </w:p>
      </w:tc>
    </w:tr>
  </w:tbl>
  <w:p w:rsidR="00654EAE" w:rsidRDefault="00654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AE"/>
    <w:rsid w:val="00064DFD"/>
    <w:rsid w:val="000E2885"/>
    <w:rsid w:val="002953D0"/>
    <w:rsid w:val="002D556F"/>
    <w:rsid w:val="003B5EE3"/>
    <w:rsid w:val="004B4DA0"/>
    <w:rsid w:val="005A6DBC"/>
    <w:rsid w:val="00654EAE"/>
    <w:rsid w:val="00696729"/>
    <w:rsid w:val="007851BF"/>
    <w:rsid w:val="007E6918"/>
    <w:rsid w:val="008348BF"/>
    <w:rsid w:val="008632EA"/>
    <w:rsid w:val="00890D20"/>
    <w:rsid w:val="008C7665"/>
    <w:rsid w:val="00951C1D"/>
    <w:rsid w:val="0098500C"/>
    <w:rsid w:val="00A11F64"/>
    <w:rsid w:val="00A35E4B"/>
    <w:rsid w:val="00A81910"/>
    <w:rsid w:val="00AD0501"/>
    <w:rsid w:val="00B474BE"/>
    <w:rsid w:val="00B86B91"/>
    <w:rsid w:val="00BA2587"/>
    <w:rsid w:val="00BC5AE6"/>
    <w:rsid w:val="00BE5C4B"/>
    <w:rsid w:val="00C74688"/>
    <w:rsid w:val="00CB640D"/>
    <w:rsid w:val="00D614D6"/>
    <w:rsid w:val="00DC707D"/>
    <w:rsid w:val="00E80517"/>
    <w:rsid w:val="00EF4177"/>
    <w:rsid w:val="00F01945"/>
    <w:rsid w:val="00F27ADC"/>
    <w:rsid w:val="00F44E5E"/>
    <w:rsid w:val="00FA0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AE"/>
    <w:pPr>
      <w:jc w:val="both"/>
    </w:pPr>
    <w:rPr>
      <w:rFonts w:ascii="Cambria" w:eastAsia="Calibri" w:hAnsi="Cambria" w:cs="Times New Roman"/>
      <w:lang w:val="it-IT"/>
    </w:rPr>
  </w:style>
  <w:style w:type="paragraph" w:styleId="Heading1">
    <w:name w:val="heading 1"/>
    <w:basedOn w:val="Normal"/>
    <w:next w:val="Normal"/>
    <w:link w:val="Heading1Char"/>
    <w:uiPriority w:val="9"/>
    <w:qFormat/>
    <w:rsid w:val="00654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AE"/>
    <w:pPr>
      <w:spacing w:after="0" w:line="240" w:lineRule="auto"/>
      <w:jc w:val="left"/>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54EAE"/>
    <w:rPr>
      <w:rFonts w:ascii="Tahoma" w:hAnsi="Tahoma" w:cs="Tahoma"/>
      <w:sz w:val="16"/>
      <w:szCs w:val="16"/>
    </w:rPr>
  </w:style>
  <w:style w:type="paragraph" w:styleId="Header">
    <w:name w:val="header"/>
    <w:basedOn w:val="Normal"/>
    <w:link w:val="HeaderChar"/>
    <w:uiPriority w:val="99"/>
    <w:unhideWhenUsed/>
    <w:rsid w:val="00654EAE"/>
    <w:pPr>
      <w:tabs>
        <w:tab w:val="center" w:pos="4513"/>
        <w:tab w:val="right" w:pos="9026"/>
      </w:tabs>
      <w:spacing w:after="0" w:line="240" w:lineRule="auto"/>
      <w:jc w:val="left"/>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654EAE"/>
  </w:style>
  <w:style w:type="paragraph" w:styleId="Footer">
    <w:name w:val="footer"/>
    <w:basedOn w:val="Normal"/>
    <w:link w:val="FooterChar"/>
    <w:uiPriority w:val="99"/>
    <w:unhideWhenUsed/>
    <w:rsid w:val="00654EAE"/>
    <w:pPr>
      <w:tabs>
        <w:tab w:val="center" w:pos="4513"/>
        <w:tab w:val="right" w:pos="9026"/>
      </w:tabs>
      <w:spacing w:after="0" w:line="240" w:lineRule="auto"/>
      <w:jc w:val="left"/>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654EAE"/>
  </w:style>
  <w:style w:type="table" w:styleId="TableGrid">
    <w:name w:val="Table Grid"/>
    <w:basedOn w:val="TableNormal"/>
    <w:uiPriority w:val="59"/>
    <w:rsid w:val="00654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4EAE"/>
    <w:rPr>
      <w:rFonts w:asciiTheme="majorHAnsi" w:eastAsiaTheme="majorEastAsia" w:hAnsiTheme="majorHAnsi" w:cstheme="majorBidi"/>
      <w:b/>
      <w:bCs/>
      <w:color w:val="365F91" w:themeColor="accent1" w:themeShade="BF"/>
      <w:sz w:val="28"/>
      <w:szCs w:val="28"/>
      <w:lang w:val="it-IT"/>
    </w:rPr>
  </w:style>
  <w:style w:type="paragraph" w:styleId="TOCHeading">
    <w:name w:val="TOC Heading"/>
    <w:basedOn w:val="Heading1"/>
    <w:next w:val="Normal"/>
    <w:uiPriority w:val="39"/>
    <w:unhideWhenUsed/>
    <w:qFormat/>
    <w:rsid w:val="00654EAE"/>
    <w:pPr>
      <w:spacing w:before="600" w:after="120"/>
      <w:jc w:val="left"/>
      <w:outlineLvl w:val="9"/>
    </w:pPr>
    <w:rPr>
      <w:rFonts w:ascii="Cambria" w:eastAsia="Times New Roman" w:hAnsi="Cambria" w:cs="Times New Roman"/>
      <w:color w:val="365F91"/>
    </w:rPr>
  </w:style>
  <w:style w:type="character" w:styleId="Hyperlink">
    <w:name w:val="Hyperlink"/>
    <w:basedOn w:val="DefaultParagraphFont"/>
    <w:uiPriority w:val="99"/>
    <w:unhideWhenUsed/>
    <w:rsid w:val="00B86B91"/>
    <w:rPr>
      <w:color w:val="0000FF" w:themeColor="hyperlink"/>
      <w:u w:val="single"/>
    </w:rPr>
  </w:style>
  <w:style w:type="character" w:styleId="FollowedHyperlink">
    <w:name w:val="FollowedHyperlink"/>
    <w:basedOn w:val="DefaultParagraphFont"/>
    <w:uiPriority w:val="99"/>
    <w:semiHidden/>
    <w:unhideWhenUsed/>
    <w:rsid w:val="00064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AE"/>
    <w:pPr>
      <w:jc w:val="both"/>
    </w:pPr>
    <w:rPr>
      <w:rFonts w:ascii="Cambria" w:eastAsia="Calibri" w:hAnsi="Cambria" w:cs="Times New Roman"/>
      <w:lang w:val="it-IT"/>
    </w:rPr>
  </w:style>
  <w:style w:type="paragraph" w:styleId="Heading1">
    <w:name w:val="heading 1"/>
    <w:basedOn w:val="Normal"/>
    <w:next w:val="Normal"/>
    <w:link w:val="Heading1Char"/>
    <w:uiPriority w:val="9"/>
    <w:qFormat/>
    <w:rsid w:val="00654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AE"/>
    <w:pPr>
      <w:spacing w:after="0" w:line="240" w:lineRule="auto"/>
      <w:jc w:val="left"/>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54EAE"/>
    <w:rPr>
      <w:rFonts w:ascii="Tahoma" w:hAnsi="Tahoma" w:cs="Tahoma"/>
      <w:sz w:val="16"/>
      <w:szCs w:val="16"/>
    </w:rPr>
  </w:style>
  <w:style w:type="paragraph" w:styleId="Header">
    <w:name w:val="header"/>
    <w:basedOn w:val="Normal"/>
    <w:link w:val="HeaderChar"/>
    <w:uiPriority w:val="99"/>
    <w:unhideWhenUsed/>
    <w:rsid w:val="00654EAE"/>
    <w:pPr>
      <w:tabs>
        <w:tab w:val="center" w:pos="4513"/>
        <w:tab w:val="right" w:pos="9026"/>
      </w:tabs>
      <w:spacing w:after="0" w:line="240" w:lineRule="auto"/>
      <w:jc w:val="left"/>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654EAE"/>
  </w:style>
  <w:style w:type="paragraph" w:styleId="Footer">
    <w:name w:val="footer"/>
    <w:basedOn w:val="Normal"/>
    <w:link w:val="FooterChar"/>
    <w:uiPriority w:val="99"/>
    <w:unhideWhenUsed/>
    <w:rsid w:val="00654EAE"/>
    <w:pPr>
      <w:tabs>
        <w:tab w:val="center" w:pos="4513"/>
        <w:tab w:val="right" w:pos="9026"/>
      </w:tabs>
      <w:spacing w:after="0" w:line="240" w:lineRule="auto"/>
      <w:jc w:val="left"/>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654EAE"/>
  </w:style>
  <w:style w:type="table" w:styleId="TableGrid">
    <w:name w:val="Table Grid"/>
    <w:basedOn w:val="TableNormal"/>
    <w:uiPriority w:val="59"/>
    <w:rsid w:val="00654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4EAE"/>
    <w:rPr>
      <w:rFonts w:asciiTheme="majorHAnsi" w:eastAsiaTheme="majorEastAsia" w:hAnsiTheme="majorHAnsi" w:cstheme="majorBidi"/>
      <w:b/>
      <w:bCs/>
      <w:color w:val="365F91" w:themeColor="accent1" w:themeShade="BF"/>
      <w:sz w:val="28"/>
      <w:szCs w:val="28"/>
      <w:lang w:val="it-IT"/>
    </w:rPr>
  </w:style>
  <w:style w:type="paragraph" w:styleId="TOCHeading">
    <w:name w:val="TOC Heading"/>
    <w:basedOn w:val="Heading1"/>
    <w:next w:val="Normal"/>
    <w:uiPriority w:val="39"/>
    <w:unhideWhenUsed/>
    <w:qFormat/>
    <w:rsid w:val="00654EAE"/>
    <w:pPr>
      <w:spacing w:before="600" w:after="120"/>
      <w:jc w:val="left"/>
      <w:outlineLvl w:val="9"/>
    </w:pPr>
    <w:rPr>
      <w:rFonts w:ascii="Cambria" w:eastAsia="Times New Roman" w:hAnsi="Cambria" w:cs="Times New Roman"/>
      <w:color w:val="365F91"/>
    </w:rPr>
  </w:style>
  <w:style w:type="character" w:styleId="Hyperlink">
    <w:name w:val="Hyperlink"/>
    <w:basedOn w:val="DefaultParagraphFont"/>
    <w:uiPriority w:val="99"/>
    <w:unhideWhenUsed/>
    <w:rsid w:val="00B86B91"/>
    <w:rPr>
      <w:color w:val="0000FF" w:themeColor="hyperlink"/>
      <w:u w:val="single"/>
    </w:rPr>
  </w:style>
  <w:style w:type="character" w:styleId="FollowedHyperlink">
    <w:name w:val="FollowedHyperlink"/>
    <w:basedOn w:val="DefaultParagraphFont"/>
    <w:uiPriority w:val="99"/>
    <w:semiHidden/>
    <w:unhideWhenUsed/>
    <w:rsid w:val="00064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c-csi.org/tuca-publishes-its-development-13719?lang=en" TargetMode="External"/><Relationship Id="rId13" Type="http://schemas.openxmlformats.org/officeDocument/2006/relationships/hyperlink" Target="http://www.ituc-csi.org/background-documents-14332" TargetMode="External"/><Relationship Id="rId18" Type="http://schemas.openxmlformats.org/officeDocument/2006/relationships/hyperlink" Target="http://www.ituc-csi.org/IMG/docx/tudcn_advocacy_strategy_2.doc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nstitutolula.org/eng/?tag=lula-institute" TargetMode="External"/><Relationship Id="rId12" Type="http://schemas.openxmlformats.org/officeDocument/2006/relationships/hyperlink" Target="http://www.ituc-csi.org/IMG/pdf/first_draft_of_the_mexico_hlm_communiquei_march_3_2014_.pdf" TargetMode="External"/><Relationship Id="rId17" Type="http://schemas.openxmlformats.org/officeDocument/2006/relationships/hyperlink" Target="http://www.ituc-csi.org/IMG/docx/tudcn_action_plan_2014-2015.docx" TargetMode="External"/><Relationship Id="rId2" Type="http://schemas.microsoft.com/office/2007/relationships/stylesWithEffects" Target="stylesWithEffects.xml"/><Relationship Id="rId16" Type="http://schemas.openxmlformats.org/officeDocument/2006/relationships/hyperlink" Target="http://www.ituc-csi.org/IMG/docx/tudcn_activity_report_november_2013_-_march_2014.docx" TargetMode="External"/><Relationship Id="rId20" Type="http://schemas.openxmlformats.org/officeDocument/2006/relationships/hyperlink" Target="http://www.ituc-csi.org/background-documents-1433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tuc-csi.org/IMG/pdf/focus_areas_document-_owg_sdgs_-_21_february_2014.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c-csi.org/IMG/docx/future_mandate_ocm_and_gg.docx" TargetMode="External"/><Relationship Id="rId23" Type="http://schemas.openxmlformats.org/officeDocument/2006/relationships/fontTable" Target="fontTable.xml"/><Relationship Id="rId10" Type="http://schemas.openxmlformats.org/officeDocument/2006/relationships/hyperlink" Target="http://www.ituc-csi.org/IMG/docx/update_on_post_2015.docx" TargetMode="External"/><Relationship Id="rId19" Type="http://schemas.openxmlformats.org/officeDocument/2006/relationships/hyperlink" Target="http://www.ituc-csi.org/IMG/docx/planning_tus_partnerships_for_development.docx" TargetMode="External"/><Relationship Id="rId4" Type="http://schemas.openxmlformats.org/officeDocument/2006/relationships/webSettings" Target="webSettings.xml"/><Relationship Id="rId9" Type="http://schemas.openxmlformats.org/officeDocument/2006/relationships/hyperlink" Target="http://www.ituc-csi.org/IMG/docx/the_private_sector_and_its_role_in_development_-_a_trade_union_perspective.docx" TargetMode="External"/><Relationship Id="rId14" Type="http://schemas.openxmlformats.org/officeDocument/2006/relationships/hyperlink" Target="http://www.ituc-csi.org/IMG/docx/executive_summary_v_15_april_2013_en.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911</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Dereymaeker, Jan</dc:creator>
  <cp:lastModifiedBy>Marion Levillain</cp:lastModifiedBy>
  <cp:revision>7</cp:revision>
  <dcterms:created xsi:type="dcterms:W3CDTF">2014-03-14T17:22:00Z</dcterms:created>
  <dcterms:modified xsi:type="dcterms:W3CDTF">2014-03-14T17:57:00Z</dcterms:modified>
</cp:coreProperties>
</file>