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CF970" w14:textId="77777777" w:rsidR="00654EAE" w:rsidRPr="008106EF" w:rsidRDefault="00654EAE" w:rsidP="00654EAE">
      <w:pPr>
        <w:spacing w:after="0"/>
        <w:jc w:val="center"/>
        <w:rPr>
          <w:rFonts w:eastAsia="Times New Roman"/>
          <w:b/>
          <w:bCs/>
          <w:caps/>
          <w:color w:val="17365D"/>
          <w:spacing w:val="22"/>
          <w:kern w:val="28"/>
          <w:sz w:val="24"/>
          <w:szCs w:val="36"/>
          <w:lang w:val="es-ES_tradnl" w:eastAsia="en-GB"/>
        </w:rPr>
      </w:pPr>
      <w:r w:rsidRPr="008106EF">
        <w:rPr>
          <w:rFonts w:eastAsia="Times New Roman"/>
          <w:b/>
          <w:bCs/>
          <w:caps/>
          <w:color w:val="17365D"/>
          <w:spacing w:val="22"/>
          <w:kern w:val="28"/>
          <w:sz w:val="24"/>
          <w:szCs w:val="36"/>
          <w:lang w:val="es-ES_tradnl" w:eastAsia="en-GB"/>
        </w:rPr>
        <w:t xml:space="preserve">REUNIÓN GENERAL RED SINDICAL DE COOPERACIÓN AL DESARROLLO </w:t>
      </w:r>
    </w:p>
    <w:p w14:paraId="129A0193" w14:textId="77777777" w:rsidR="00654EAE" w:rsidRPr="00EC5F6B" w:rsidRDefault="00654EAE" w:rsidP="00654EAE">
      <w:pPr>
        <w:spacing w:after="0"/>
        <w:jc w:val="center"/>
        <w:rPr>
          <w:rFonts w:eastAsia="Times New Roman"/>
          <w:b/>
          <w:bCs/>
          <w:caps/>
          <w:color w:val="17365D"/>
          <w:spacing w:val="5"/>
          <w:kern w:val="28"/>
          <w:sz w:val="24"/>
          <w:szCs w:val="36"/>
          <w:lang w:val="en-US" w:eastAsia="en-GB"/>
        </w:rPr>
      </w:pPr>
      <w:r w:rsidRPr="00EC5F6B">
        <w:rPr>
          <w:rFonts w:eastAsia="Times New Roman"/>
          <w:b/>
          <w:bCs/>
          <w:caps/>
          <w:color w:val="17365D"/>
          <w:spacing w:val="5"/>
          <w:kern w:val="28"/>
          <w:sz w:val="24"/>
          <w:szCs w:val="36"/>
          <w:lang w:val="en-US" w:eastAsia="en-GB"/>
        </w:rPr>
        <w:t>TRADE UNION DEVELOPMENT COOPERATION NETWORK GENERAL MEETING</w:t>
      </w:r>
    </w:p>
    <w:p w14:paraId="393B2D9C" w14:textId="77777777" w:rsidR="00654EAE" w:rsidRPr="003A5106" w:rsidRDefault="00654EAE" w:rsidP="007851BF">
      <w:pPr>
        <w:pBdr>
          <w:bottom w:val="single" w:sz="4" w:space="1" w:color="auto"/>
        </w:pBdr>
        <w:spacing w:after="240"/>
        <w:jc w:val="center"/>
        <w:rPr>
          <w:rFonts w:eastAsia="Times New Roman"/>
          <w:b/>
          <w:bCs/>
          <w:caps/>
          <w:color w:val="17365D"/>
          <w:spacing w:val="-4"/>
          <w:kern w:val="28"/>
          <w:sz w:val="24"/>
          <w:szCs w:val="36"/>
          <w:lang w:val="fr-BE" w:eastAsia="en-GB"/>
        </w:rPr>
      </w:pPr>
      <w:r w:rsidRPr="003A5106">
        <w:rPr>
          <w:rFonts w:eastAsia="Times New Roman"/>
          <w:b/>
          <w:bCs/>
          <w:caps/>
          <w:color w:val="17365D"/>
          <w:spacing w:val="-4"/>
          <w:kern w:val="28"/>
          <w:sz w:val="24"/>
          <w:szCs w:val="36"/>
          <w:lang w:val="fr-BE" w:eastAsia="en-GB"/>
        </w:rPr>
        <w:t>RÉSEAU SYNDICAL POUR LA COOPÉRATION AU dÉvelopment RÉUNION GÉNÉRALE</w:t>
      </w:r>
    </w:p>
    <w:p w14:paraId="2E517EE8" w14:textId="77777777" w:rsidR="00654EAE" w:rsidRPr="008106EF" w:rsidRDefault="00654EAE" w:rsidP="007851BF">
      <w:pPr>
        <w:pStyle w:val="TOCHeading"/>
        <w:spacing w:before="0" w:after="240"/>
        <w:jc w:val="center"/>
        <w:rPr>
          <w:rFonts w:ascii="Calibri" w:hAnsi="Calibri"/>
          <w:sz w:val="30"/>
          <w:szCs w:val="30"/>
          <w:lang w:val="es-ES_tradnl"/>
        </w:rPr>
      </w:pPr>
      <w:r w:rsidRPr="008106EF">
        <w:rPr>
          <w:rFonts w:ascii="Calibri" w:hAnsi="Calibri"/>
          <w:sz w:val="30"/>
          <w:szCs w:val="30"/>
          <w:lang w:val="es-ES_tradnl"/>
        </w:rPr>
        <w:t>Sao Paulo, 18-20 de Marzo 2014</w:t>
      </w:r>
    </w:p>
    <w:p w14:paraId="077E5DD4" w14:textId="77777777" w:rsidR="00F44E5E" w:rsidRPr="008106EF" w:rsidRDefault="008106EF" w:rsidP="00E5472F">
      <w:pPr>
        <w:spacing w:after="120"/>
        <w:jc w:val="center"/>
        <w:rPr>
          <w:b/>
          <w:color w:val="E36C0A" w:themeColor="accent6" w:themeShade="BF"/>
          <w:sz w:val="28"/>
          <w:u w:val="single"/>
          <w:lang w:val="es-ES_tradnl"/>
        </w:rPr>
      </w:pPr>
      <w:r w:rsidRPr="008106EF">
        <w:rPr>
          <w:b/>
          <w:color w:val="E36C0A" w:themeColor="accent6" w:themeShade="BF"/>
          <w:sz w:val="28"/>
          <w:u w:val="single"/>
          <w:lang w:val="es-ES_tradnl"/>
        </w:rPr>
        <w:t>NOTAS PARA LA AGENDA</w:t>
      </w:r>
    </w:p>
    <w:p w14:paraId="15E255CD" w14:textId="77777777" w:rsidR="00991121" w:rsidRPr="008106EF" w:rsidRDefault="002577F5" w:rsidP="002577F5">
      <w:pPr>
        <w:rPr>
          <w:b/>
          <w:color w:val="E36C0A" w:themeColor="accent6" w:themeShade="BF"/>
          <w:lang w:val="es-ES_tradnl"/>
        </w:rPr>
      </w:pPr>
      <w:r w:rsidRPr="008106EF">
        <w:rPr>
          <w:b/>
          <w:color w:val="E36C0A" w:themeColor="accent6" w:themeShade="BF"/>
          <w:lang w:val="es-ES_tradnl"/>
        </w:rPr>
        <w:t>Día 1</w:t>
      </w:r>
    </w:p>
    <w:p w14:paraId="27024D66" w14:textId="7E854686" w:rsidR="002577F5" w:rsidRPr="008106EF" w:rsidRDefault="005436DF" w:rsidP="002577F5">
      <w:pPr>
        <w:rPr>
          <w:lang w:val="es-ES_tradnl"/>
        </w:rPr>
      </w:pPr>
      <w:r>
        <w:rPr>
          <w:lang w:val="es-ES_tradnl"/>
        </w:rPr>
        <w:t>El objetivo del primer</w:t>
      </w:r>
      <w:r w:rsidR="002577F5" w:rsidRPr="008106EF">
        <w:rPr>
          <w:lang w:val="es-ES_tradnl"/>
        </w:rPr>
        <w:t xml:space="preserve"> día es discutir el "</w:t>
      </w:r>
      <w:r w:rsidR="002577F5" w:rsidRPr="003A5106">
        <w:rPr>
          <w:b/>
          <w:color w:val="548DD4" w:themeColor="text2" w:themeTint="99"/>
          <w:lang w:val="es-ES_tradnl"/>
        </w:rPr>
        <w:t>modelo de desarrollo que queremos</w:t>
      </w:r>
      <w:r w:rsidR="002577F5" w:rsidRPr="008106EF">
        <w:rPr>
          <w:lang w:val="es-ES_tradnl"/>
        </w:rPr>
        <w:t>".</w:t>
      </w:r>
    </w:p>
    <w:p w14:paraId="1E60172D" w14:textId="5700FE2B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Durante este día traeremos para el debate personalidades y expertos que discutirán sus "visiones" sobre el desarrollo desde diferentes ángulos: </w:t>
      </w:r>
      <w:r w:rsidR="005436DF">
        <w:rPr>
          <w:lang w:val="es-ES_tradnl"/>
        </w:rPr>
        <w:t xml:space="preserve">desde el punto de vista </w:t>
      </w:r>
      <w:r w:rsidRPr="008106EF">
        <w:rPr>
          <w:lang w:val="es-ES_tradnl"/>
        </w:rPr>
        <w:t xml:space="preserve">político, institucional y sindical. El Ministro de </w:t>
      </w:r>
      <w:r w:rsidR="005436DF">
        <w:rPr>
          <w:lang w:val="es-ES_tradnl"/>
        </w:rPr>
        <w:t>Desarrollo Social</w:t>
      </w:r>
      <w:r w:rsidRPr="008106EF">
        <w:rPr>
          <w:lang w:val="es-ES_tradnl"/>
        </w:rPr>
        <w:t xml:space="preserve"> del Uruguay y el </w:t>
      </w:r>
      <w:r w:rsidR="005436DF">
        <w:rPr>
          <w:lang w:val="es-ES_tradnl"/>
        </w:rPr>
        <w:t>D</w:t>
      </w:r>
      <w:r w:rsidRPr="008106EF">
        <w:rPr>
          <w:lang w:val="es-ES_tradnl"/>
        </w:rPr>
        <w:t xml:space="preserve">irector de la </w:t>
      </w:r>
      <w:hyperlink r:id="rId7" w:history="1">
        <w:r w:rsidR="005436DF" w:rsidRPr="003A5106">
          <w:rPr>
            <w:rStyle w:val="Hyperlink"/>
            <w:lang w:val="es-ES_tradnl"/>
          </w:rPr>
          <w:t>Fundación Lula</w:t>
        </w:r>
      </w:hyperlink>
      <w:r w:rsidR="005436DF">
        <w:rPr>
          <w:lang w:val="es-ES_tradnl"/>
        </w:rPr>
        <w:t xml:space="preserve"> serán los </w:t>
      </w:r>
      <w:r w:rsidRPr="008106EF">
        <w:rPr>
          <w:lang w:val="es-ES_tradnl"/>
        </w:rPr>
        <w:t xml:space="preserve">ponentes principales </w:t>
      </w:r>
      <w:r w:rsidR="00F0111F">
        <w:rPr>
          <w:lang w:val="es-ES_tradnl"/>
        </w:rPr>
        <w:t>de</w:t>
      </w:r>
      <w:r w:rsidRPr="008106EF">
        <w:rPr>
          <w:lang w:val="es-ES_tradnl"/>
        </w:rPr>
        <w:t xml:space="preserve"> esta sesión de apertura.</w:t>
      </w:r>
    </w:p>
    <w:p w14:paraId="6765DA02" w14:textId="2E4685D4" w:rsidR="002577F5" w:rsidRPr="008106EF" w:rsidRDefault="005436DF" w:rsidP="002577F5">
      <w:pPr>
        <w:rPr>
          <w:lang w:val="es-ES_tradnl"/>
        </w:rPr>
      </w:pPr>
      <w:r>
        <w:rPr>
          <w:lang w:val="es-ES_tradnl"/>
        </w:rPr>
        <w:t>En el primer</w:t>
      </w:r>
      <w:r w:rsidR="002577F5" w:rsidRPr="008106EF">
        <w:rPr>
          <w:lang w:val="es-ES_tradnl"/>
        </w:rPr>
        <w:t xml:space="preserve"> panel representantes del Banco Mundial, de la Comisión Económica para América Latina de la ONU</w:t>
      </w:r>
      <w:r>
        <w:rPr>
          <w:lang w:val="es-ES_tradnl"/>
        </w:rPr>
        <w:t xml:space="preserve"> (CEPAL)</w:t>
      </w:r>
      <w:r w:rsidR="002577F5" w:rsidRPr="008106EF">
        <w:rPr>
          <w:lang w:val="es-ES_tradnl"/>
        </w:rPr>
        <w:t xml:space="preserve"> y la Comisión </w:t>
      </w:r>
      <w:r>
        <w:rPr>
          <w:lang w:val="es-ES_tradnl"/>
        </w:rPr>
        <w:t>Europea</w:t>
      </w:r>
      <w:r w:rsidR="002577F5" w:rsidRPr="008106EF">
        <w:rPr>
          <w:lang w:val="es-ES_tradnl"/>
        </w:rPr>
        <w:t xml:space="preserve"> compartirán con nosotros sus puntos de vista so</w:t>
      </w:r>
      <w:r>
        <w:rPr>
          <w:lang w:val="es-ES_tradnl"/>
        </w:rPr>
        <w:t>bre el desarrollo institucional</w:t>
      </w:r>
      <w:r w:rsidR="002577F5" w:rsidRPr="008106EF">
        <w:rPr>
          <w:lang w:val="es-ES_tradnl"/>
        </w:rPr>
        <w:t>.</w:t>
      </w:r>
    </w:p>
    <w:p w14:paraId="49697590" w14:textId="44E0FE04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En el segundo panel del día el Secretario General de la CSA, </w:t>
      </w:r>
      <w:proofErr w:type="spellStart"/>
      <w:r w:rsidRPr="008106EF">
        <w:rPr>
          <w:lang w:val="es-ES_tradnl"/>
        </w:rPr>
        <w:t>Victor</w:t>
      </w:r>
      <w:proofErr w:type="spellEnd"/>
      <w:r w:rsidRPr="008106EF">
        <w:rPr>
          <w:lang w:val="es-ES_tradnl"/>
        </w:rPr>
        <w:t xml:space="preserve"> </w:t>
      </w:r>
      <w:proofErr w:type="spellStart"/>
      <w:r w:rsidRPr="008106EF">
        <w:rPr>
          <w:lang w:val="es-ES_tradnl"/>
        </w:rPr>
        <w:t>Baez</w:t>
      </w:r>
      <w:proofErr w:type="spellEnd"/>
      <w:r w:rsidRPr="008106EF">
        <w:rPr>
          <w:lang w:val="es-ES_tradnl"/>
        </w:rPr>
        <w:t>, presentará la Plataforma de Desarrollo de las Américas (</w:t>
      </w:r>
      <w:hyperlink r:id="rId8" w:history="1">
        <w:r w:rsidRPr="003A5106">
          <w:rPr>
            <w:rStyle w:val="Hyperlink"/>
            <w:lang w:val="es-ES_tradnl"/>
          </w:rPr>
          <w:t>PLADA</w:t>
        </w:r>
      </w:hyperlink>
      <w:r w:rsidRPr="008106EF">
        <w:rPr>
          <w:lang w:val="es-ES_tradnl"/>
        </w:rPr>
        <w:t xml:space="preserve">), que actualmente </w:t>
      </w:r>
      <w:proofErr w:type="spellStart"/>
      <w:r w:rsidRPr="008106EF">
        <w:rPr>
          <w:lang w:val="es-ES_tradnl"/>
        </w:rPr>
        <w:t>esta</w:t>
      </w:r>
      <w:proofErr w:type="spellEnd"/>
      <w:r w:rsidRPr="008106EF">
        <w:rPr>
          <w:lang w:val="es-ES_tradnl"/>
        </w:rPr>
        <w:t xml:space="preserve"> siendo debatid</w:t>
      </w:r>
      <w:r w:rsidR="005436DF">
        <w:rPr>
          <w:lang w:val="es-ES_tradnl"/>
        </w:rPr>
        <w:t>a</w:t>
      </w:r>
      <w:r w:rsidRPr="008106EF">
        <w:rPr>
          <w:lang w:val="es-ES_tradnl"/>
        </w:rPr>
        <w:t xml:space="preserve"> y preparad</w:t>
      </w:r>
      <w:r w:rsidR="005436DF">
        <w:rPr>
          <w:lang w:val="es-ES_tradnl"/>
        </w:rPr>
        <w:t>a</w:t>
      </w:r>
      <w:r w:rsidRPr="008106EF">
        <w:rPr>
          <w:lang w:val="es-ES_tradnl"/>
        </w:rPr>
        <w:t xml:space="preserve"> para su lanzamiento, convirtiéndose en el marco político principal para la acción sindical. La perspectiva Africana sobre el desarrollo de África será el tema principal de la ponencia del </w:t>
      </w:r>
      <w:r w:rsidR="005436DF" w:rsidRPr="008106EF">
        <w:rPr>
          <w:lang w:val="es-ES_tradnl"/>
        </w:rPr>
        <w:t>Secretario General</w:t>
      </w:r>
      <w:r w:rsidRPr="008106EF">
        <w:rPr>
          <w:lang w:val="es-ES_tradnl"/>
        </w:rPr>
        <w:t xml:space="preserve"> de la </w:t>
      </w:r>
      <w:r w:rsidR="003A554F">
        <w:rPr>
          <w:lang w:val="es-ES_tradnl"/>
        </w:rPr>
        <w:t xml:space="preserve">CSI África, Kwasi </w:t>
      </w:r>
      <w:proofErr w:type="spellStart"/>
      <w:r w:rsidR="003A554F">
        <w:rPr>
          <w:lang w:val="es-ES_tradnl"/>
        </w:rPr>
        <w:t>Adu</w:t>
      </w:r>
      <w:proofErr w:type="spellEnd"/>
      <w:r w:rsidR="003A554F">
        <w:rPr>
          <w:lang w:val="es-ES_tradnl"/>
        </w:rPr>
        <w:t xml:space="preserve">- </w:t>
      </w:r>
      <w:proofErr w:type="spellStart"/>
      <w:r w:rsidR="003A554F">
        <w:rPr>
          <w:lang w:val="es-ES_tradnl"/>
        </w:rPr>
        <w:t>Amankwah</w:t>
      </w:r>
      <w:proofErr w:type="spellEnd"/>
      <w:r w:rsidRPr="008106EF">
        <w:rPr>
          <w:lang w:val="es-ES_tradnl"/>
        </w:rPr>
        <w:t>.</w:t>
      </w:r>
    </w:p>
    <w:p w14:paraId="6DCFF24C" w14:textId="25DAA557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>Con los</w:t>
      </w:r>
      <w:r w:rsidR="005436DF">
        <w:rPr>
          <w:lang w:val="es-ES_tradnl"/>
        </w:rPr>
        <w:t>/las</w:t>
      </w:r>
      <w:r w:rsidRPr="008106EF">
        <w:rPr>
          <w:lang w:val="es-ES_tradnl"/>
        </w:rPr>
        <w:t xml:space="preserve"> </w:t>
      </w:r>
      <w:r w:rsidR="008B280D">
        <w:rPr>
          <w:lang w:val="es-ES_tradnl"/>
        </w:rPr>
        <w:t xml:space="preserve">representantes </w:t>
      </w:r>
      <w:r w:rsidR="005436DF">
        <w:rPr>
          <w:lang w:val="es-ES_tradnl"/>
        </w:rPr>
        <w:t>de todas las regiones afiliadas de la CSI</w:t>
      </w:r>
      <w:r w:rsidRPr="008106EF">
        <w:rPr>
          <w:lang w:val="es-ES_tradnl"/>
        </w:rPr>
        <w:t xml:space="preserve">, </w:t>
      </w:r>
      <w:r w:rsidR="005436DF">
        <w:rPr>
          <w:lang w:val="es-ES_tradnl"/>
        </w:rPr>
        <w:t xml:space="preserve">de las Federaciones Sindicales Internacionales (FSI) </w:t>
      </w:r>
      <w:r w:rsidRPr="008106EF">
        <w:rPr>
          <w:lang w:val="es-ES_tradnl"/>
        </w:rPr>
        <w:t>y de las Organizaciones</w:t>
      </w:r>
      <w:r w:rsidR="005436DF">
        <w:rPr>
          <w:lang w:val="es-ES_tradnl"/>
        </w:rPr>
        <w:t xml:space="preserve"> Sindicales</w:t>
      </w:r>
      <w:r w:rsidRPr="008106EF">
        <w:rPr>
          <w:lang w:val="es-ES_tradnl"/>
        </w:rPr>
        <w:t xml:space="preserve"> </w:t>
      </w:r>
      <w:r w:rsidR="005436DF">
        <w:rPr>
          <w:lang w:val="es-ES_tradnl"/>
        </w:rPr>
        <w:t>Solidarias (TUSSO por su sigla en inglés)</w:t>
      </w:r>
      <w:r w:rsidRPr="008106EF">
        <w:rPr>
          <w:lang w:val="es-ES_tradnl"/>
        </w:rPr>
        <w:t xml:space="preserve">, vamos a debatir esos insumos y </w:t>
      </w:r>
      <w:r w:rsidR="008B280D">
        <w:rPr>
          <w:lang w:val="es-ES_tradnl"/>
        </w:rPr>
        <w:t xml:space="preserve">definir </w:t>
      </w:r>
      <w:r w:rsidRPr="008106EF">
        <w:rPr>
          <w:lang w:val="es-ES_tradnl"/>
        </w:rPr>
        <w:t xml:space="preserve">los </w:t>
      </w:r>
      <w:r w:rsidR="008B280D">
        <w:rPr>
          <w:lang w:val="es-ES_tradnl"/>
        </w:rPr>
        <w:t>pilares</w:t>
      </w:r>
      <w:r w:rsidRPr="008106EF">
        <w:rPr>
          <w:lang w:val="es-ES_tradnl"/>
        </w:rPr>
        <w:t xml:space="preserve"> </w:t>
      </w:r>
      <w:r w:rsidR="008B280D">
        <w:rPr>
          <w:lang w:val="es-ES_tradnl"/>
        </w:rPr>
        <w:t>del</w:t>
      </w:r>
      <w:r w:rsidRPr="008106EF">
        <w:rPr>
          <w:lang w:val="es-ES_tradnl"/>
        </w:rPr>
        <w:t xml:space="preserve"> " </w:t>
      </w:r>
      <w:r w:rsidRPr="003A554F">
        <w:rPr>
          <w:b/>
          <w:color w:val="548DD4" w:themeColor="text2" w:themeTint="99"/>
          <w:lang w:val="es-ES"/>
        </w:rPr>
        <w:t>modelo de desarrollo que queremos</w:t>
      </w:r>
      <w:r w:rsidR="003A554F">
        <w:rPr>
          <w:lang w:val="es-ES_tradnl"/>
        </w:rPr>
        <w:t>".</w:t>
      </w:r>
    </w:p>
    <w:p w14:paraId="5D8F3768" w14:textId="77777777" w:rsidR="002577F5" w:rsidRPr="008106EF" w:rsidRDefault="002577F5" w:rsidP="002577F5">
      <w:pPr>
        <w:rPr>
          <w:b/>
          <w:color w:val="E36C0A" w:themeColor="accent6" w:themeShade="BF"/>
          <w:lang w:val="es-ES_tradnl"/>
        </w:rPr>
      </w:pPr>
      <w:r w:rsidRPr="008106EF">
        <w:rPr>
          <w:b/>
          <w:color w:val="E36C0A" w:themeColor="accent6" w:themeShade="BF"/>
          <w:lang w:val="es-ES_tradnl"/>
        </w:rPr>
        <w:t>Día 2</w:t>
      </w:r>
    </w:p>
    <w:p w14:paraId="5A4D7CE7" w14:textId="0EE31462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>El segundo día se centrará en una serie de debates sobre las agendas políticas mundiales, regionales y nacionales sobr</w:t>
      </w:r>
      <w:r w:rsidR="008B280D">
        <w:rPr>
          <w:lang w:val="es-ES_tradnl"/>
        </w:rPr>
        <w:t>e d</w:t>
      </w:r>
      <w:r w:rsidRPr="008106EF">
        <w:rPr>
          <w:lang w:val="es-ES_tradnl"/>
        </w:rPr>
        <w:t xml:space="preserve">esarrollo. </w:t>
      </w:r>
      <w:r w:rsidR="008B280D">
        <w:rPr>
          <w:lang w:val="es-ES_tradnl"/>
        </w:rPr>
        <w:t xml:space="preserve">La discusión se realizará en </w:t>
      </w:r>
      <w:r w:rsidRPr="008106EF">
        <w:rPr>
          <w:lang w:val="es-ES_tradnl"/>
        </w:rPr>
        <w:t>plenari</w:t>
      </w:r>
      <w:r w:rsidR="008B280D">
        <w:rPr>
          <w:lang w:val="es-ES_tradnl"/>
        </w:rPr>
        <w:t>a</w:t>
      </w:r>
      <w:r w:rsidRPr="008106EF">
        <w:rPr>
          <w:lang w:val="es-ES_tradnl"/>
        </w:rPr>
        <w:t xml:space="preserve"> y </w:t>
      </w:r>
      <w:r w:rsidR="008B280D">
        <w:rPr>
          <w:lang w:val="es-ES_tradnl"/>
        </w:rPr>
        <w:t xml:space="preserve">en </w:t>
      </w:r>
      <w:r w:rsidR="00F0111F">
        <w:rPr>
          <w:lang w:val="es-ES_tradnl"/>
        </w:rPr>
        <w:t>grupos de trabajo.</w:t>
      </w:r>
    </w:p>
    <w:p w14:paraId="69BD87E0" w14:textId="5AE409DD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La Reunión General discutirá un </w:t>
      </w:r>
      <w:hyperlink r:id="rId9" w:history="1">
        <w:r w:rsidRPr="003A5106">
          <w:rPr>
            <w:rStyle w:val="Hyperlink"/>
            <w:lang w:val="es-ES_tradnl"/>
          </w:rPr>
          <w:t>documento de síntesis sobre el sector privado</w:t>
        </w:r>
        <w:r w:rsidR="008B280D" w:rsidRPr="003A5106">
          <w:rPr>
            <w:rStyle w:val="Hyperlink"/>
            <w:lang w:val="es-ES_tradnl"/>
          </w:rPr>
          <w:t xml:space="preserve"> para el desarrollo</w:t>
        </w:r>
      </w:hyperlink>
      <w:r w:rsidRPr="008106EF">
        <w:rPr>
          <w:lang w:val="es-ES_tradnl"/>
        </w:rPr>
        <w:t>; después del semina</w:t>
      </w:r>
      <w:r w:rsidR="008B280D">
        <w:rPr>
          <w:lang w:val="es-ES_tradnl"/>
        </w:rPr>
        <w:t xml:space="preserve">rio de la </w:t>
      </w:r>
      <w:r w:rsidR="00F0111F">
        <w:rPr>
          <w:lang w:val="es-ES_tradnl"/>
        </w:rPr>
        <w:t>RSCD</w:t>
      </w:r>
      <w:r w:rsidR="008B280D">
        <w:rPr>
          <w:lang w:val="es-ES_tradnl"/>
        </w:rPr>
        <w:t xml:space="preserve"> en Barcelona y</w:t>
      </w:r>
      <w:r w:rsidRPr="008106EF">
        <w:rPr>
          <w:lang w:val="es-ES_tradnl"/>
        </w:rPr>
        <w:t xml:space="preserve"> del debate en curso en la OCDE / DAC, la Alianza Global y la UN2015 - incluidas las estrategias nacionales de agencias de desarrollo y bancos de desarrollo mundial – la </w:t>
      </w:r>
      <w:r w:rsidR="0095501E">
        <w:rPr>
          <w:lang w:val="es-ES_tradnl"/>
        </w:rPr>
        <w:t>Reunión General (</w:t>
      </w:r>
      <w:r w:rsidRPr="008106EF">
        <w:rPr>
          <w:lang w:val="es-ES_tradnl"/>
        </w:rPr>
        <w:t>RG</w:t>
      </w:r>
      <w:r w:rsidR="0095501E">
        <w:rPr>
          <w:lang w:val="es-ES_tradnl"/>
        </w:rPr>
        <w:t>)</w:t>
      </w:r>
      <w:r w:rsidRPr="008106EF">
        <w:rPr>
          <w:lang w:val="es-ES_tradnl"/>
        </w:rPr>
        <w:t xml:space="preserve"> tendrá que llegar a conclusiones sobre el posicionamiento de los sindicatos en este debate. </w:t>
      </w:r>
    </w:p>
    <w:p w14:paraId="181E3B99" w14:textId="77777777" w:rsidR="009078BF" w:rsidRDefault="009078BF" w:rsidP="002577F5">
      <w:pPr>
        <w:rPr>
          <w:lang w:val="es-ES_tradnl"/>
        </w:rPr>
      </w:pPr>
    </w:p>
    <w:p w14:paraId="0EC5FA2F" w14:textId="76508A9C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lastRenderedPageBreak/>
        <w:t xml:space="preserve">Un </w:t>
      </w:r>
      <w:hyperlink r:id="rId10" w:history="1">
        <w:r w:rsidRPr="003A5106">
          <w:rPr>
            <w:rStyle w:val="Hyperlink"/>
            <w:lang w:val="es-ES_tradnl"/>
          </w:rPr>
          <w:t>breve informe</w:t>
        </w:r>
      </w:hyperlink>
      <w:r w:rsidRPr="008106EF">
        <w:rPr>
          <w:lang w:val="es-ES_tradnl"/>
        </w:rPr>
        <w:t xml:space="preserve"> será presentado sobre los </w:t>
      </w:r>
      <w:hyperlink r:id="rId11" w:history="1">
        <w:r w:rsidRPr="003A5106">
          <w:rPr>
            <w:rStyle w:val="Hyperlink"/>
            <w:lang w:val="es-ES_tradnl"/>
          </w:rPr>
          <w:t>más recientes avances de la discusión sobre la UN2015</w:t>
        </w:r>
      </w:hyperlink>
      <w:r w:rsidRPr="009078BF">
        <w:rPr>
          <w:lang w:val="es-ES_tradnl"/>
        </w:rPr>
        <w:t xml:space="preserve"> </w:t>
      </w:r>
      <w:r w:rsidRPr="008106EF">
        <w:rPr>
          <w:lang w:val="es-ES_tradnl"/>
        </w:rPr>
        <w:t>hacia un nuevo marco de desarrollo que substituirá los Objetivos de Desarrollo del Milenio. La discusión nos dará la oportunidad de abordar nuestras prioridades y propuestas para las próximas negociaciones.</w:t>
      </w:r>
    </w:p>
    <w:p w14:paraId="5C1B998A" w14:textId="30130487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La cooperación Sur-Sur es un factor nuevo </w:t>
      </w:r>
      <w:r w:rsidR="00D14310">
        <w:rPr>
          <w:lang w:val="es-ES_tradnl"/>
        </w:rPr>
        <w:t>e</w:t>
      </w:r>
      <w:r w:rsidRPr="008106EF">
        <w:rPr>
          <w:lang w:val="es-ES_tradnl"/>
        </w:rPr>
        <w:t xml:space="preserve"> importante en la coope</w:t>
      </w:r>
      <w:r w:rsidR="0095501E">
        <w:rPr>
          <w:lang w:val="es-ES_tradnl"/>
        </w:rPr>
        <w:t xml:space="preserve">ración al desarrollo, así como </w:t>
      </w:r>
      <w:r w:rsidRPr="008106EF">
        <w:rPr>
          <w:lang w:val="es-ES_tradnl"/>
        </w:rPr>
        <w:t xml:space="preserve">la promoción del intercambio de experiencias de la cooperación sobre la base de intereses mutuos. ¿Cuál es nuestro enfoque </w:t>
      </w:r>
      <w:r w:rsidR="0095501E">
        <w:rPr>
          <w:lang w:val="es-ES_tradnl"/>
        </w:rPr>
        <w:t>sobre</w:t>
      </w:r>
      <w:r w:rsidRPr="008106EF">
        <w:rPr>
          <w:lang w:val="es-ES_tradnl"/>
        </w:rPr>
        <w:t xml:space="preserve"> este modelo de cooperación que está </w:t>
      </w:r>
      <w:r w:rsidR="0095501E">
        <w:rPr>
          <w:lang w:val="es-ES_tradnl"/>
        </w:rPr>
        <w:t>caracterizand</w:t>
      </w:r>
      <w:r w:rsidRPr="008106EF">
        <w:rPr>
          <w:lang w:val="es-ES_tradnl"/>
        </w:rPr>
        <w:t xml:space="preserve">o cada vez más países, especialmente las economías emergentes y los países de renta media? </w:t>
      </w:r>
    </w:p>
    <w:p w14:paraId="29DE3361" w14:textId="2C767954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La última discusión temática se orientará por la </w:t>
      </w:r>
      <w:hyperlink r:id="rId12" w:history="1">
        <w:r w:rsidRPr="0022545C">
          <w:rPr>
            <w:rStyle w:val="Hyperlink"/>
            <w:lang w:val="es-ES_tradnl"/>
          </w:rPr>
          <w:t>primera Reunión Ministerial de Alto Nivel</w:t>
        </w:r>
      </w:hyperlink>
      <w:r w:rsidRPr="008106EF">
        <w:rPr>
          <w:lang w:val="es-ES_tradnl"/>
        </w:rPr>
        <w:t xml:space="preserve"> de la Alianza Mundial para </w:t>
      </w:r>
      <w:r w:rsidR="0095501E">
        <w:rPr>
          <w:lang w:val="es-ES_tradnl"/>
        </w:rPr>
        <w:t>la Eficacia de la C</w:t>
      </w:r>
      <w:r w:rsidRPr="008106EF">
        <w:rPr>
          <w:lang w:val="es-ES_tradnl"/>
        </w:rPr>
        <w:t xml:space="preserve">ooperación </w:t>
      </w:r>
      <w:r w:rsidR="0095501E">
        <w:rPr>
          <w:lang w:val="es-ES_tradnl"/>
        </w:rPr>
        <w:t>a</w:t>
      </w:r>
      <w:r w:rsidRPr="008106EF">
        <w:rPr>
          <w:lang w:val="es-ES_tradnl"/>
        </w:rPr>
        <w:t xml:space="preserve">l desarrollo (GPEDC), </w:t>
      </w:r>
      <w:r w:rsidR="0095501E">
        <w:rPr>
          <w:lang w:val="es-ES_tradnl"/>
        </w:rPr>
        <w:t xml:space="preserve">establecida </w:t>
      </w:r>
      <w:r w:rsidRPr="008106EF">
        <w:rPr>
          <w:lang w:val="es-ES_tradnl"/>
        </w:rPr>
        <w:t xml:space="preserve">en Busan (2011), que tendrá lugar en el próximo abril en México. Sr. Gerardo Bracho presentará los objetivos de la reunión de alto nivel y los elementos para el comunicado final. LA RG discutirá sus posiciones sobre este evento en México </w:t>
      </w:r>
      <w:r w:rsidR="0095501E">
        <w:rPr>
          <w:lang w:val="es-ES_tradnl"/>
        </w:rPr>
        <w:t>así como sobre su</w:t>
      </w:r>
      <w:r w:rsidRPr="008106EF">
        <w:rPr>
          <w:lang w:val="es-ES_tradnl"/>
        </w:rPr>
        <w:t xml:space="preserve"> participación</w:t>
      </w:r>
      <w:r w:rsidR="0095501E">
        <w:rPr>
          <w:lang w:val="es-ES_tradnl"/>
        </w:rPr>
        <w:t xml:space="preserve"> en </w:t>
      </w:r>
      <w:r w:rsidRPr="008106EF">
        <w:rPr>
          <w:lang w:val="es-ES_tradnl"/>
        </w:rPr>
        <w:t xml:space="preserve">general en la agenda </w:t>
      </w:r>
      <w:r w:rsidR="0095501E">
        <w:rPr>
          <w:lang w:val="es-ES_tradnl"/>
        </w:rPr>
        <w:t xml:space="preserve">relativa a </w:t>
      </w:r>
      <w:r w:rsidRPr="008106EF">
        <w:rPr>
          <w:lang w:val="es-ES_tradnl"/>
        </w:rPr>
        <w:t xml:space="preserve">la eficacia del desarrollo. </w:t>
      </w:r>
    </w:p>
    <w:p w14:paraId="4C65C776" w14:textId="77777777" w:rsidR="002577F5" w:rsidRPr="008106EF" w:rsidRDefault="002577F5" w:rsidP="002577F5">
      <w:pPr>
        <w:rPr>
          <w:b/>
          <w:color w:val="E36C0A" w:themeColor="accent6" w:themeShade="BF"/>
          <w:lang w:val="es-ES_tradnl"/>
        </w:rPr>
      </w:pPr>
      <w:r w:rsidRPr="008106EF">
        <w:rPr>
          <w:b/>
          <w:color w:val="E36C0A" w:themeColor="accent6" w:themeShade="BF"/>
          <w:lang w:val="es-ES_tradnl"/>
        </w:rPr>
        <w:t>Día 3</w:t>
      </w:r>
    </w:p>
    <w:p w14:paraId="77A1CEAF" w14:textId="67DA3030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El último día la reunión se centrará en el actual trabajo de la Red y </w:t>
      </w:r>
      <w:r w:rsidR="0095501E">
        <w:rPr>
          <w:lang w:val="es-ES_tradnl"/>
        </w:rPr>
        <w:t>su</w:t>
      </w:r>
      <w:r w:rsidRPr="008106EF">
        <w:rPr>
          <w:lang w:val="es-ES_tradnl"/>
        </w:rPr>
        <w:t xml:space="preserve"> futuro plan de acción. Para </w:t>
      </w:r>
      <w:r w:rsidR="0095501E">
        <w:rPr>
          <w:lang w:val="es-ES_tradnl"/>
        </w:rPr>
        <w:t xml:space="preserve">los documentos relativos a esta discusión, </w:t>
      </w:r>
      <w:r w:rsidRPr="008106EF">
        <w:rPr>
          <w:lang w:val="es-ES_tradnl"/>
        </w:rPr>
        <w:t xml:space="preserve">consulte </w:t>
      </w:r>
      <w:hyperlink r:id="rId13" w:tgtFrame="_blank" w:history="1">
        <w:r w:rsidR="0095501E" w:rsidRPr="0095501E">
          <w:rPr>
            <w:rStyle w:val="Hyperlink"/>
          </w:rPr>
          <w:t>http://www.ituc-csi.org/documentos-de-referencia?lang=es</w:t>
        </w:r>
      </w:hyperlink>
    </w:p>
    <w:p w14:paraId="15830118" w14:textId="576EE179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La </w:t>
      </w:r>
      <w:r w:rsidRPr="0095501E">
        <w:rPr>
          <w:b/>
          <w:lang w:val="es-ES_tradnl"/>
        </w:rPr>
        <w:t xml:space="preserve">mejora de la gobernanza de la </w:t>
      </w:r>
      <w:r w:rsidR="0095501E">
        <w:rPr>
          <w:b/>
          <w:lang w:val="es-ES_tradnl"/>
        </w:rPr>
        <w:t>R</w:t>
      </w:r>
      <w:r w:rsidRPr="0095501E">
        <w:rPr>
          <w:b/>
          <w:lang w:val="es-ES_tradnl"/>
        </w:rPr>
        <w:t xml:space="preserve">ed </w:t>
      </w:r>
      <w:r w:rsidRPr="00EC53A4">
        <w:rPr>
          <w:lang w:val="es-ES_tradnl"/>
        </w:rPr>
        <w:t>fue</w:t>
      </w:r>
      <w:r w:rsidRPr="008106EF">
        <w:rPr>
          <w:lang w:val="es-ES_tradnl"/>
        </w:rPr>
        <w:t xml:space="preserve"> una de las recomendaciones de la </w:t>
      </w:r>
      <w:hyperlink r:id="rId14" w:history="1">
        <w:r w:rsidRPr="0022545C">
          <w:rPr>
            <w:rStyle w:val="Hyperlink"/>
            <w:lang w:val="es-ES_tradnl"/>
          </w:rPr>
          <w:t>evaluación externa</w:t>
        </w:r>
      </w:hyperlink>
      <w:r w:rsidRPr="008106EF">
        <w:rPr>
          <w:lang w:val="es-ES_tradnl"/>
        </w:rPr>
        <w:t xml:space="preserve"> del período del programa inicial de la RSCD. La decisión de reforzar las organizaciones de la Red a nivel regional y </w:t>
      </w:r>
      <w:r w:rsidR="00D6128D">
        <w:rPr>
          <w:lang w:val="es-ES_tradnl"/>
        </w:rPr>
        <w:t>a</w:t>
      </w:r>
      <w:r w:rsidRPr="008106EF">
        <w:rPr>
          <w:lang w:val="es-ES_tradnl"/>
        </w:rPr>
        <w:t xml:space="preserve">umentar las voces del Sur en los debates de </w:t>
      </w:r>
      <w:r w:rsidR="00D6128D">
        <w:rPr>
          <w:lang w:val="es-ES_tradnl"/>
        </w:rPr>
        <w:t>incidencia</w:t>
      </w:r>
      <w:r w:rsidRPr="008106EF">
        <w:rPr>
          <w:lang w:val="es-ES_tradnl"/>
        </w:rPr>
        <w:t xml:space="preserve">, ha dado lugar a la opción de descentralizar las actividades </w:t>
      </w:r>
      <w:r w:rsidR="00D6128D">
        <w:rPr>
          <w:lang w:val="es-ES_tradnl"/>
        </w:rPr>
        <w:t xml:space="preserve">y las reuniones globales </w:t>
      </w:r>
      <w:r w:rsidRPr="008106EF">
        <w:rPr>
          <w:lang w:val="es-ES_tradnl"/>
        </w:rPr>
        <w:t xml:space="preserve">a las regiones del </w:t>
      </w:r>
      <w:r w:rsidR="00D6128D">
        <w:rPr>
          <w:lang w:val="es-ES_tradnl"/>
        </w:rPr>
        <w:t>S</w:t>
      </w:r>
      <w:r w:rsidRPr="008106EF">
        <w:rPr>
          <w:lang w:val="es-ES_tradnl"/>
        </w:rPr>
        <w:t xml:space="preserve">ur. Esto tiene un impacto en los recursos, sino también en </w:t>
      </w:r>
      <w:r w:rsidR="00D6128D">
        <w:rPr>
          <w:lang w:val="es-ES_tradnl"/>
        </w:rPr>
        <w:t>términos de multiplicidad de agendas</w:t>
      </w:r>
      <w:r w:rsidRPr="008106EF">
        <w:rPr>
          <w:lang w:val="es-ES_tradnl"/>
        </w:rPr>
        <w:t xml:space="preserve">, tiempos y capacidades. Por tanto, proponemos celebrar una sola </w:t>
      </w:r>
      <w:r w:rsidR="00D6128D">
        <w:rPr>
          <w:lang w:val="es-ES_tradnl"/>
        </w:rPr>
        <w:t>RG</w:t>
      </w:r>
      <w:r w:rsidRPr="008106EF">
        <w:rPr>
          <w:lang w:val="es-ES_tradnl"/>
        </w:rPr>
        <w:t xml:space="preserve"> un año y sustituir la segunda reunión </w:t>
      </w:r>
      <w:r w:rsidR="00D6128D">
        <w:rPr>
          <w:lang w:val="es-ES_tradnl"/>
        </w:rPr>
        <w:t xml:space="preserve">por </w:t>
      </w:r>
      <w:r w:rsidRPr="008106EF">
        <w:rPr>
          <w:lang w:val="es-ES_tradnl"/>
        </w:rPr>
        <w:t xml:space="preserve">un </w:t>
      </w:r>
      <w:hyperlink r:id="rId15" w:history="1">
        <w:r w:rsidR="00D6128D" w:rsidRPr="0022545C">
          <w:rPr>
            <w:rStyle w:val="Hyperlink"/>
            <w:lang w:val="es-ES_tradnl"/>
          </w:rPr>
          <w:t xml:space="preserve">Encuentro </w:t>
        </w:r>
        <w:r w:rsidRPr="0022545C">
          <w:rPr>
            <w:rStyle w:val="Hyperlink"/>
            <w:lang w:val="es-ES_tradnl"/>
          </w:rPr>
          <w:t>Abierto de Coordinación</w:t>
        </w:r>
      </w:hyperlink>
      <w:r w:rsidR="00D6128D">
        <w:rPr>
          <w:lang w:val="es-ES_tradnl"/>
        </w:rPr>
        <w:t xml:space="preserve">, </w:t>
      </w:r>
      <w:r w:rsidRPr="008106EF">
        <w:rPr>
          <w:lang w:val="es-ES_tradnl"/>
        </w:rPr>
        <w:t xml:space="preserve">complementado por un pequeño </w:t>
      </w:r>
      <w:r w:rsidR="00D6128D">
        <w:rPr>
          <w:lang w:val="es-ES_tradnl"/>
        </w:rPr>
        <w:t>G</w:t>
      </w:r>
      <w:r w:rsidRPr="008106EF">
        <w:rPr>
          <w:lang w:val="es-ES_tradnl"/>
        </w:rPr>
        <w:t xml:space="preserve">rupo de </w:t>
      </w:r>
      <w:r w:rsidR="00D6128D">
        <w:rPr>
          <w:lang w:val="es-ES_tradnl"/>
        </w:rPr>
        <w:t>Gobernanza</w:t>
      </w:r>
      <w:r w:rsidRPr="008106EF">
        <w:rPr>
          <w:lang w:val="es-ES_tradnl"/>
        </w:rPr>
        <w:t>.</w:t>
      </w:r>
    </w:p>
    <w:p w14:paraId="36F4A86C" w14:textId="0A680B98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El </w:t>
      </w:r>
      <w:hyperlink r:id="rId16" w:history="1">
        <w:r w:rsidRPr="0022545C">
          <w:rPr>
            <w:rStyle w:val="Hyperlink"/>
            <w:b/>
            <w:lang w:val="es-ES_tradnl"/>
          </w:rPr>
          <w:t>informe sobre las últimas actividades</w:t>
        </w:r>
      </w:hyperlink>
      <w:r w:rsidRPr="008106EF">
        <w:rPr>
          <w:lang w:val="es-ES_tradnl"/>
        </w:rPr>
        <w:t xml:space="preserve"> será presentado para evaluación y comentarios. </w:t>
      </w:r>
    </w:p>
    <w:p w14:paraId="5FDF51F1" w14:textId="7FDB8E2C" w:rsidR="002577F5" w:rsidRPr="008106EF" w:rsidRDefault="002577F5" w:rsidP="002577F5">
      <w:pPr>
        <w:rPr>
          <w:lang w:val="es-ES_tradnl"/>
        </w:rPr>
      </w:pPr>
      <w:r w:rsidRPr="008106EF">
        <w:rPr>
          <w:lang w:val="es-ES_tradnl"/>
        </w:rPr>
        <w:t xml:space="preserve">Una tarea importante de la </w:t>
      </w:r>
      <w:r w:rsidR="00D14310">
        <w:rPr>
          <w:lang w:val="es-ES_tradnl"/>
        </w:rPr>
        <w:t>RG</w:t>
      </w:r>
      <w:r w:rsidRPr="008106EF">
        <w:rPr>
          <w:lang w:val="es-ES_tradnl"/>
        </w:rPr>
        <w:t xml:space="preserve"> es establecer las orientaciones para la acción futur</w:t>
      </w:r>
      <w:r w:rsidR="00F96B99">
        <w:rPr>
          <w:lang w:val="es-ES_tradnl"/>
        </w:rPr>
        <w:t>a</w:t>
      </w:r>
      <w:r w:rsidRPr="008106EF">
        <w:rPr>
          <w:lang w:val="es-ES_tradnl"/>
        </w:rPr>
        <w:t xml:space="preserve">, además de discutir y aprobar el </w:t>
      </w:r>
      <w:hyperlink r:id="rId17" w:history="1">
        <w:r w:rsidRPr="0022545C">
          <w:rPr>
            <w:rStyle w:val="Hyperlink"/>
            <w:lang w:val="es-ES_tradnl"/>
          </w:rPr>
          <w:t>plan de acción para 2014-2015</w:t>
        </w:r>
      </w:hyperlink>
      <w:r w:rsidRPr="00F0111F">
        <w:rPr>
          <w:lang w:val="es-ES_tradnl"/>
        </w:rPr>
        <w:t xml:space="preserve">. En la última reunión en Slangerup (DK) </w:t>
      </w:r>
      <w:r w:rsidR="00F96B99" w:rsidRPr="00F0111F">
        <w:rPr>
          <w:lang w:val="es-ES_tradnl"/>
        </w:rPr>
        <w:t xml:space="preserve">fue aprobado </w:t>
      </w:r>
      <w:r w:rsidRPr="00F0111F">
        <w:rPr>
          <w:lang w:val="es-ES_tradnl"/>
        </w:rPr>
        <w:t xml:space="preserve">un </w:t>
      </w:r>
      <w:hyperlink r:id="rId18" w:history="1">
        <w:r w:rsidR="00F96B99" w:rsidRPr="0022545C">
          <w:rPr>
            <w:rStyle w:val="Hyperlink"/>
            <w:lang w:val="es-ES_tradnl"/>
          </w:rPr>
          <w:t>D</w:t>
        </w:r>
        <w:r w:rsidRPr="0022545C">
          <w:rPr>
            <w:rStyle w:val="Hyperlink"/>
            <w:lang w:val="es-ES_tradnl"/>
          </w:rPr>
          <w:t xml:space="preserve">ocumento </w:t>
        </w:r>
        <w:r w:rsidR="00F96B99" w:rsidRPr="0022545C">
          <w:rPr>
            <w:rStyle w:val="Hyperlink"/>
            <w:lang w:val="es-ES_tradnl"/>
          </w:rPr>
          <w:t>sobre E</w:t>
        </w:r>
        <w:r w:rsidRPr="0022545C">
          <w:rPr>
            <w:rStyle w:val="Hyperlink"/>
            <w:lang w:val="es-ES_tradnl"/>
          </w:rPr>
          <w:t xml:space="preserve">strategia </w:t>
        </w:r>
        <w:r w:rsidR="00F96B99" w:rsidRPr="0022545C">
          <w:rPr>
            <w:rStyle w:val="Hyperlink"/>
            <w:lang w:val="es-ES_tradnl"/>
          </w:rPr>
          <w:t>de Incidencia</w:t>
        </w:r>
      </w:hyperlink>
      <w:r w:rsidR="00F96B99" w:rsidRPr="00F0111F">
        <w:rPr>
          <w:lang w:val="es-ES_tradnl"/>
        </w:rPr>
        <w:t xml:space="preserve"> global</w:t>
      </w:r>
      <w:r w:rsidRPr="00F0111F">
        <w:rPr>
          <w:lang w:val="es-ES_tradnl"/>
        </w:rPr>
        <w:t xml:space="preserve">, así como la dirección </w:t>
      </w:r>
      <w:r w:rsidR="00E75413" w:rsidRPr="00F0111F">
        <w:rPr>
          <w:lang w:val="es-ES_tradnl"/>
        </w:rPr>
        <w:t xml:space="preserve">del </w:t>
      </w:r>
      <w:hyperlink r:id="rId19" w:history="1">
        <w:r w:rsidR="00E75413" w:rsidRPr="0022545C">
          <w:rPr>
            <w:rStyle w:val="Hyperlink"/>
            <w:lang w:val="es-ES_tradnl"/>
          </w:rPr>
          <w:t xml:space="preserve">trabajo sobre </w:t>
        </w:r>
        <w:proofErr w:type="spellStart"/>
        <w:r w:rsidR="00E75413" w:rsidRPr="0022545C">
          <w:rPr>
            <w:rStyle w:val="Hyperlink"/>
            <w:lang w:val="es-ES_tradnl"/>
          </w:rPr>
          <w:t>parte</w:t>
        </w:r>
        <w:bookmarkStart w:id="0" w:name="_GoBack"/>
        <w:bookmarkEnd w:id="0"/>
        <w:r w:rsidR="00E75413" w:rsidRPr="0022545C">
          <w:rPr>
            <w:rStyle w:val="Hyperlink"/>
            <w:lang w:val="es-ES_tradnl"/>
          </w:rPr>
          <w:t>nariados</w:t>
        </w:r>
        <w:proofErr w:type="spellEnd"/>
      </w:hyperlink>
      <w:r w:rsidRPr="00F0111F">
        <w:rPr>
          <w:lang w:val="es-ES_tradnl"/>
        </w:rPr>
        <w:t>. Sobre</w:t>
      </w:r>
      <w:r w:rsidRPr="008106EF">
        <w:rPr>
          <w:lang w:val="es-ES_tradnl"/>
        </w:rPr>
        <w:t xml:space="preserve"> la base de esas orientaciones un </w:t>
      </w:r>
      <w:r w:rsidRPr="00E75413">
        <w:rPr>
          <w:b/>
          <w:lang w:val="es-ES_tradnl"/>
        </w:rPr>
        <w:t>borrador de plan de acción</w:t>
      </w:r>
      <w:r w:rsidRPr="008106EF">
        <w:rPr>
          <w:lang w:val="es-ES_tradnl"/>
        </w:rPr>
        <w:t xml:space="preserve"> se prese</w:t>
      </w:r>
      <w:r w:rsidR="00CC33C1">
        <w:rPr>
          <w:lang w:val="es-ES_tradnl"/>
        </w:rPr>
        <w:t>ntará para aprobación de la RG.</w:t>
      </w:r>
    </w:p>
    <w:p w14:paraId="57124FBA" w14:textId="6CE1C9C8" w:rsidR="002577F5" w:rsidRPr="00E75413" w:rsidRDefault="002577F5" w:rsidP="00E75413">
      <w:pPr>
        <w:rPr>
          <w:lang w:val="es-ES"/>
        </w:rPr>
      </w:pPr>
      <w:r w:rsidRPr="008106EF">
        <w:rPr>
          <w:lang w:val="es-ES_tradnl"/>
        </w:rPr>
        <w:t>Finalmente se invita a Reunión General para discutir y sugerir orientaciones y resultados potenciales sobre la cooperación y las alianzas</w:t>
      </w:r>
      <w:r w:rsidR="00E75413">
        <w:rPr>
          <w:lang w:val="es-ES_tradnl"/>
        </w:rPr>
        <w:t xml:space="preserve">, a ser considerados </w:t>
      </w:r>
      <w:r w:rsidRPr="008106EF">
        <w:rPr>
          <w:lang w:val="es-ES_tradnl"/>
        </w:rPr>
        <w:t xml:space="preserve">en el tercero Congreso de la CSI que delineará el plan de acción global de la CSI en los próximos años. </w:t>
      </w:r>
    </w:p>
    <w:p w14:paraId="74898715" w14:textId="77777777" w:rsidR="00BE5C4B" w:rsidRPr="00E75413" w:rsidRDefault="00BE5C4B" w:rsidP="00654EAE">
      <w:pPr>
        <w:jc w:val="left"/>
        <w:rPr>
          <w:lang w:val="es-ES"/>
        </w:rPr>
      </w:pPr>
    </w:p>
    <w:p w14:paraId="5B101BC6" w14:textId="51344936" w:rsidR="00BE5C4B" w:rsidRPr="00E75413" w:rsidRDefault="00E75413" w:rsidP="00BE5C4B">
      <w:pPr>
        <w:pBdr>
          <w:top w:val="single" w:sz="4" w:space="1" w:color="auto"/>
        </w:pBdr>
        <w:spacing w:before="360" w:after="120"/>
        <w:jc w:val="center"/>
        <w:rPr>
          <w:lang w:val="es-ES"/>
        </w:rPr>
      </w:pPr>
      <w:r w:rsidRPr="00E75413">
        <w:rPr>
          <w:lang w:val="es-ES"/>
        </w:rPr>
        <w:lastRenderedPageBreak/>
        <w:t>Encuentre todos los documentos de la Reunión Gener</w:t>
      </w:r>
      <w:r>
        <w:rPr>
          <w:lang w:val="es-ES"/>
        </w:rPr>
        <w:t>al en la Página Web de la RSCD:</w:t>
      </w:r>
    </w:p>
    <w:p w14:paraId="1406718B" w14:textId="77777777" w:rsidR="008632EA" w:rsidRPr="00E75413" w:rsidRDefault="002A584A" w:rsidP="00BE5C4B">
      <w:pPr>
        <w:pBdr>
          <w:top w:val="single" w:sz="4" w:space="1" w:color="auto"/>
        </w:pBdr>
        <w:jc w:val="center"/>
        <w:rPr>
          <w:lang w:val="es-ES"/>
        </w:rPr>
      </w:pPr>
      <w:hyperlink r:id="rId20" w:history="1">
        <w:r w:rsidR="00064DFD" w:rsidRPr="00E75413">
          <w:rPr>
            <w:rStyle w:val="Hyperlink"/>
            <w:lang w:val="es-ES"/>
          </w:rPr>
          <w:t>http://www.ituc-csi.org/background-documents-14332</w:t>
        </w:r>
      </w:hyperlink>
    </w:p>
    <w:sectPr w:rsidR="008632EA" w:rsidRPr="00E7541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A82FC" w14:textId="77777777" w:rsidR="002A584A" w:rsidRDefault="002A584A" w:rsidP="00654EAE">
      <w:pPr>
        <w:spacing w:after="0" w:line="240" w:lineRule="auto"/>
      </w:pPr>
      <w:r>
        <w:separator/>
      </w:r>
    </w:p>
  </w:endnote>
  <w:endnote w:type="continuationSeparator" w:id="0">
    <w:p w14:paraId="7593E8EA" w14:textId="77777777" w:rsidR="002A584A" w:rsidRDefault="002A584A" w:rsidP="006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5BB" w14:textId="77777777" w:rsidR="002577F5" w:rsidRPr="007851BF" w:rsidRDefault="002577F5" w:rsidP="007851BF">
    <w:pPr>
      <w:pStyle w:val="Footer"/>
      <w:pBdr>
        <w:top w:val="single" w:sz="4" w:space="1" w:color="auto"/>
      </w:pBdr>
      <w:rPr>
        <w:color w:val="E36C0A" w:themeColor="accent6" w:themeShade="BF"/>
      </w:rPr>
    </w:pPr>
    <w:r w:rsidRPr="007851BF">
      <w:rPr>
        <w:color w:val="E36C0A" w:themeColor="accent6" w:themeShade="BF"/>
      </w:rPr>
      <w:t>ANNOTATED AGENDA</w:t>
    </w:r>
    <w:r w:rsidRPr="007851BF">
      <w:rPr>
        <w:color w:val="E36C0A" w:themeColor="accent6" w:themeShade="BF"/>
      </w:rPr>
      <w:tab/>
    </w:r>
    <w:r>
      <w:rPr>
        <w:color w:val="E36C0A" w:themeColor="accent6" w:themeShade="BF"/>
      </w:rPr>
      <w:t xml:space="preserve">GENERAL MEETING </w:t>
    </w:r>
    <w:r>
      <w:rPr>
        <w:color w:val="E36C0A" w:themeColor="accent6" w:themeShade="BF"/>
      </w:rPr>
      <w:tab/>
      <w:t>SAO PAULO MARCH</w:t>
    </w:r>
    <w:r w:rsidRPr="007851BF">
      <w:rPr>
        <w:color w:val="E36C0A" w:themeColor="accent6" w:themeShade="BF"/>
      </w:rPr>
      <w:t xml:space="preserve"> 18-20 201</w:t>
    </w:r>
    <w:r>
      <w:rPr>
        <w:color w:val="E36C0A" w:themeColor="accent6" w:themeShade="BF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DF8D" w14:textId="77777777" w:rsidR="002A584A" w:rsidRDefault="002A584A" w:rsidP="00654EAE">
      <w:pPr>
        <w:spacing w:after="0" w:line="240" w:lineRule="auto"/>
      </w:pPr>
      <w:r>
        <w:separator/>
      </w:r>
    </w:p>
  </w:footnote>
  <w:footnote w:type="continuationSeparator" w:id="0">
    <w:p w14:paraId="107F1E31" w14:textId="77777777" w:rsidR="002A584A" w:rsidRDefault="002A584A" w:rsidP="0065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9" w:type="dxa"/>
      <w:jc w:val="center"/>
      <w:tblInd w:w="-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71"/>
      <w:gridCol w:w="222"/>
    </w:tblGrid>
    <w:tr w:rsidR="002577F5" w14:paraId="73E1B68C" w14:textId="77777777" w:rsidTr="007851BF">
      <w:trPr>
        <w:jc w:val="center"/>
      </w:trPr>
      <w:tc>
        <w:tcPr>
          <w:tcW w:w="9537" w:type="dxa"/>
        </w:tcPr>
        <w:tbl>
          <w:tblPr>
            <w:tblStyle w:val="TableGrid"/>
            <w:tblW w:w="9429" w:type="dxa"/>
            <w:tblInd w:w="626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76"/>
            <w:gridCol w:w="4653"/>
          </w:tblGrid>
          <w:tr w:rsidR="002577F5" w14:paraId="20FDC68C" w14:textId="77777777" w:rsidTr="00DC707D">
            <w:trPr>
              <w:trHeight w:val="1553"/>
            </w:trPr>
            <w:tc>
              <w:tcPr>
                <w:tcW w:w="4776" w:type="dxa"/>
              </w:tcPr>
              <w:p w14:paraId="16746781" w14:textId="77777777" w:rsidR="002577F5" w:rsidRDefault="002577F5" w:rsidP="007851BF">
                <w:pPr>
                  <w:pStyle w:val="Header"/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 wp14:anchorId="4D301280" wp14:editId="48428BAC">
                      <wp:extent cx="1035050" cy="845904"/>
                      <wp:effectExtent l="0" t="0" r="0" b="0"/>
                      <wp:docPr id="1" name="Picture 1" descr="C:\Users\Dereymaeker\AppData\Local\Microsoft\Windows\Temporary Internet Files\Content.Outlook\5W28EJUP\Logo_Reunion_Geral_Cor_I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reymaeker\AppData\Local\Microsoft\Windows\Temporary Internet Files\Content.Outlook\5W28EJUP\Logo_Reunion_Geral_Cor_I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050" cy="845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53" w:type="dxa"/>
                <w:vAlign w:val="center"/>
              </w:tcPr>
              <w:p w14:paraId="0AB370DF" w14:textId="77777777" w:rsidR="002577F5" w:rsidRDefault="002577F5" w:rsidP="00DC707D">
                <w:pPr>
                  <w:pStyle w:val="Header"/>
                  <w:jc w:val="center"/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 wp14:anchorId="3BF510CA" wp14:editId="4391DDEA">
                      <wp:extent cx="1579500" cy="571500"/>
                      <wp:effectExtent l="0" t="0" r="190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udcn old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657" cy="573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2B6B0CA" w14:textId="77777777" w:rsidR="002577F5" w:rsidRPr="00654EAE" w:rsidRDefault="002577F5" w:rsidP="00DC707D">
          <w:pPr>
            <w:jc w:val="left"/>
          </w:pPr>
        </w:p>
      </w:tc>
      <w:tc>
        <w:tcPr>
          <w:tcW w:w="222" w:type="dxa"/>
        </w:tcPr>
        <w:p w14:paraId="75A91D9B" w14:textId="77777777" w:rsidR="002577F5" w:rsidRDefault="002577F5">
          <w:pPr>
            <w:pStyle w:val="Header"/>
          </w:pPr>
        </w:p>
      </w:tc>
    </w:tr>
  </w:tbl>
  <w:p w14:paraId="352500C9" w14:textId="77777777" w:rsidR="002577F5" w:rsidRDefault="00257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AE"/>
    <w:rsid w:val="000516BE"/>
    <w:rsid w:val="00056C0A"/>
    <w:rsid w:val="00064DFD"/>
    <w:rsid w:val="000E2885"/>
    <w:rsid w:val="0022545C"/>
    <w:rsid w:val="002577F5"/>
    <w:rsid w:val="002953D0"/>
    <w:rsid w:val="002A584A"/>
    <w:rsid w:val="002D556F"/>
    <w:rsid w:val="003A5106"/>
    <w:rsid w:val="003A554F"/>
    <w:rsid w:val="003B5EE3"/>
    <w:rsid w:val="004B4DA0"/>
    <w:rsid w:val="005436DF"/>
    <w:rsid w:val="005A6DBC"/>
    <w:rsid w:val="00654EAE"/>
    <w:rsid w:val="00696729"/>
    <w:rsid w:val="00696DF0"/>
    <w:rsid w:val="007851BF"/>
    <w:rsid w:val="007E6918"/>
    <w:rsid w:val="008106EF"/>
    <w:rsid w:val="008348BF"/>
    <w:rsid w:val="008632EA"/>
    <w:rsid w:val="00890D20"/>
    <w:rsid w:val="008A751D"/>
    <w:rsid w:val="008B280D"/>
    <w:rsid w:val="008C7665"/>
    <w:rsid w:val="009078BF"/>
    <w:rsid w:val="00951C1D"/>
    <w:rsid w:val="0095501E"/>
    <w:rsid w:val="0098500C"/>
    <w:rsid w:val="00991121"/>
    <w:rsid w:val="00A11F64"/>
    <w:rsid w:val="00A35E4B"/>
    <w:rsid w:val="00A81910"/>
    <w:rsid w:val="00AD0501"/>
    <w:rsid w:val="00B0291C"/>
    <w:rsid w:val="00B474BE"/>
    <w:rsid w:val="00B86B91"/>
    <w:rsid w:val="00BA2587"/>
    <w:rsid w:val="00BC5AE6"/>
    <w:rsid w:val="00BE5C4B"/>
    <w:rsid w:val="00C74688"/>
    <w:rsid w:val="00CB640D"/>
    <w:rsid w:val="00CC33C1"/>
    <w:rsid w:val="00D025C0"/>
    <w:rsid w:val="00D14310"/>
    <w:rsid w:val="00D6128D"/>
    <w:rsid w:val="00D614D6"/>
    <w:rsid w:val="00DC707D"/>
    <w:rsid w:val="00E5472F"/>
    <w:rsid w:val="00E75413"/>
    <w:rsid w:val="00E80517"/>
    <w:rsid w:val="00EC53A4"/>
    <w:rsid w:val="00EC5F6B"/>
    <w:rsid w:val="00EC7CCD"/>
    <w:rsid w:val="00EF4177"/>
    <w:rsid w:val="00F0111F"/>
    <w:rsid w:val="00F01945"/>
    <w:rsid w:val="00F27ADC"/>
    <w:rsid w:val="00F44E5E"/>
    <w:rsid w:val="00F96B99"/>
    <w:rsid w:val="00FA01E8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3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E"/>
    <w:pPr>
      <w:jc w:val="both"/>
    </w:pPr>
    <w:rPr>
      <w:rFonts w:ascii="Cambria" w:eastAsia="Calibri" w:hAnsi="Cambria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A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EAE"/>
  </w:style>
  <w:style w:type="paragraph" w:styleId="Footer">
    <w:name w:val="footer"/>
    <w:basedOn w:val="Normal"/>
    <w:link w:val="Foot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4EAE"/>
  </w:style>
  <w:style w:type="table" w:styleId="TableGrid">
    <w:name w:val="Table Grid"/>
    <w:basedOn w:val="TableNormal"/>
    <w:uiPriority w:val="59"/>
    <w:rsid w:val="0065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654EAE"/>
    <w:pPr>
      <w:spacing w:before="600" w:after="120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styleId="Hyperlink">
    <w:name w:val="Hyperlink"/>
    <w:basedOn w:val="DefaultParagraphFont"/>
    <w:uiPriority w:val="99"/>
    <w:unhideWhenUsed/>
    <w:rsid w:val="00B86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E"/>
    <w:pPr>
      <w:jc w:val="both"/>
    </w:pPr>
    <w:rPr>
      <w:rFonts w:ascii="Cambria" w:eastAsia="Calibri" w:hAnsi="Cambria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A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EAE"/>
  </w:style>
  <w:style w:type="paragraph" w:styleId="Footer">
    <w:name w:val="footer"/>
    <w:basedOn w:val="Normal"/>
    <w:link w:val="Foot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4EAE"/>
  </w:style>
  <w:style w:type="table" w:styleId="TableGrid">
    <w:name w:val="Table Grid"/>
    <w:basedOn w:val="TableNormal"/>
    <w:uiPriority w:val="59"/>
    <w:rsid w:val="0065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654EAE"/>
    <w:pPr>
      <w:spacing w:before="600" w:after="120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styleId="Hyperlink">
    <w:name w:val="Hyperlink"/>
    <w:basedOn w:val="DefaultParagraphFont"/>
    <w:uiPriority w:val="99"/>
    <w:unhideWhenUsed/>
    <w:rsid w:val="00B86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la-csa-publica-estrategia-sobre-la?lang=es" TargetMode="External"/><Relationship Id="rId13" Type="http://schemas.openxmlformats.org/officeDocument/2006/relationships/hyperlink" Target="http://www.ituc-csi.org/documentos-de-referencia?lang=es" TargetMode="External"/><Relationship Id="rId18" Type="http://schemas.openxmlformats.org/officeDocument/2006/relationships/hyperlink" Target="http://www.ituc-csi.org/IMG/docx/tudcn_advocacy_strategy_sp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stitutolula.org/eng/?tag=lula-institute" TargetMode="External"/><Relationship Id="rId12" Type="http://schemas.openxmlformats.org/officeDocument/2006/relationships/hyperlink" Target="http://www.ituc-csi.org/IMG/pdf/first_draft_of_the_mexico_hlm_communiquei_march_3_2014_.pdf" TargetMode="External"/><Relationship Id="rId17" Type="http://schemas.openxmlformats.org/officeDocument/2006/relationships/hyperlink" Target="http://www.ituc-csi.org/IMG/docx/tudcn_action_plan_2014-2015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uc-csi.org/IMG/docx/tudcn_activity_report_november_2013_-_march_2014.docx" TargetMode="External"/><Relationship Id="rId20" Type="http://schemas.openxmlformats.org/officeDocument/2006/relationships/hyperlink" Target="http://www.ituc-csi.org/background-documents-1433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c-csi.org/IMG/pdf/focus_areas_document-_owg_sdgs_-_21_february_2014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c-csi.org/IMG/docx/future_mandate_ocm_and_gg_e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c-csi.org/IMG/docx/update_on_post_2015.docx" TargetMode="External"/><Relationship Id="rId19" Type="http://schemas.openxmlformats.org/officeDocument/2006/relationships/hyperlink" Target="http://www.ituc-csi.org/IMG/docx/sp_tudcn_strategies_on_tus_partnership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c-csi.org/IMG/docx/the_private_sector_and_its_role_in_development_-_a_trade_union_perspective.docx" TargetMode="External"/><Relationship Id="rId14" Type="http://schemas.openxmlformats.org/officeDocument/2006/relationships/hyperlink" Target="http://www.ituc-csi.org/IMG/doc/executive_summary_v_15_april_2013_es.do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995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Dereymaeker, Jan</dc:creator>
  <cp:lastModifiedBy>Marion Levillain</cp:lastModifiedBy>
  <cp:revision>3</cp:revision>
  <dcterms:created xsi:type="dcterms:W3CDTF">2014-03-17T09:02:00Z</dcterms:created>
  <dcterms:modified xsi:type="dcterms:W3CDTF">2014-03-17T09:17:00Z</dcterms:modified>
</cp:coreProperties>
</file>