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F7" w:rsidRPr="00BC6AC9" w:rsidRDefault="004D327E" w:rsidP="00B338F3">
      <w:pPr>
        <w:jc w:val="center"/>
        <w:rPr>
          <w:lang w:val="es-ES"/>
        </w:rPr>
      </w:pPr>
      <w:r>
        <w:rPr>
          <w:noProof/>
        </w:rPr>
        <w:drawing>
          <wp:inline distT="0" distB="0" distL="0" distR="0">
            <wp:extent cx="1504950" cy="581025"/>
            <wp:effectExtent l="0" t="0" r="0" b="9525"/>
            <wp:docPr id="3" name="Picture 0" descr="Pict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581025"/>
                    </a:xfrm>
                    <a:prstGeom prst="rect">
                      <a:avLst/>
                    </a:prstGeom>
                    <a:noFill/>
                    <a:ln>
                      <a:noFill/>
                    </a:ln>
                  </pic:spPr>
                </pic:pic>
              </a:graphicData>
            </a:graphic>
          </wp:inline>
        </w:drawing>
      </w:r>
    </w:p>
    <w:p w:rsidR="00AC6DF7" w:rsidRPr="00BC6AC9" w:rsidRDefault="00AC6DF7" w:rsidP="00CE2738">
      <w:pPr>
        <w:pStyle w:val="Title"/>
        <w:spacing w:after="120"/>
        <w:jc w:val="center"/>
        <w:rPr>
          <w:b/>
          <w:bCs/>
          <w:sz w:val="36"/>
          <w:szCs w:val="36"/>
          <w:lang w:val="es-ES"/>
        </w:rPr>
      </w:pPr>
    </w:p>
    <w:p w:rsidR="00AC6DF7" w:rsidRPr="00BC6AC9" w:rsidRDefault="00AC6DF7" w:rsidP="000E5730">
      <w:pPr>
        <w:pStyle w:val="Title"/>
        <w:spacing w:after="120"/>
        <w:jc w:val="center"/>
        <w:rPr>
          <w:b/>
          <w:bCs/>
          <w:sz w:val="36"/>
          <w:szCs w:val="36"/>
          <w:lang w:val="es-ES"/>
        </w:rPr>
      </w:pPr>
      <w:r>
        <w:rPr>
          <w:b/>
          <w:bCs/>
          <w:sz w:val="36"/>
          <w:szCs w:val="36"/>
          <w:lang w:val="es-ES"/>
        </w:rPr>
        <w:t>Taller de la RSCD sobre Educación para el Desarrollo</w:t>
      </w:r>
    </w:p>
    <w:p w:rsidR="00AC6DF7" w:rsidRPr="00BC6AC9" w:rsidRDefault="00AC6DF7" w:rsidP="000E5730">
      <w:pPr>
        <w:pStyle w:val="Title"/>
        <w:spacing w:after="120"/>
        <w:jc w:val="center"/>
        <w:rPr>
          <w:b/>
          <w:bCs/>
          <w:sz w:val="28"/>
          <w:szCs w:val="28"/>
          <w:lang w:val="es-ES"/>
        </w:rPr>
      </w:pPr>
      <w:r w:rsidRPr="00BC6AC9">
        <w:rPr>
          <w:b/>
          <w:bCs/>
          <w:sz w:val="28"/>
          <w:szCs w:val="28"/>
          <w:lang w:val="es-ES"/>
        </w:rPr>
        <w:t>“</w:t>
      </w:r>
      <w:r>
        <w:rPr>
          <w:b/>
          <w:bCs/>
          <w:sz w:val="28"/>
          <w:szCs w:val="28"/>
          <w:lang w:val="es-ES"/>
        </w:rPr>
        <w:t>Hacia un programa sindical común</w:t>
      </w:r>
      <w:r w:rsidRPr="00BC6AC9">
        <w:rPr>
          <w:b/>
          <w:bCs/>
          <w:sz w:val="28"/>
          <w:szCs w:val="28"/>
          <w:lang w:val="es-ES"/>
        </w:rPr>
        <w:t>”</w:t>
      </w:r>
    </w:p>
    <w:p w:rsidR="00AC6DF7" w:rsidRPr="00BC6AC9" w:rsidRDefault="00AC6DF7" w:rsidP="006A395B">
      <w:pPr>
        <w:spacing w:after="0"/>
        <w:jc w:val="center"/>
        <w:rPr>
          <w:rFonts w:ascii="Arial" w:hAnsi="Arial" w:cs="Arial"/>
          <w:sz w:val="16"/>
          <w:szCs w:val="16"/>
          <w:lang w:val="es-ES"/>
        </w:rPr>
      </w:pPr>
      <w:r>
        <w:rPr>
          <w:rFonts w:ascii="Arial" w:hAnsi="Arial" w:cs="Arial"/>
          <w:sz w:val="16"/>
          <w:szCs w:val="16"/>
          <w:lang w:val="es-ES"/>
        </w:rPr>
        <w:t>12 y 13 de septiembre de</w:t>
      </w:r>
      <w:r w:rsidRPr="00BC6AC9">
        <w:rPr>
          <w:rFonts w:ascii="Arial" w:hAnsi="Arial" w:cs="Arial"/>
          <w:sz w:val="16"/>
          <w:szCs w:val="16"/>
          <w:lang w:val="es-ES"/>
        </w:rPr>
        <w:t xml:space="preserve"> 2013</w:t>
      </w:r>
    </w:p>
    <w:p w:rsidR="00AC6DF7" w:rsidRPr="00BC6AC9" w:rsidRDefault="00AC6DF7" w:rsidP="006A395B">
      <w:pPr>
        <w:spacing w:after="0"/>
        <w:jc w:val="center"/>
        <w:rPr>
          <w:rFonts w:ascii="Arial" w:hAnsi="Arial" w:cs="Arial"/>
          <w:sz w:val="16"/>
          <w:szCs w:val="16"/>
          <w:lang w:val="es-ES"/>
        </w:rPr>
      </w:pPr>
      <w:r w:rsidRPr="00BC6AC9">
        <w:rPr>
          <w:rFonts w:ascii="Arial" w:hAnsi="Arial" w:cs="Arial"/>
          <w:sz w:val="16"/>
          <w:szCs w:val="16"/>
          <w:lang w:val="es-ES"/>
        </w:rPr>
        <w:t xml:space="preserve">Centro </w:t>
      </w:r>
      <w:proofErr w:type="spellStart"/>
      <w:r w:rsidRPr="00BC6AC9">
        <w:rPr>
          <w:rFonts w:ascii="Arial" w:hAnsi="Arial" w:cs="Arial"/>
          <w:sz w:val="16"/>
          <w:szCs w:val="16"/>
          <w:lang w:val="es-ES"/>
        </w:rPr>
        <w:t>Studi</w:t>
      </w:r>
      <w:proofErr w:type="spellEnd"/>
      <w:r w:rsidRPr="00BC6AC9">
        <w:rPr>
          <w:rFonts w:ascii="Arial" w:hAnsi="Arial" w:cs="Arial"/>
          <w:sz w:val="16"/>
          <w:szCs w:val="16"/>
          <w:lang w:val="es-ES"/>
        </w:rPr>
        <w:t xml:space="preserve"> CISL </w:t>
      </w:r>
      <w:hyperlink r:id="rId10" w:history="1">
        <w:r w:rsidRPr="00BC6AC9">
          <w:rPr>
            <w:rStyle w:val="Hyperlink"/>
            <w:sz w:val="16"/>
            <w:szCs w:val="16"/>
            <w:lang w:val="es-ES"/>
          </w:rPr>
          <w:t>http://www.centrostudi.cisl.it/</w:t>
        </w:r>
      </w:hyperlink>
    </w:p>
    <w:p w:rsidR="00AC6DF7" w:rsidRPr="00BC6AC9" w:rsidRDefault="00AC6DF7" w:rsidP="00381C4F">
      <w:pPr>
        <w:spacing w:after="0"/>
        <w:jc w:val="center"/>
        <w:rPr>
          <w:rFonts w:ascii="Cambria" w:hAnsi="Cambria" w:cs="Cambria"/>
          <w:smallCaps/>
          <w:color w:val="17365D"/>
          <w:kern w:val="28"/>
          <w:sz w:val="16"/>
          <w:szCs w:val="16"/>
          <w:lang w:val="es-ES"/>
        </w:rPr>
      </w:pPr>
      <w:proofErr w:type="spellStart"/>
      <w:r w:rsidRPr="00BC6AC9">
        <w:rPr>
          <w:rFonts w:ascii="Arial" w:hAnsi="Arial" w:cs="Arial"/>
          <w:sz w:val="16"/>
          <w:szCs w:val="16"/>
          <w:lang w:val="es-ES"/>
        </w:rPr>
        <w:t>Via</w:t>
      </w:r>
      <w:proofErr w:type="spellEnd"/>
      <w:r w:rsidRPr="00BC6AC9">
        <w:rPr>
          <w:rFonts w:ascii="Arial" w:hAnsi="Arial" w:cs="Arial"/>
          <w:sz w:val="16"/>
          <w:szCs w:val="16"/>
          <w:lang w:val="es-ES"/>
        </w:rPr>
        <w:t xml:space="preserve"> </w:t>
      </w:r>
      <w:proofErr w:type="spellStart"/>
      <w:r w:rsidRPr="00BC6AC9">
        <w:rPr>
          <w:rFonts w:ascii="Arial" w:hAnsi="Arial" w:cs="Arial"/>
          <w:sz w:val="16"/>
          <w:szCs w:val="16"/>
          <w:lang w:val="es-ES"/>
        </w:rPr>
        <w:t>della</w:t>
      </w:r>
      <w:proofErr w:type="spellEnd"/>
      <w:r w:rsidRPr="00BC6AC9">
        <w:rPr>
          <w:rFonts w:ascii="Arial" w:hAnsi="Arial" w:cs="Arial"/>
          <w:sz w:val="16"/>
          <w:szCs w:val="16"/>
          <w:lang w:val="es-ES"/>
        </w:rPr>
        <w:t xml:space="preserve"> Piazzola, 71 - 50133 F</w:t>
      </w:r>
      <w:r>
        <w:rPr>
          <w:rFonts w:ascii="Arial" w:hAnsi="Arial" w:cs="Arial"/>
          <w:sz w:val="16"/>
          <w:szCs w:val="16"/>
          <w:lang w:val="es-ES"/>
        </w:rPr>
        <w:t>lorencia, Italia</w:t>
      </w:r>
    </w:p>
    <w:p w:rsidR="00AC6DF7" w:rsidRPr="00BC6AC9" w:rsidRDefault="00AC6DF7" w:rsidP="00381C4F">
      <w:pPr>
        <w:spacing w:after="0"/>
        <w:jc w:val="center"/>
        <w:rPr>
          <w:rFonts w:ascii="Cambria" w:hAnsi="Cambria" w:cs="Cambria"/>
          <w:smallCaps/>
          <w:color w:val="17365D"/>
          <w:kern w:val="28"/>
          <w:sz w:val="24"/>
          <w:szCs w:val="24"/>
          <w:lang w:val="es-ES"/>
        </w:rPr>
      </w:pPr>
    </w:p>
    <w:p w:rsidR="00AC6DF7" w:rsidRPr="00BC6AC9" w:rsidRDefault="00AC6DF7" w:rsidP="000F3EFF">
      <w:pPr>
        <w:spacing w:after="0"/>
        <w:jc w:val="center"/>
        <w:rPr>
          <w:rFonts w:ascii="Cambria" w:hAnsi="Cambria" w:cs="Cambria"/>
          <w:smallCaps/>
          <w:color w:val="17365D"/>
          <w:kern w:val="28"/>
          <w:sz w:val="32"/>
          <w:szCs w:val="32"/>
          <w:lang w:val="es-ES"/>
        </w:rPr>
      </w:pPr>
      <w:r>
        <w:rPr>
          <w:rFonts w:ascii="Cambria" w:hAnsi="Cambria" w:cs="Cambria"/>
          <w:smallCaps/>
          <w:color w:val="17365D"/>
          <w:kern w:val="28"/>
          <w:sz w:val="32"/>
          <w:szCs w:val="32"/>
          <w:lang w:val="es-ES"/>
        </w:rPr>
        <w:t>Nota Introductoria</w:t>
      </w:r>
    </w:p>
    <w:p w:rsidR="00AC6DF7" w:rsidRPr="00BC6AC9" w:rsidRDefault="00AC6DF7" w:rsidP="000F3EFF">
      <w:pPr>
        <w:rPr>
          <w:b/>
          <w:bCs/>
          <w:i/>
          <w:iCs/>
          <w:lang w:val="es-ES"/>
        </w:rPr>
      </w:pPr>
    </w:p>
    <w:p w:rsidR="00AC6DF7" w:rsidRPr="00BC6AC9" w:rsidRDefault="00AC6DF7" w:rsidP="000F3EFF">
      <w:pPr>
        <w:rPr>
          <w:b/>
          <w:bCs/>
          <w:i/>
          <w:iCs/>
          <w:lang w:val="es-ES"/>
        </w:rPr>
      </w:pPr>
      <w:r>
        <w:rPr>
          <w:b/>
          <w:bCs/>
          <w:i/>
          <w:iCs/>
          <w:lang w:val="es-ES"/>
        </w:rPr>
        <w:t>Contexto</w:t>
      </w:r>
      <w:r w:rsidRPr="00BC6AC9">
        <w:rPr>
          <w:b/>
          <w:bCs/>
          <w:i/>
          <w:iCs/>
          <w:lang w:val="es-ES"/>
        </w:rPr>
        <w:t xml:space="preserve"> </w:t>
      </w:r>
    </w:p>
    <w:p w:rsidR="00AC6DF7" w:rsidRPr="00BC6AC9" w:rsidRDefault="00AC6DF7" w:rsidP="001E5753">
      <w:pPr>
        <w:ind w:right="-731"/>
        <w:jc w:val="both"/>
        <w:rPr>
          <w:lang w:val="es-ES"/>
        </w:rPr>
      </w:pPr>
      <w:r>
        <w:rPr>
          <w:lang w:val="es-ES"/>
        </w:rPr>
        <w:t>La Comisión Europea lanzará en breve una convocatoria de propuestas con arreglo al programa Educación para el Desarrollo y Sensibilización (ED-S). El objetivo de ED-S es informar a los ciudadanos y ciudadanas de la UE acerca de cuestiones de desarrollo, movilizando un mayor apoyo público para la acción contra la pobreza, proporcionándoles instrumentos para participar de manera crítica en cuestiones de desarrollo global y fomentar nuevas ideas, y mediante un cambio de actitudes. El programa es ejecutado por actores de la sociedad civil y autoridades locales de la UE y de países candidatos a la adhesión</w:t>
      </w:r>
      <w:r w:rsidRPr="00BC6AC9">
        <w:rPr>
          <w:rStyle w:val="FootnoteReference"/>
          <w:lang w:val="es-ES"/>
        </w:rPr>
        <w:footnoteReference w:id="1"/>
      </w:r>
      <w:r w:rsidRPr="00BC6AC9">
        <w:rPr>
          <w:lang w:val="es-ES"/>
        </w:rPr>
        <w:t xml:space="preserve">. </w:t>
      </w:r>
    </w:p>
    <w:p w:rsidR="00AC6DF7" w:rsidRPr="00BC6AC9" w:rsidRDefault="00AC6DF7" w:rsidP="00E94B38">
      <w:pPr>
        <w:ind w:right="-731"/>
        <w:jc w:val="both"/>
        <w:rPr>
          <w:lang w:val="es-ES"/>
        </w:rPr>
      </w:pPr>
      <w:r>
        <w:rPr>
          <w:lang w:val="es-ES"/>
        </w:rPr>
        <w:t xml:space="preserve">Tras estudios recientes y una evaluación del programa, la CE está desarrollando un nuevo enfoque de políticas, que está previsto se adopte a finales de </w:t>
      </w:r>
      <w:r w:rsidRPr="00BC6AC9">
        <w:rPr>
          <w:lang w:val="es-ES"/>
        </w:rPr>
        <w:t>2014</w:t>
      </w:r>
      <w:r w:rsidRPr="00BC6AC9">
        <w:rPr>
          <w:rStyle w:val="FootnoteReference"/>
          <w:lang w:val="es-ES"/>
        </w:rPr>
        <w:footnoteReference w:id="2"/>
      </w:r>
      <w:r w:rsidRPr="00BC6AC9">
        <w:rPr>
          <w:lang w:val="es-ES"/>
        </w:rPr>
        <w:t xml:space="preserve">. </w:t>
      </w:r>
    </w:p>
    <w:p w:rsidR="00AC6DF7" w:rsidRPr="00BC6AC9" w:rsidRDefault="00AC6DF7" w:rsidP="00E94B38">
      <w:pPr>
        <w:ind w:right="-731"/>
        <w:jc w:val="both"/>
        <w:rPr>
          <w:lang w:val="es-ES"/>
        </w:rPr>
      </w:pPr>
      <w:r>
        <w:rPr>
          <w:lang w:val="es-ES"/>
        </w:rPr>
        <w:t>Para esta próxima convocatoria de propuestas (septiembre de 2013) la CE ya ha introducido cambios bastantes significativos, como por ejemplo: ampliar la magnitud de los proyectos, aumentar la cobertura geográfica y privilegiar estrategias/respuestas europeas actuales a los retos globales</w:t>
      </w:r>
      <w:r w:rsidRPr="00BC6AC9">
        <w:rPr>
          <w:rStyle w:val="FootnoteReference"/>
          <w:lang w:val="es-ES"/>
        </w:rPr>
        <w:footnoteReference w:id="3"/>
      </w:r>
      <w:r w:rsidRPr="00BC6AC9">
        <w:rPr>
          <w:lang w:val="es-ES"/>
        </w:rPr>
        <w:t xml:space="preserve">. </w:t>
      </w:r>
    </w:p>
    <w:p w:rsidR="00AC6DF7" w:rsidRPr="00BC6AC9" w:rsidRDefault="00AC6DF7" w:rsidP="00BF5D48">
      <w:pPr>
        <w:ind w:right="-731"/>
        <w:jc w:val="both"/>
        <w:rPr>
          <w:lang w:val="es-ES"/>
        </w:rPr>
      </w:pPr>
    </w:p>
    <w:p w:rsidR="00AC6DF7" w:rsidRPr="00BC6AC9" w:rsidRDefault="00AC6DF7" w:rsidP="00BF5D48">
      <w:pPr>
        <w:ind w:right="-731"/>
        <w:jc w:val="both"/>
        <w:rPr>
          <w:lang w:val="es-ES"/>
        </w:rPr>
      </w:pPr>
      <w:r>
        <w:rPr>
          <w:lang w:val="es-ES"/>
        </w:rPr>
        <w:t xml:space="preserve">La Educación para el Desarrollo es un tema prioritario para los sindicatos (muy en línea con la expresión, más conocida, de “solidaridad internacional”). Y fue por tanto el tema de un seminario específico de la Red Sindical de Cooperación al Desarrollo (RSCD) que se llevó a cabo en </w:t>
      </w:r>
      <w:r w:rsidRPr="00BC6AC9">
        <w:rPr>
          <w:lang w:val="es-ES"/>
        </w:rPr>
        <w:t>2012.</w:t>
      </w:r>
      <w:r>
        <w:rPr>
          <w:lang w:val="es-ES"/>
        </w:rPr>
        <w:t xml:space="preserve"> </w:t>
      </w:r>
    </w:p>
    <w:p w:rsidR="00AC6DF7" w:rsidRPr="00BC6AC9" w:rsidRDefault="00AC6DF7" w:rsidP="00BF5D48">
      <w:pPr>
        <w:ind w:right="-731"/>
        <w:jc w:val="both"/>
        <w:rPr>
          <w:lang w:val="es-ES"/>
        </w:rPr>
      </w:pPr>
      <w:r>
        <w:rPr>
          <w:lang w:val="es-ES"/>
        </w:rPr>
        <w:t xml:space="preserve">Se aprobaron dos </w:t>
      </w:r>
      <w:r>
        <w:rPr>
          <w:u w:val="single"/>
          <w:lang w:val="es-ES"/>
        </w:rPr>
        <w:t>declaraciones de políticas</w:t>
      </w:r>
      <w:r>
        <w:rPr>
          <w:lang w:val="es-ES"/>
        </w:rPr>
        <w:t>, que prefiguran</w:t>
      </w:r>
      <w:r w:rsidRPr="00BC6AC9">
        <w:rPr>
          <w:lang w:val="es-ES"/>
        </w:rPr>
        <w:t xml:space="preserve"> </w:t>
      </w:r>
      <w:r>
        <w:rPr>
          <w:lang w:val="es-ES"/>
        </w:rPr>
        <w:t>un papel más destacado de las organizaciones sindicales en apoyo a</w:t>
      </w:r>
      <w:r w:rsidRPr="00BC6AC9">
        <w:rPr>
          <w:lang w:val="es-ES"/>
        </w:rPr>
        <w:t xml:space="preserve"> </w:t>
      </w:r>
      <w:r>
        <w:rPr>
          <w:lang w:val="es-ES"/>
        </w:rPr>
        <w:t>las actividades de</w:t>
      </w:r>
      <w:r w:rsidRPr="00BC6AC9">
        <w:rPr>
          <w:lang w:val="es-ES"/>
        </w:rPr>
        <w:t xml:space="preserve"> </w:t>
      </w:r>
      <w:r>
        <w:rPr>
          <w:lang w:val="es-ES"/>
        </w:rPr>
        <w:t>la Educación para el Desarrollo</w:t>
      </w:r>
      <w:r w:rsidRPr="00BC6AC9">
        <w:rPr>
          <w:rStyle w:val="FootnoteReference"/>
          <w:lang w:val="es-ES"/>
        </w:rPr>
        <w:footnoteReference w:id="4"/>
      </w:r>
      <w:r w:rsidRPr="00BC6AC9">
        <w:rPr>
          <w:lang w:val="es-ES"/>
        </w:rPr>
        <w:t>,</w:t>
      </w:r>
      <w:r>
        <w:rPr>
          <w:lang w:val="es-ES"/>
        </w:rPr>
        <w:t xml:space="preserve"> lo cual está estrechamente vinculado al objetivo de proporcionar una prioridad más política a la Educación para el Desarrollo</w:t>
      </w:r>
      <w:r w:rsidRPr="00BC6AC9">
        <w:rPr>
          <w:lang w:val="es-ES"/>
        </w:rPr>
        <w:t xml:space="preserve"> </w:t>
      </w:r>
      <w:r>
        <w:rPr>
          <w:lang w:val="es-ES"/>
        </w:rPr>
        <w:t>en el seno del movimiento sindical</w:t>
      </w:r>
      <w:r w:rsidRPr="00BC6AC9">
        <w:rPr>
          <w:rStyle w:val="FootnoteReference"/>
          <w:lang w:val="es-ES"/>
        </w:rPr>
        <w:footnoteReference w:id="5"/>
      </w:r>
      <w:r w:rsidRPr="00BC6AC9">
        <w:rPr>
          <w:lang w:val="es-ES"/>
        </w:rPr>
        <w:t>.</w:t>
      </w:r>
    </w:p>
    <w:p w:rsidR="00AC6DF7" w:rsidRPr="00BC6AC9" w:rsidRDefault="00AC6DF7" w:rsidP="000F3EFF">
      <w:pPr>
        <w:ind w:right="-731"/>
        <w:jc w:val="both"/>
        <w:rPr>
          <w:lang w:val="es-ES"/>
        </w:rPr>
      </w:pPr>
      <w:r>
        <w:rPr>
          <w:lang w:val="es-ES"/>
        </w:rPr>
        <w:t>Como se indica en dichas declaraciones,</w:t>
      </w:r>
      <w:r w:rsidRPr="00BC6AC9">
        <w:rPr>
          <w:lang w:val="es-ES"/>
        </w:rPr>
        <w:t xml:space="preserve"> “</w:t>
      </w:r>
      <w:r>
        <w:rPr>
          <w:i/>
          <w:iCs/>
          <w:lang w:val="es-ES"/>
        </w:rPr>
        <w:t>la RSCD se compromete a seguir apoyando el compromiso sindical en la Educación para el Desarrollo</w:t>
      </w:r>
      <w:r w:rsidRPr="00BC6AC9">
        <w:rPr>
          <w:i/>
          <w:iCs/>
          <w:lang w:val="es-ES"/>
        </w:rPr>
        <w:t xml:space="preserve"> </w:t>
      </w:r>
      <w:r>
        <w:rPr>
          <w:i/>
          <w:iCs/>
          <w:lang w:val="es-ES"/>
        </w:rPr>
        <w:t>y la Sensibilización por medio de la facilitación de establecimiento de redes, intercambio y coordinación entre los miembros y una labor de defensa para que la ED-S ocupe un lugar más destacado dentro del programa sindical internacional</w:t>
      </w:r>
      <w:r w:rsidRPr="00BC6AC9">
        <w:rPr>
          <w:lang w:val="es-ES"/>
        </w:rPr>
        <w:t>”.</w:t>
      </w:r>
    </w:p>
    <w:p w:rsidR="00AC6DF7" w:rsidRPr="00BC6AC9" w:rsidRDefault="00AC6DF7" w:rsidP="004C5C4F">
      <w:pPr>
        <w:ind w:right="-731"/>
        <w:jc w:val="both"/>
        <w:rPr>
          <w:b/>
          <w:bCs/>
          <w:i/>
          <w:iCs/>
          <w:lang w:val="es-ES"/>
        </w:rPr>
      </w:pPr>
    </w:p>
    <w:p w:rsidR="00AC6DF7" w:rsidRPr="00BC6AC9" w:rsidRDefault="00AC6DF7" w:rsidP="004C5C4F">
      <w:pPr>
        <w:ind w:right="-731"/>
        <w:jc w:val="both"/>
        <w:rPr>
          <w:b/>
          <w:bCs/>
          <w:i/>
          <w:iCs/>
          <w:lang w:val="es-ES"/>
        </w:rPr>
      </w:pPr>
      <w:r>
        <w:rPr>
          <w:b/>
          <w:bCs/>
          <w:i/>
          <w:iCs/>
          <w:lang w:val="es-ES"/>
        </w:rPr>
        <w:t>Retos actuales de la Educación para el Desarrollo</w:t>
      </w:r>
      <w:r w:rsidRPr="00BC6AC9">
        <w:rPr>
          <w:b/>
          <w:bCs/>
          <w:i/>
          <w:iCs/>
          <w:lang w:val="es-ES"/>
        </w:rPr>
        <w:t xml:space="preserve"> </w:t>
      </w:r>
      <w:r>
        <w:rPr>
          <w:b/>
          <w:bCs/>
          <w:i/>
          <w:iCs/>
          <w:lang w:val="es-ES"/>
        </w:rPr>
        <w:t>para los sindicatos: ganando impulso</w:t>
      </w:r>
      <w:r w:rsidRPr="00BC6AC9">
        <w:rPr>
          <w:b/>
          <w:bCs/>
          <w:i/>
          <w:iCs/>
          <w:lang w:val="es-ES"/>
        </w:rPr>
        <w:t xml:space="preserve"> </w:t>
      </w:r>
    </w:p>
    <w:p w:rsidR="00AC6DF7" w:rsidRPr="00BC6AC9" w:rsidRDefault="00AC6DF7" w:rsidP="00F6515C">
      <w:pPr>
        <w:ind w:right="-731"/>
        <w:jc w:val="both"/>
        <w:rPr>
          <w:lang w:val="es-ES"/>
        </w:rPr>
      </w:pPr>
      <w:r>
        <w:rPr>
          <w:lang w:val="es-ES"/>
        </w:rPr>
        <w:t>Hoy día más que nunca, las cuestiones de desarrollo deberían ocupar un lugar prominente dentro de las prioridades políticas de los sindicatos, que van a promover modelos alternativos de desarrollo basados en la justicia social. Esto implica la necesidad de trabajar más en el ámbito de la solidaridad internacional, buscando formas y enfoques innovadores para abordar la crisis global.</w:t>
      </w:r>
      <w:r w:rsidR="004D327E">
        <w:rPr>
          <w:lang w:val="es-ES"/>
        </w:rPr>
        <w:t xml:space="preserve"> “</w:t>
      </w:r>
      <w:r w:rsidR="004D327E" w:rsidRPr="004D327E">
        <w:rPr>
          <w:i/>
          <w:lang w:val="es-ES"/>
        </w:rPr>
        <w:t>los sindicatos consideran la Educación para el Desarrollo como un proceso de aprendizaje de por vida, participativo y abierto que conduce a un entendimiento crítico y a un compromiso activo para abordar los desafíos del mundo interdependiente y rápidamente cambiante en el que vivimos (…)</w:t>
      </w:r>
      <w:r w:rsidR="004D327E">
        <w:rPr>
          <w:i/>
          <w:lang w:val="es-ES"/>
        </w:rPr>
        <w:t xml:space="preserve"> </w:t>
      </w:r>
      <w:r w:rsidR="004D327E" w:rsidRPr="004D327E">
        <w:rPr>
          <w:i/>
          <w:lang w:val="es-ES"/>
        </w:rPr>
        <w:t xml:space="preserve">la implicación de los trabajadores y trabajadoras en la educación para el desarrollo resulta más importante que nunca para potenciar el entendimiento y la participación activa en procesos globales de desarrollo, como por ejemplo los derechos humanos y sindicales, el trabajo decente, las desigualdades, la justicia social y la protección social” </w:t>
      </w:r>
      <w:r w:rsidR="004D327E">
        <w:rPr>
          <w:lang w:val="es-ES"/>
        </w:rPr>
        <w:t xml:space="preserve">(declaraciones de la CSI). </w:t>
      </w:r>
    </w:p>
    <w:p w:rsidR="004D327E" w:rsidRDefault="00AC6DF7" w:rsidP="009E3D44">
      <w:pPr>
        <w:ind w:right="-731"/>
        <w:jc w:val="both"/>
        <w:rPr>
          <w:lang w:val="es-ES"/>
        </w:rPr>
      </w:pPr>
      <w:r>
        <w:rPr>
          <w:lang w:val="es-ES"/>
        </w:rPr>
        <w:t>En este sentido, el programa ED-S representa una oportunidad efectiva que merece la pena ex</w:t>
      </w:r>
      <w:r w:rsidR="004D327E">
        <w:rPr>
          <w:lang w:val="es-ES"/>
        </w:rPr>
        <w:t>plorar ya</w:t>
      </w:r>
      <w:r w:rsidR="004D327E" w:rsidRPr="004D327E">
        <w:rPr>
          <w:lang w:val="es-ES"/>
        </w:rPr>
        <w:t xml:space="preserve"> que impulsó el desarrollo de una comprensión común de las cuestiones relacionadas con el desarrollo global y en Europa. La "dimensión europea" ha puesto de relieve recientemente (sobre todo en las áreas de actividades de promoción y de campaña) como criterio fundamental para los futuros programas DEAR, que deben ser dirigidas a apoyar las actividades que tienen un impacto a nivel europeo (además de las actividades a nivel nacional) y mantener un “sentido de co-responsabilidad de la sociedad europea para los asuntos globales”</w:t>
      </w:r>
      <w:r w:rsidR="008C40EB">
        <w:rPr>
          <w:rStyle w:val="FootnoteReference"/>
          <w:lang w:val="es-ES"/>
        </w:rPr>
        <w:footnoteReference w:id="6"/>
      </w:r>
      <w:r w:rsidR="008C40EB">
        <w:rPr>
          <w:lang w:val="es-ES"/>
        </w:rPr>
        <w:t>.</w:t>
      </w:r>
    </w:p>
    <w:p w:rsidR="00AC6DF7" w:rsidRPr="00BC6AC9" w:rsidRDefault="004D327E" w:rsidP="009E3D44">
      <w:pPr>
        <w:ind w:right="-731"/>
        <w:jc w:val="both"/>
        <w:rPr>
          <w:b/>
          <w:bCs/>
          <w:i/>
          <w:iCs/>
          <w:lang w:val="es-ES"/>
        </w:rPr>
      </w:pPr>
      <w:r>
        <w:rPr>
          <w:lang w:val="es-ES"/>
        </w:rPr>
        <w:lastRenderedPageBreak/>
        <w:t>Finalmente, parece</w:t>
      </w:r>
      <w:r w:rsidR="00AC6DF7">
        <w:rPr>
          <w:lang w:val="es-ES"/>
        </w:rPr>
        <w:t xml:space="preserve"> que la CE está reconociendo ahora más que antes el rol y valor de los movimientos sociales en los procesos de desarrollo, a raíz de lo cual les está brindando más apoyo. Desgraciadamente esto es lo contrario a lo que está sucediendo en muchos países de Europa, donde los Gobiernos nacionales no sólo siguen restringiendo progresivamente los presupuestos de desarrollo sino que además los sindicatos siguen teniendo dificultades para recibir un apoyo directo en lo concerniente a la Educación para el Desarrollo</w:t>
      </w:r>
      <w:r w:rsidR="00AC6DF7" w:rsidRPr="00BC6AC9">
        <w:rPr>
          <w:lang w:val="es-ES"/>
        </w:rPr>
        <w:t xml:space="preserve">. </w:t>
      </w:r>
    </w:p>
    <w:p w:rsidR="00AC6DF7" w:rsidRPr="00BC6AC9" w:rsidRDefault="00AC6DF7" w:rsidP="003A4D1A">
      <w:pPr>
        <w:rPr>
          <w:b/>
          <w:bCs/>
          <w:i/>
          <w:iCs/>
          <w:lang w:val="es-ES"/>
        </w:rPr>
      </w:pPr>
    </w:p>
    <w:p w:rsidR="00AC6DF7" w:rsidRPr="00BC6AC9" w:rsidRDefault="00AC6DF7" w:rsidP="003A4D1A">
      <w:pPr>
        <w:rPr>
          <w:b/>
          <w:bCs/>
          <w:i/>
          <w:iCs/>
          <w:lang w:val="es-ES"/>
        </w:rPr>
      </w:pPr>
      <w:r>
        <w:rPr>
          <w:b/>
          <w:bCs/>
          <w:i/>
          <w:iCs/>
          <w:lang w:val="es-ES"/>
        </w:rPr>
        <w:t>¿Qué es lo que queremos conseguir al final de este seminario?</w:t>
      </w:r>
    </w:p>
    <w:p w:rsidR="00AC6DF7" w:rsidRDefault="00AC6DF7" w:rsidP="00A03A11">
      <w:pPr>
        <w:ind w:right="-731"/>
        <w:jc w:val="both"/>
        <w:rPr>
          <w:lang w:val="es-ES"/>
        </w:rPr>
      </w:pPr>
      <w:r>
        <w:rPr>
          <w:lang w:val="es-ES"/>
        </w:rPr>
        <w:t>Tras los compromisos y prioridades expresados por los miembros de la RSCD, el objetivo final es presentar una propuesta de programa conjunto a la Comisión Europea.</w:t>
      </w:r>
      <w:r w:rsidRPr="00BC6AC9">
        <w:rPr>
          <w:lang w:val="es-ES"/>
        </w:rPr>
        <w:t xml:space="preserve"> </w:t>
      </w:r>
    </w:p>
    <w:p w:rsidR="004D327E" w:rsidRPr="00BC6AC9" w:rsidRDefault="004D327E" w:rsidP="00A03A11">
      <w:pPr>
        <w:ind w:right="-731"/>
        <w:jc w:val="both"/>
        <w:rPr>
          <w:lang w:val="es-ES"/>
        </w:rPr>
      </w:pPr>
      <w:r w:rsidRPr="004D327E">
        <w:rPr>
          <w:lang w:val="es-ES"/>
        </w:rPr>
        <w:t>Este es un desafío considerable, ya que implicaría un esfuerzo conceptual y operacional para construir un "marco común", repartido a partes iguales por los socios interesados, orientando la programación específica a nivel nacional. En este sentido, la posible "propuesta de programa conjunto" no puede basarse simplemente en la "suma" de los diferentes proyectos / prácticas nacionales existentes, sino que debe ser diseñado en características comunes, apoyando una dimensión europea sólida.</w:t>
      </w:r>
    </w:p>
    <w:p w:rsidR="00AC6DF7" w:rsidRPr="00BC6AC9" w:rsidRDefault="00AC6DF7" w:rsidP="00A03A11">
      <w:pPr>
        <w:ind w:right="-731"/>
        <w:jc w:val="both"/>
        <w:rPr>
          <w:lang w:val="es-ES"/>
        </w:rPr>
      </w:pPr>
      <w:r>
        <w:rPr>
          <w:lang w:val="es-ES"/>
        </w:rPr>
        <w:t>Por tanto, lo que se pretende en este taller es llevar a cabo una sesión de reflexión sobre, contenidos, enfoques y criterios operativos que puedan constituir la estructura del programa,</w:t>
      </w:r>
      <w:r w:rsidRPr="000A48A7">
        <w:rPr>
          <w:lang w:val="es-ES"/>
        </w:rPr>
        <w:t xml:space="preserve"> </w:t>
      </w:r>
      <w:r>
        <w:rPr>
          <w:lang w:val="es-ES"/>
        </w:rPr>
        <w:t>y posteriormente desarrollarlos.</w:t>
      </w:r>
      <w:r w:rsidRPr="00BC6AC9">
        <w:rPr>
          <w:lang w:val="es-ES"/>
        </w:rPr>
        <w:t xml:space="preserve"> </w:t>
      </w:r>
    </w:p>
    <w:p w:rsidR="00AC6DF7" w:rsidRPr="00BC6AC9" w:rsidRDefault="00AC6DF7" w:rsidP="00A03A11">
      <w:pPr>
        <w:ind w:right="-731"/>
        <w:jc w:val="both"/>
        <w:rPr>
          <w:lang w:val="es-ES"/>
        </w:rPr>
      </w:pPr>
      <w:r>
        <w:rPr>
          <w:lang w:val="es-ES"/>
        </w:rPr>
        <w:t>En este sentido, los resultados esperados del taller son:</w:t>
      </w:r>
    </w:p>
    <w:p w:rsidR="00AC6DF7" w:rsidRPr="00BC6AC9" w:rsidRDefault="00AC6DF7" w:rsidP="00B13FA6">
      <w:pPr>
        <w:pStyle w:val="ListParagraph"/>
        <w:numPr>
          <w:ilvl w:val="0"/>
          <w:numId w:val="14"/>
        </w:numPr>
        <w:ind w:right="-731"/>
        <w:jc w:val="both"/>
        <w:rPr>
          <w:i/>
          <w:iCs/>
          <w:lang w:val="es-ES"/>
        </w:rPr>
      </w:pPr>
      <w:r>
        <w:rPr>
          <w:i/>
          <w:iCs/>
          <w:lang w:val="es-ES"/>
        </w:rPr>
        <w:t>Línea de base del programa:</w:t>
      </w:r>
    </w:p>
    <w:p w:rsidR="00AC6DF7" w:rsidRPr="00BC6AC9" w:rsidRDefault="00AC6DF7" w:rsidP="009E3D44">
      <w:pPr>
        <w:pStyle w:val="ListParagraph"/>
        <w:numPr>
          <w:ilvl w:val="1"/>
          <w:numId w:val="14"/>
        </w:numPr>
        <w:ind w:right="-731"/>
        <w:jc w:val="both"/>
        <w:rPr>
          <w:i/>
          <w:iCs/>
          <w:lang w:val="es-ES"/>
        </w:rPr>
      </w:pPr>
      <w:r>
        <w:rPr>
          <w:i/>
          <w:iCs/>
          <w:lang w:val="es-ES"/>
        </w:rPr>
        <w:t>Objetivos globales y específicos</w:t>
      </w:r>
      <w:r w:rsidRPr="00BC6AC9">
        <w:rPr>
          <w:i/>
          <w:iCs/>
          <w:lang w:val="es-ES"/>
        </w:rPr>
        <w:t xml:space="preserve"> </w:t>
      </w:r>
      <w:r w:rsidRPr="00BC6AC9">
        <w:rPr>
          <w:lang w:val="es-ES"/>
        </w:rPr>
        <w:t>(</w:t>
      </w:r>
      <w:r>
        <w:rPr>
          <w:lang w:val="es-ES"/>
        </w:rPr>
        <w:t xml:space="preserve">las prioridades de la convocatoria de propuestas serán: </w:t>
      </w:r>
      <w:r w:rsidRPr="00BC6AC9">
        <w:rPr>
          <w:lang w:val="es-ES"/>
        </w:rPr>
        <w:t xml:space="preserve">2015 </w:t>
      </w:r>
      <w:r>
        <w:rPr>
          <w:lang w:val="es-ES"/>
        </w:rPr>
        <w:t>Año Europeo del Desarrollo</w:t>
      </w:r>
      <w:r w:rsidR="008C40EB">
        <w:rPr>
          <w:rStyle w:val="FootnoteReference"/>
          <w:lang w:val="es-ES"/>
        </w:rPr>
        <w:footnoteReference w:id="7"/>
      </w:r>
      <w:r w:rsidRPr="00BC6AC9">
        <w:rPr>
          <w:lang w:val="es-ES"/>
        </w:rPr>
        <w:t xml:space="preserve"> + </w:t>
      </w:r>
      <w:r w:rsidR="008C40EB">
        <w:rPr>
          <w:lang w:val="es-ES"/>
        </w:rPr>
        <w:t xml:space="preserve">comunicación de la CE </w:t>
      </w:r>
      <w:r w:rsidRPr="00BC6AC9">
        <w:rPr>
          <w:lang w:val="es-ES"/>
        </w:rPr>
        <w:t>“</w:t>
      </w:r>
      <w:r>
        <w:rPr>
          <w:lang w:val="es-ES"/>
        </w:rPr>
        <w:t>Una vida digna para todos</w:t>
      </w:r>
      <w:r w:rsidRPr="00BC6AC9">
        <w:rPr>
          <w:lang w:val="es-ES"/>
        </w:rPr>
        <w:t>”</w:t>
      </w:r>
      <w:r w:rsidR="008C40EB">
        <w:rPr>
          <w:rStyle w:val="FootnoteReference"/>
          <w:lang w:val="es-ES"/>
        </w:rPr>
        <w:footnoteReference w:id="8"/>
      </w:r>
      <w:r w:rsidRPr="00BC6AC9">
        <w:rPr>
          <w:lang w:val="es-ES"/>
        </w:rPr>
        <w:t>)</w:t>
      </w:r>
    </w:p>
    <w:p w:rsidR="00AC6DF7" w:rsidRPr="00BC6AC9" w:rsidRDefault="00AC6DF7" w:rsidP="009E3D44">
      <w:pPr>
        <w:pStyle w:val="ListParagraph"/>
        <w:numPr>
          <w:ilvl w:val="1"/>
          <w:numId w:val="14"/>
        </w:numPr>
        <w:ind w:right="-731"/>
        <w:jc w:val="both"/>
        <w:rPr>
          <w:i/>
          <w:iCs/>
          <w:lang w:val="es-ES"/>
        </w:rPr>
      </w:pPr>
      <w:r>
        <w:rPr>
          <w:i/>
          <w:iCs/>
          <w:lang w:val="es-ES"/>
        </w:rPr>
        <w:t xml:space="preserve">Grupos específicos, </w:t>
      </w:r>
      <w:r w:rsidRPr="00A11026">
        <w:rPr>
          <w:lang w:val="es-ES"/>
        </w:rPr>
        <w:t>por ejemplo sindicalistas y trabajadores</w:t>
      </w:r>
    </w:p>
    <w:p w:rsidR="00AC6DF7" w:rsidRPr="00BC6AC9" w:rsidRDefault="00AC6DF7" w:rsidP="004C5C4F">
      <w:pPr>
        <w:pStyle w:val="ListParagraph"/>
        <w:ind w:left="1440" w:right="-731"/>
        <w:jc w:val="both"/>
        <w:rPr>
          <w:i/>
          <w:iCs/>
          <w:lang w:val="es-ES"/>
        </w:rPr>
      </w:pPr>
    </w:p>
    <w:p w:rsidR="00AC6DF7" w:rsidRPr="00BC6AC9" w:rsidRDefault="00AC6DF7" w:rsidP="00B13FA6">
      <w:pPr>
        <w:pStyle w:val="ListParagraph"/>
        <w:numPr>
          <w:ilvl w:val="0"/>
          <w:numId w:val="14"/>
        </w:numPr>
        <w:ind w:right="-731"/>
        <w:jc w:val="both"/>
        <w:rPr>
          <w:i/>
          <w:iCs/>
          <w:lang w:val="es-ES"/>
        </w:rPr>
      </w:pPr>
      <w:r>
        <w:rPr>
          <w:i/>
          <w:iCs/>
          <w:lang w:val="es-ES"/>
        </w:rPr>
        <w:t>Marco lógico del programa</w:t>
      </w:r>
      <w:r w:rsidRPr="00BC6AC9">
        <w:rPr>
          <w:i/>
          <w:iCs/>
          <w:lang w:val="es-ES"/>
        </w:rPr>
        <w:t xml:space="preserve"> :</w:t>
      </w:r>
    </w:p>
    <w:p w:rsidR="00AC6DF7" w:rsidRPr="00BC6AC9" w:rsidRDefault="00AC6DF7" w:rsidP="006D778E">
      <w:pPr>
        <w:pStyle w:val="ListParagraph"/>
        <w:tabs>
          <w:tab w:val="left" w:pos="993"/>
        </w:tabs>
        <w:ind w:left="993" w:right="-731" w:hanging="273"/>
        <w:jc w:val="both"/>
        <w:rPr>
          <w:lang w:val="es-ES"/>
        </w:rPr>
      </w:pPr>
      <w:proofErr w:type="gramStart"/>
      <w:r w:rsidRPr="00BC6AC9">
        <w:rPr>
          <w:lang w:val="es-ES"/>
        </w:rPr>
        <w:t>o</w:t>
      </w:r>
      <w:proofErr w:type="gramEnd"/>
      <w:r w:rsidRPr="00BC6AC9">
        <w:rPr>
          <w:lang w:val="es-ES"/>
        </w:rPr>
        <w:tab/>
      </w:r>
      <w:r>
        <w:rPr>
          <w:lang w:val="es-ES"/>
        </w:rPr>
        <w:t>Estrategia del programa: qué queremos conseguir con el/los grupo/s específico/s dentro del plazo del programa</w:t>
      </w:r>
    </w:p>
    <w:p w:rsidR="00AC6DF7" w:rsidRPr="00BC6AC9" w:rsidRDefault="00AC6DF7" w:rsidP="00B13FA6">
      <w:pPr>
        <w:pStyle w:val="ListParagraph"/>
        <w:tabs>
          <w:tab w:val="left" w:pos="993"/>
        </w:tabs>
        <w:ind w:right="-731"/>
        <w:jc w:val="both"/>
        <w:rPr>
          <w:lang w:val="es-ES"/>
        </w:rPr>
      </w:pPr>
      <w:proofErr w:type="gramStart"/>
      <w:r w:rsidRPr="00BC6AC9">
        <w:rPr>
          <w:lang w:val="es-ES"/>
        </w:rPr>
        <w:t>o</w:t>
      </w:r>
      <w:proofErr w:type="gramEnd"/>
      <w:r w:rsidRPr="00BC6AC9">
        <w:rPr>
          <w:lang w:val="es-ES"/>
        </w:rPr>
        <w:tab/>
      </w:r>
      <w:r>
        <w:rPr>
          <w:lang w:val="es-ES"/>
        </w:rPr>
        <w:t>Resultados intermediarios que tienen que lograrse para alcanzar el objetivo</w:t>
      </w:r>
    </w:p>
    <w:p w:rsidR="00AC6DF7" w:rsidRPr="00BC6AC9" w:rsidRDefault="00AC6DF7" w:rsidP="00B13FA6">
      <w:pPr>
        <w:pStyle w:val="ListParagraph"/>
        <w:tabs>
          <w:tab w:val="left" w:pos="993"/>
        </w:tabs>
        <w:ind w:left="993" w:right="-731" w:hanging="273"/>
        <w:jc w:val="both"/>
        <w:rPr>
          <w:lang w:val="es-ES"/>
        </w:rPr>
      </w:pPr>
      <w:proofErr w:type="gramStart"/>
      <w:r w:rsidRPr="00BC6AC9">
        <w:rPr>
          <w:lang w:val="es-ES"/>
        </w:rPr>
        <w:lastRenderedPageBreak/>
        <w:t>o</w:t>
      </w:r>
      <w:proofErr w:type="gramEnd"/>
      <w:r w:rsidRPr="00BC6AC9">
        <w:rPr>
          <w:lang w:val="es-ES"/>
        </w:rPr>
        <w:tab/>
      </w:r>
      <w:r>
        <w:rPr>
          <w:lang w:val="es-ES"/>
        </w:rPr>
        <w:t>Tipo de actividades a desarrollar para lograr cada uno de los resultados con una indicación muy aproximada de los medios a nivel nacional y a nivel europeo</w:t>
      </w:r>
      <w:r w:rsidRPr="00BC6AC9">
        <w:rPr>
          <w:lang w:val="es-ES"/>
        </w:rPr>
        <w:t xml:space="preserve"> </w:t>
      </w:r>
    </w:p>
    <w:p w:rsidR="00AC6DF7" w:rsidRPr="00BC6AC9" w:rsidRDefault="00AC6DF7" w:rsidP="00B13FA6">
      <w:pPr>
        <w:pStyle w:val="ListParagraph"/>
        <w:tabs>
          <w:tab w:val="left" w:pos="993"/>
        </w:tabs>
        <w:ind w:left="993" w:right="-731" w:hanging="273"/>
        <w:jc w:val="both"/>
        <w:rPr>
          <w:lang w:val="es-ES"/>
        </w:rPr>
      </w:pPr>
      <w:proofErr w:type="gramStart"/>
      <w:r w:rsidRPr="00BC6AC9">
        <w:rPr>
          <w:lang w:val="es-ES"/>
        </w:rPr>
        <w:t>o</w:t>
      </w:r>
      <w:proofErr w:type="gramEnd"/>
      <w:r w:rsidRPr="00BC6AC9">
        <w:rPr>
          <w:lang w:val="es-ES"/>
        </w:rPr>
        <w:tab/>
      </w:r>
      <w:r>
        <w:rPr>
          <w:lang w:val="es-ES"/>
        </w:rPr>
        <w:t>Análisis de riesgos: qué es lo que podría influir en la ejecución del programa y cómo vamos a abordarlo</w:t>
      </w:r>
    </w:p>
    <w:p w:rsidR="00AC6DF7" w:rsidRPr="00BC6AC9" w:rsidRDefault="00AC6DF7" w:rsidP="00B13FA6">
      <w:pPr>
        <w:pStyle w:val="ListParagraph"/>
        <w:tabs>
          <w:tab w:val="left" w:pos="993"/>
        </w:tabs>
        <w:ind w:right="-731"/>
        <w:jc w:val="both"/>
        <w:rPr>
          <w:lang w:val="es-ES"/>
        </w:rPr>
      </w:pPr>
    </w:p>
    <w:p w:rsidR="00AC6DF7" w:rsidRPr="00BC6AC9" w:rsidRDefault="00AC6DF7" w:rsidP="009D4B88">
      <w:pPr>
        <w:pStyle w:val="ListParagraph"/>
        <w:numPr>
          <w:ilvl w:val="0"/>
          <w:numId w:val="14"/>
        </w:numPr>
        <w:ind w:right="-731"/>
        <w:jc w:val="both"/>
        <w:rPr>
          <w:i/>
          <w:iCs/>
          <w:lang w:val="es-ES"/>
        </w:rPr>
      </w:pPr>
      <w:r>
        <w:rPr>
          <w:i/>
          <w:iCs/>
          <w:lang w:val="es-ES"/>
        </w:rPr>
        <w:t>Criterios de gestión compartida – cómo se pondrá en práctica el programa</w:t>
      </w:r>
      <w:r w:rsidRPr="00BC6AC9">
        <w:rPr>
          <w:i/>
          <w:iCs/>
          <w:lang w:val="es-ES"/>
        </w:rPr>
        <w:t>:</w:t>
      </w:r>
    </w:p>
    <w:p w:rsidR="00AC6DF7" w:rsidRPr="00BC6AC9" w:rsidRDefault="00AC6DF7" w:rsidP="009D4B88">
      <w:pPr>
        <w:pStyle w:val="ListParagraph"/>
        <w:tabs>
          <w:tab w:val="left" w:pos="993"/>
        </w:tabs>
        <w:ind w:left="993" w:right="-731" w:hanging="273"/>
        <w:jc w:val="both"/>
        <w:rPr>
          <w:lang w:val="es-ES"/>
        </w:rPr>
      </w:pPr>
      <w:proofErr w:type="gramStart"/>
      <w:r w:rsidRPr="00BC6AC9">
        <w:rPr>
          <w:lang w:val="es-ES"/>
        </w:rPr>
        <w:t>o</w:t>
      </w:r>
      <w:proofErr w:type="gramEnd"/>
      <w:r w:rsidRPr="00BC6AC9">
        <w:rPr>
          <w:lang w:val="es-ES"/>
        </w:rPr>
        <w:tab/>
      </w:r>
      <w:r>
        <w:rPr>
          <w:lang w:val="es-ES"/>
        </w:rPr>
        <w:t>Gestión del programa: función de los miembros en los diversos países y función del secretariado de la RSCD</w:t>
      </w:r>
      <w:r w:rsidRPr="00BC6AC9">
        <w:rPr>
          <w:lang w:val="es-ES"/>
        </w:rPr>
        <w:t xml:space="preserve"> </w:t>
      </w:r>
    </w:p>
    <w:p w:rsidR="00AC6DF7" w:rsidRPr="00BC6AC9" w:rsidRDefault="00AC6DF7" w:rsidP="009D4B88">
      <w:pPr>
        <w:pStyle w:val="ListParagraph"/>
        <w:tabs>
          <w:tab w:val="left" w:pos="993"/>
        </w:tabs>
        <w:ind w:right="-731"/>
        <w:jc w:val="both"/>
        <w:rPr>
          <w:lang w:val="es-ES"/>
        </w:rPr>
      </w:pPr>
      <w:proofErr w:type="gramStart"/>
      <w:r w:rsidRPr="00BC6AC9">
        <w:rPr>
          <w:lang w:val="es-ES"/>
        </w:rPr>
        <w:t>o</w:t>
      </w:r>
      <w:proofErr w:type="gramEnd"/>
      <w:r w:rsidRPr="00BC6AC9">
        <w:rPr>
          <w:lang w:val="es-ES"/>
        </w:rPr>
        <w:tab/>
      </w:r>
      <w:r>
        <w:rPr>
          <w:lang w:val="es-ES"/>
        </w:rPr>
        <w:t>Grupo directivo/mecanismos de toma de decisiones</w:t>
      </w:r>
    </w:p>
    <w:p w:rsidR="00AC6DF7" w:rsidRPr="00BC6AC9" w:rsidRDefault="00AC6DF7" w:rsidP="009D4B88">
      <w:pPr>
        <w:pStyle w:val="ListParagraph"/>
        <w:tabs>
          <w:tab w:val="left" w:pos="993"/>
        </w:tabs>
        <w:ind w:right="-731"/>
        <w:jc w:val="both"/>
        <w:rPr>
          <w:lang w:val="es-ES"/>
        </w:rPr>
      </w:pPr>
      <w:proofErr w:type="gramStart"/>
      <w:r w:rsidRPr="00BC6AC9">
        <w:rPr>
          <w:lang w:val="es-ES"/>
        </w:rPr>
        <w:t>o</w:t>
      </w:r>
      <w:proofErr w:type="gramEnd"/>
      <w:r w:rsidRPr="00BC6AC9">
        <w:rPr>
          <w:lang w:val="es-ES"/>
        </w:rPr>
        <w:tab/>
      </w:r>
      <w:r>
        <w:rPr>
          <w:lang w:val="es-ES"/>
        </w:rPr>
        <w:t>Contribuciones propias</w:t>
      </w:r>
    </w:p>
    <w:p w:rsidR="00AC6DF7" w:rsidRPr="00BC6AC9" w:rsidRDefault="00AC6DF7" w:rsidP="004C5C4F">
      <w:pPr>
        <w:pStyle w:val="ListParagraph"/>
        <w:tabs>
          <w:tab w:val="left" w:pos="993"/>
        </w:tabs>
        <w:ind w:left="993" w:right="-731" w:hanging="273"/>
        <w:jc w:val="both"/>
        <w:rPr>
          <w:lang w:val="es-ES"/>
        </w:rPr>
      </w:pPr>
      <w:proofErr w:type="gramStart"/>
      <w:r w:rsidRPr="00BC6AC9">
        <w:rPr>
          <w:lang w:val="es-ES"/>
        </w:rPr>
        <w:t>o</w:t>
      </w:r>
      <w:proofErr w:type="gramEnd"/>
      <w:r w:rsidRPr="00BC6AC9">
        <w:rPr>
          <w:lang w:val="es-ES"/>
        </w:rPr>
        <w:tab/>
      </w:r>
      <w:r>
        <w:rPr>
          <w:lang w:val="es-ES"/>
        </w:rPr>
        <w:t>Amplio consenso sobre</w:t>
      </w:r>
      <w:r w:rsidRPr="00BC6AC9">
        <w:rPr>
          <w:lang w:val="es-ES"/>
        </w:rPr>
        <w:t xml:space="preserve"> </w:t>
      </w:r>
      <w:r>
        <w:rPr>
          <w:lang w:val="es-ES"/>
        </w:rPr>
        <w:t>Seguimiento y Evaluación (cómo se va a hacer, quién asumirá las diversas responsabilidades, etc.). Responsabilidad mutua dentro del programa</w:t>
      </w:r>
    </w:p>
    <w:p w:rsidR="00AC6DF7" w:rsidRPr="00BC6AC9" w:rsidRDefault="00AC6DF7" w:rsidP="004C5C4F">
      <w:pPr>
        <w:pStyle w:val="ListParagraph"/>
        <w:tabs>
          <w:tab w:val="left" w:pos="993"/>
        </w:tabs>
        <w:ind w:left="993" w:right="-731" w:hanging="273"/>
        <w:jc w:val="both"/>
        <w:rPr>
          <w:lang w:val="es-ES"/>
        </w:rPr>
      </w:pPr>
    </w:p>
    <w:p w:rsidR="00AC6DF7" w:rsidRPr="00BC6AC9" w:rsidRDefault="00AC6DF7" w:rsidP="009D4B88">
      <w:pPr>
        <w:pStyle w:val="ListParagraph"/>
        <w:numPr>
          <w:ilvl w:val="0"/>
          <w:numId w:val="14"/>
        </w:numPr>
        <w:ind w:right="-731"/>
        <w:rPr>
          <w:i/>
          <w:iCs/>
          <w:lang w:val="es-ES"/>
        </w:rPr>
      </w:pPr>
      <w:r>
        <w:rPr>
          <w:i/>
          <w:iCs/>
          <w:lang w:val="es-ES"/>
        </w:rPr>
        <w:t>Plan de acción finalizado para los siguientes pasos</w:t>
      </w:r>
      <w:r w:rsidRPr="00BC6AC9">
        <w:rPr>
          <w:i/>
          <w:iCs/>
          <w:lang w:val="es-ES"/>
        </w:rPr>
        <w:t xml:space="preserve">: </w:t>
      </w:r>
    </w:p>
    <w:p w:rsidR="00AC6DF7" w:rsidRPr="00BC6AC9" w:rsidRDefault="00AC6DF7" w:rsidP="009D4B88">
      <w:pPr>
        <w:pStyle w:val="ListParagraph"/>
        <w:ind w:left="993" w:right="-731" w:hanging="273"/>
        <w:rPr>
          <w:lang w:val="es-ES"/>
        </w:rPr>
      </w:pPr>
      <w:proofErr w:type="gramStart"/>
      <w:r w:rsidRPr="00BC6AC9">
        <w:rPr>
          <w:lang w:val="es-ES"/>
        </w:rPr>
        <w:t>o</w:t>
      </w:r>
      <w:proofErr w:type="gramEnd"/>
      <w:r w:rsidRPr="00BC6AC9">
        <w:rPr>
          <w:lang w:val="es-ES"/>
        </w:rPr>
        <w:tab/>
      </w:r>
      <w:r>
        <w:rPr>
          <w:lang w:val="es-ES"/>
        </w:rPr>
        <w:t>Terminar la propuesta del programa</w:t>
      </w:r>
    </w:p>
    <w:p w:rsidR="00AC6DF7" w:rsidRPr="00BC6AC9" w:rsidRDefault="00AC6DF7" w:rsidP="009D4B88">
      <w:pPr>
        <w:pStyle w:val="ListParagraph"/>
        <w:ind w:left="993" w:right="-731" w:hanging="273"/>
        <w:rPr>
          <w:lang w:val="es-ES"/>
        </w:rPr>
      </w:pPr>
      <w:proofErr w:type="gramStart"/>
      <w:r w:rsidRPr="00BC6AC9">
        <w:rPr>
          <w:lang w:val="es-ES"/>
        </w:rPr>
        <w:t>o</w:t>
      </w:r>
      <w:proofErr w:type="gramEnd"/>
      <w:r w:rsidRPr="00BC6AC9">
        <w:rPr>
          <w:lang w:val="es-ES"/>
        </w:rPr>
        <w:tab/>
      </w:r>
      <w:r>
        <w:rPr>
          <w:lang w:val="es-ES"/>
        </w:rPr>
        <w:t>Completar el presupuesto</w:t>
      </w:r>
    </w:p>
    <w:p w:rsidR="00AC6DF7" w:rsidRPr="00BC6AC9" w:rsidRDefault="00AC6DF7" w:rsidP="009D4B88">
      <w:pPr>
        <w:pStyle w:val="ListParagraph"/>
        <w:ind w:left="993" w:right="-731" w:hanging="273"/>
        <w:rPr>
          <w:lang w:val="es-ES"/>
        </w:rPr>
      </w:pPr>
      <w:proofErr w:type="gramStart"/>
      <w:r w:rsidRPr="00BC6AC9">
        <w:rPr>
          <w:lang w:val="es-ES"/>
        </w:rPr>
        <w:t>o</w:t>
      </w:r>
      <w:proofErr w:type="gramEnd"/>
      <w:r w:rsidRPr="00BC6AC9">
        <w:rPr>
          <w:lang w:val="es-ES"/>
        </w:rPr>
        <w:tab/>
        <w:t>Concreti</w:t>
      </w:r>
      <w:r>
        <w:rPr>
          <w:lang w:val="es-ES"/>
        </w:rPr>
        <w:t>zar los mecanismos de arquitectura/gestión del programa</w:t>
      </w:r>
    </w:p>
    <w:p w:rsidR="00AC6DF7" w:rsidRPr="00BC6AC9" w:rsidRDefault="00AC6DF7" w:rsidP="003A4D1A">
      <w:pPr>
        <w:rPr>
          <w:b/>
          <w:bCs/>
          <w:i/>
          <w:iCs/>
          <w:lang w:val="es-ES"/>
        </w:rPr>
      </w:pPr>
    </w:p>
    <w:p w:rsidR="00AC6DF7" w:rsidRPr="00BC6AC9" w:rsidRDefault="00AC6DF7" w:rsidP="003A4D1A">
      <w:pPr>
        <w:rPr>
          <w:rFonts w:ascii="Times New Roman" w:hAnsi="Times New Roman" w:cs="Times New Roman"/>
          <w:b/>
          <w:bCs/>
          <w:i/>
          <w:iCs/>
          <w:lang w:val="es-ES"/>
        </w:rPr>
      </w:pPr>
      <w:r>
        <w:rPr>
          <w:b/>
          <w:bCs/>
          <w:i/>
          <w:iCs/>
          <w:lang w:val="es-ES"/>
        </w:rPr>
        <w:t>Enfoque metodológico</w:t>
      </w:r>
      <w:r w:rsidRPr="00BC6AC9">
        <w:rPr>
          <w:b/>
          <w:bCs/>
          <w:i/>
          <w:iCs/>
          <w:lang w:val="es-ES"/>
        </w:rPr>
        <w:t xml:space="preserve"> </w:t>
      </w:r>
    </w:p>
    <w:p w:rsidR="00AC6DF7" w:rsidRPr="00BC6AC9" w:rsidRDefault="00AC6DF7" w:rsidP="000F3EFF">
      <w:pPr>
        <w:ind w:right="-731"/>
        <w:jc w:val="both"/>
        <w:rPr>
          <w:lang w:val="es-ES"/>
        </w:rPr>
      </w:pPr>
      <w:r>
        <w:rPr>
          <w:lang w:val="es-ES"/>
        </w:rPr>
        <w:t>El taller se llevará a cabo de manera interactiva, incluyendo grupos de trabajo, sesiones de reflexión y debates. Tal y como se especifica en el orden del día, la primera jornada estará principalmente dedicada al intercambio de puntos de vista, perspectivas y contenidos del programa, mientras que durante la segunda concretaremos además la arquitectura global del programa y los correspondientes compromisos de gestión</w:t>
      </w:r>
      <w:r w:rsidR="00542715">
        <w:rPr>
          <w:lang w:val="es-ES"/>
        </w:rPr>
        <w:t>.</w:t>
      </w:r>
    </w:p>
    <w:p w:rsidR="00AC6DF7" w:rsidRPr="00BC6AC9" w:rsidRDefault="00AC6DF7" w:rsidP="000F3EFF">
      <w:pPr>
        <w:ind w:right="-731"/>
        <w:jc w:val="both"/>
        <w:rPr>
          <w:rStyle w:val="IntenseReference"/>
          <w:b w:val="0"/>
          <w:bCs w:val="0"/>
          <w:smallCaps w:val="0"/>
          <w:spacing w:val="0"/>
          <w:u w:val="none"/>
          <w:lang w:val="es-ES"/>
        </w:rPr>
      </w:pPr>
      <w:r>
        <w:rPr>
          <w:lang w:val="es-ES"/>
        </w:rPr>
        <w:t>Les invitamos a que lean los documentos especificados como referencia en las notas a pie de página a fin de adquirir nociones preliminares sobre la tarea que nos hemos propuesto llevar a cabo. Cualquier documentación sobre su trabajo en materia de Educación para el Desarrollo</w:t>
      </w:r>
      <w:r w:rsidRPr="00BC6AC9">
        <w:rPr>
          <w:lang w:val="es-ES"/>
        </w:rPr>
        <w:t xml:space="preserve"> </w:t>
      </w:r>
      <w:r>
        <w:rPr>
          <w:lang w:val="es-ES"/>
        </w:rPr>
        <w:t>es bienvenida, puesto que ello permitirá que nuestra “evaluación objetiva” se vuelva de este modo más tangente y esté basada en la “evidencia”.</w:t>
      </w:r>
      <w:r w:rsidRPr="00BC6AC9">
        <w:rPr>
          <w:lang w:val="es-ES"/>
        </w:rPr>
        <w:t xml:space="preserve"> </w:t>
      </w:r>
    </w:p>
    <w:sectPr w:rsidR="00AC6DF7" w:rsidRPr="00BC6AC9" w:rsidSect="00ED7033">
      <w:footerReference w:type="default" r:id="rId11"/>
      <w:footerReference w:type="first" r:id="rId12"/>
      <w:pgSz w:w="11906" w:h="16838"/>
      <w:pgMar w:top="1134" w:right="2550" w:bottom="1134"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1C" w:rsidRDefault="0092291C" w:rsidP="00D0108B">
      <w:pPr>
        <w:spacing w:after="0" w:line="240" w:lineRule="auto"/>
      </w:pPr>
      <w:r>
        <w:separator/>
      </w:r>
    </w:p>
  </w:endnote>
  <w:endnote w:type="continuationSeparator" w:id="0">
    <w:p w:rsidR="0092291C" w:rsidRDefault="0092291C" w:rsidP="00D0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2" w:type="dxa"/>
      <w:tblInd w:w="-106" w:type="dxa"/>
      <w:tblLook w:val="00A0" w:firstRow="1" w:lastRow="0" w:firstColumn="1" w:lastColumn="0" w:noHBand="0" w:noVBand="0"/>
    </w:tblPr>
    <w:tblGrid>
      <w:gridCol w:w="1176"/>
      <w:gridCol w:w="6536"/>
    </w:tblGrid>
    <w:tr w:rsidR="00AC6DF7" w:rsidRPr="00D115D6">
      <w:trPr>
        <w:trHeight w:val="300"/>
      </w:trPr>
      <w:tc>
        <w:tcPr>
          <w:tcW w:w="976" w:type="dxa"/>
          <w:vMerge w:val="restart"/>
          <w:tcBorders>
            <w:top w:val="nil"/>
            <w:left w:val="nil"/>
            <w:bottom w:val="nil"/>
            <w:right w:val="nil"/>
          </w:tcBorders>
          <w:noWrap/>
          <w:vAlign w:val="bottom"/>
        </w:tcPr>
        <w:p w:rsidR="00AC6DF7" w:rsidRPr="00ED7033" w:rsidRDefault="004D327E" w:rsidP="00ED7033">
          <w:pPr>
            <w:spacing w:after="0" w:line="240" w:lineRule="auto"/>
            <w:rPr>
              <w:color w:val="000000"/>
            </w:rPr>
          </w:pPr>
          <w:r>
            <w:rPr>
              <w:noProof/>
            </w:rPr>
            <w:drawing>
              <wp:anchor distT="0" distB="0" distL="114300" distR="114300" simplePos="0" relativeHeight="251658240" behindDoc="0" locked="0" layoutInCell="1" allowOverlap="1">
                <wp:simplePos x="0" y="0"/>
                <wp:positionH relativeFrom="column">
                  <wp:posOffset>133350</wp:posOffset>
                </wp:positionH>
                <wp:positionV relativeFrom="paragraph">
                  <wp:posOffset>-194310</wp:posOffset>
                </wp:positionV>
                <wp:extent cx="352425" cy="238125"/>
                <wp:effectExtent l="0" t="0" r="9525" b="9525"/>
                <wp:wrapNone/>
                <wp:docPr id="1" name="Picture 7" descr="eu 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 bann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0A0" w:firstRow="1" w:lastRow="0" w:firstColumn="1" w:lastColumn="0" w:noHBand="0" w:noVBand="0"/>
          </w:tblPr>
          <w:tblGrid>
            <w:gridCol w:w="960"/>
          </w:tblGrid>
          <w:tr w:rsidR="00AC6DF7" w:rsidRPr="001F6881">
            <w:trPr>
              <w:trHeight w:val="269"/>
              <w:tblCellSpacing w:w="0" w:type="dxa"/>
            </w:trPr>
            <w:tc>
              <w:tcPr>
                <w:tcW w:w="960" w:type="dxa"/>
                <w:vMerge w:val="restart"/>
                <w:tcBorders>
                  <w:top w:val="nil"/>
                  <w:left w:val="nil"/>
                  <w:bottom w:val="nil"/>
                  <w:right w:val="nil"/>
                </w:tcBorders>
                <w:noWrap/>
                <w:vAlign w:val="bottom"/>
              </w:tcPr>
              <w:p w:rsidR="00AC6DF7" w:rsidRPr="00ED7033" w:rsidRDefault="00AC6DF7" w:rsidP="00ED7033">
                <w:pPr>
                  <w:spacing w:after="0" w:line="240" w:lineRule="auto"/>
                  <w:jc w:val="center"/>
                  <w:rPr>
                    <w:color w:val="000000"/>
                  </w:rPr>
                </w:pPr>
              </w:p>
            </w:tc>
          </w:tr>
          <w:tr w:rsidR="00AC6DF7" w:rsidRPr="001F6881">
            <w:trPr>
              <w:trHeight w:val="269"/>
              <w:tblCellSpacing w:w="0" w:type="dxa"/>
            </w:trPr>
            <w:tc>
              <w:tcPr>
                <w:tcW w:w="0" w:type="auto"/>
                <w:vMerge/>
                <w:tcBorders>
                  <w:top w:val="nil"/>
                  <w:left w:val="nil"/>
                  <w:bottom w:val="nil"/>
                  <w:right w:val="nil"/>
                </w:tcBorders>
                <w:vAlign w:val="center"/>
              </w:tcPr>
              <w:p w:rsidR="00AC6DF7" w:rsidRPr="00ED7033" w:rsidRDefault="00AC6DF7" w:rsidP="00ED7033">
                <w:pPr>
                  <w:spacing w:after="0" w:line="240" w:lineRule="auto"/>
                  <w:rPr>
                    <w:color w:val="000000"/>
                  </w:rPr>
                </w:pPr>
              </w:p>
            </w:tc>
          </w:tr>
        </w:tbl>
        <w:p w:rsidR="00AC6DF7" w:rsidRPr="00ED7033" w:rsidRDefault="00AC6DF7" w:rsidP="00ED7033">
          <w:pPr>
            <w:spacing w:after="0" w:line="240" w:lineRule="auto"/>
            <w:rPr>
              <w:color w:val="000000"/>
            </w:rPr>
          </w:pPr>
        </w:p>
      </w:tc>
      <w:tc>
        <w:tcPr>
          <w:tcW w:w="6536" w:type="dxa"/>
          <w:tcBorders>
            <w:top w:val="nil"/>
            <w:left w:val="nil"/>
            <w:bottom w:val="nil"/>
            <w:right w:val="nil"/>
          </w:tcBorders>
          <w:noWrap/>
          <w:vAlign w:val="center"/>
        </w:tcPr>
        <w:p w:rsidR="00AC6DF7" w:rsidRPr="004D327E" w:rsidRDefault="00AC6DF7" w:rsidP="00ED7033">
          <w:pPr>
            <w:spacing w:after="0" w:line="240" w:lineRule="auto"/>
            <w:rPr>
              <w:i/>
              <w:iCs/>
              <w:color w:val="000000"/>
              <w:sz w:val="18"/>
              <w:szCs w:val="18"/>
              <w:lang w:val="es-ES_tradnl"/>
            </w:rPr>
          </w:pPr>
          <w:r w:rsidRPr="00CE24F9">
            <w:rPr>
              <w:i/>
              <w:iCs/>
              <w:color w:val="000000"/>
              <w:sz w:val="18"/>
              <w:szCs w:val="18"/>
              <w:lang w:val="es-ES"/>
            </w:rPr>
            <w:t>Esta reunión</w:t>
          </w:r>
          <w:r>
            <w:rPr>
              <w:i/>
              <w:iCs/>
              <w:color w:val="000000"/>
              <w:sz w:val="18"/>
              <w:szCs w:val="18"/>
              <w:lang w:val="es-ES"/>
            </w:rPr>
            <w:t xml:space="preserve"> ha sido organizada con la asistencia financiera de la Unión Europea</w:t>
          </w:r>
          <w:r w:rsidRPr="00CE24F9">
            <w:rPr>
              <w:i/>
              <w:iCs/>
              <w:color w:val="000000"/>
              <w:sz w:val="18"/>
              <w:szCs w:val="18"/>
              <w:lang w:val="es-ES"/>
            </w:rPr>
            <w:t>.</w:t>
          </w:r>
        </w:p>
      </w:tc>
    </w:tr>
    <w:tr w:rsidR="00AC6DF7" w:rsidRPr="00D115D6">
      <w:trPr>
        <w:trHeight w:val="885"/>
      </w:trPr>
      <w:tc>
        <w:tcPr>
          <w:tcW w:w="976" w:type="dxa"/>
          <w:vMerge/>
          <w:tcBorders>
            <w:top w:val="nil"/>
            <w:left w:val="nil"/>
            <w:bottom w:val="nil"/>
            <w:right w:val="nil"/>
          </w:tcBorders>
          <w:vAlign w:val="center"/>
        </w:tcPr>
        <w:p w:rsidR="00AC6DF7" w:rsidRPr="004D327E" w:rsidRDefault="00AC6DF7" w:rsidP="00ED7033">
          <w:pPr>
            <w:spacing w:after="0" w:line="240" w:lineRule="auto"/>
            <w:rPr>
              <w:color w:val="000000"/>
              <w:lang w:val="es-ES_tradnl"/>
            </w:rPr>
          </w:pPr>
        </w:p>
      </w:tc>
      <w:tc>
        <w:tcPr>
          <w:tcW w:w="6536" w:type="dxa"/>
          <w:tcBorders>
            <w:top w:val="nil"/>
            <w:left w:val="nil"/>
            <w:bottom w:val="nil"/>
            <w:right w:val="nil"/>
          </w:tcBorders>
        </w:tcPr>
        <w:p w:rsidR="00AC6DF7" w:rsidRPr="004D327E" w:rsidRDefault="00AC6DF7" w:rsidP="00D115D6">
          <w:pPr>
            <w:spacing w:after="0" w:line="240" w:lineRule="auto"/>
            <w:rPr>
              <w:i/>
              <w:iCs/>
              <w:color w:val="000000"/>
              <w:sz w:val="18"/>
              <w:szCs w:val="18"/>
              <w:lang w:val="es-ES_tradnl"/>
            </w:rPr>
          </w:pPr>
          <w:r>
            <w:rPr>
              <w:i/>
              <w:iCs/>
              <w:color w:val="000000"/>
              <w:sz w:val="18"/>
              <w:szCs w:val="18"/>
              <w:lang w:val="es-ES"/>
            </w:rPr>
            <w:t xml:space="preserve">Los contenidos de la reunión y este documento son responsabilidad exclusiva de la </w:t>
          </w:r>
          <w:r w:rsidR="00D115D6">
            <w:rPr>
              <w:i/>
              <w:iCs/>
              <w:color w:val="000000"/>
              <w:sz w:val="18"/>
              <w:szCs w:val="18"/>
              <w:lang w:val="es-ES"/>
            </w:rPr>
            <w:t>RSCD</w:t>
          </w:r>
          <w:r>
            <w:rPr>
              <w:i/>
              <w:iCs/>
              <w:color w:val="000000"/>
              <w:sz w:val="18"/>
              <w:szCs w:val="18"/>
              <w:lang w:val="es-ES"/>
            </w:rPr>
            <w:t xml:space="preserve"> y bajo ningún concepto pueden ser considerados como reflejo de la posición de la Unión Europea</w:t>
          </w:r>
          <w:r w:rsidRPr="00CE24F9">
            <w:rPr>
              <w:i/>
              <w:iCs/>
              <w:color w:val="000000"/>
              <w:sz w:val="18"/>
              <w:szCs w:val="18"/>
              <w:lang w:val="es-ES"/>
            </w:rPr>
            <w:t>.</w:t>
          </w:r>
        </w:p>
      </w:tc>
    </w:tr>
  </w:tbl>
  <w:p w:rsidR="00AC6DF7" w:rsidRPr="004D327E" w:rsidRDefault="00AC6DF7">
    <w:pPr>
      <w:pStyle w:val="Footer"/>
      <w:rPr>
        <w:i/>
        <w:iCs/>
        <w:sz w:val="18"/>
        <w:szCs w:val="18"/>
        <w:lang w:val="es-ES_tradnl"/>
      </w:rPr>
    </w:pPr>
    <w:r w:rsidRPr="004D327E">
      <w:rPr>
        <w:lang w:val="es-ES_tradnl"/>
      </w:rPr>
      <w:tab/>
    </w:r>
    <w:r w:rsidRPr="004D327E">
      <w:rPr>
        <w:lang w:val="es-ES_tradn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2" w:type="dxa"/>
      <w:tblInd w:w="-106" w:type="dxa"/>
      <w:tblLook w:val="00A0" w:firstRow="1" w:lastRow="0" w:firstColumn="1" w:lastColumn="0" w:noHBand="0" w:noVBand="0"/>
    </w:tblPr>
    <w:tblGrid>
      <w:gridCol w:w="1176"/>
      <w:gridCol w:w="6536"/>
    </w:tblGrid>
    <w:tr w:rsidR="00AC6DF7" w:rsidRPr="00D115D6">
      <w:trPr>
        <w:trHeight w:val="300"/>
      </w:trPr>
      <w:tc>
        <w:tcPr>
          <w:tcW w:w="976" w:type="dxa"/>
          <w:vMerge w:val="restart"/>
          <w:tcBorders>
            <w:top w:val="nil"/>
            <w:left w:val="nil"/>
            <w:bottom w:val="nil"/>
            <w:right w:val="nil"/>
          </w:tcBorders>
          <w:noWrap/>
          <w:vAlign w:val="bottom"/>
        </w:tcPr>
        <w:p w:rsidR="00AC6DF7" w:rsidRPr="00ED7033" w:rsidRDefault="004D327E" w:rsidP="00ED7033">
          <w:pPr>
            <w:spacing w:after="0" w:line="240" w:lineRule="auto"/>
            <w:rPr>
              <w:color w:val="000000"/>
            </w:rPr>
          </w:pPr>
          <w:r>
            <w:rPr>
              <w:noProof/>
            </w:rPr>
            <w:drawing>
              <wp:anchor distT="0" distB="0" distL="114300" distR="114300" simplePos="0" relativeHeight="251657216" behindDoc="0" locked="0" layoutInCell="1" allowOverlap="1">
                <wp:simplePos x="0" y="0"/>
                <wp:positionH relativeFrom="column">
                  <wp:posOffset>133350</wp:posOffset>
                </wp:positionH>
                <wp:positionV relativeFrom="paragraph">
                  <wp:posOffset>-194310</wp:posOffset>
                </wp:positionV>
                <wp:extent cx="352425" cy="238125"/>
                <wp:effectExtent l="0" t="0" r="9525" b="9525"/>
                <wp:wrapNone/>
                <wp:docPr id="2" name="Picture 5" descr="eu 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 bann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0A0" w:firstRow="1" w:lastRow="0" w:firstColumn="1" w:lastColumn="0" w:noHBand="0" w:noVBand="0"/>
          </w:tblPr>
          <w:tblGrid>
            <w:gridCol w:w="960"/>
          </w:tblGrid>
          <w:tr w:rsidR="00AC6DF7" w:rsidRPr="001F6881">
            <w:trPr>
              <w:trHeight w:val="269"/>
              <w:tblCellSpacing w:w="0" w:type="dxa"/>
            </w:trPr>
            <w:tc>
              <w:tcPr>
                <w:tcW w:w="960" w:type="dxa"/>
                <w:vMerge w:val="restart"/>
                <w:tcBorders>
                  <w:top w:val="nil"/>
                  <w:left w:val="nil"/>
                  <w:bottom w:val="nil"/>
                  <w:right w:val="nil"/>
                </w:tcBorders>
                <w:noWrap/>
                <w:vAlign w:val="bottom"/>
              </w:tcPr>
              <w:p w:rsidR="00AC6DF7" w:rsidRPr="00ED7033" w:rsidRDefault="00AC6DF7" w:rsidP="00ED7033">
                <w:pPr>
                  <w:spacing w:after="0" w:line="240" w:lineRule="auto"/>
                  <w:jc w:val="center"/>
                  <w:rPr>
                    <w:color w:val="000000"/>
                  </w:rPr>
                </w:pPr>
              </w:p>
            </w:tc>
          </w:tr>
          <w:tr w:rsidR="00AC6DF7" w:rsidRPr="001F6881">
            <w:trPr>
              <w:trHeight w:val="269"/>
              <w:tblCellSpacing w:w="0" w:type="dxa"/>
            </w:trPr>
            <w:tc>
              <w:tcPr>
                <w:tcW w:w="0" w:type="auto"/>
                <w:vMerge/>
                <w:tcBorders>
                  <w:top w:val="nil"/>
                  <w:left w:val="nil"/>
                  <w:bottom w:val="nil"/>
                  <w:right w:val="nil"/>
                </w:tcBorders>
                <w:vAlign w:val="center"/>
              </w:tcPr>
              <w:p w:rsidR="00AC6DF7" w:rsidRPr="00ED7033" w:rsidRDefault="00AC6DF7" w:rsidP="00ED7033">
                <w:pPr>
                  <w:spacing w:after="0" w:line="240" w:lineRule="auto"/>
                  <w:rPr>
                    <w:color w:val="000000"/>
                  </w:rPr>
                </w:pPr>
              </w:p>
            </w:tc>
          </w:tr>
        </w:tbl>
        <w:p w:rsidR="00AC6DF7" w:rsidRPr="00ED7033" w:rsidRDefault="00AC6DF7" w:rsidP="00ED7033">
          <w:pPr>
            <w:spacing w:after="0" w:line="240" w:lineRule="auto"/>
            <w:rPr>
              <w:color w:val="000000"/>
            </w:rPr>
          </w:pPr>
        </w:p>
      </w:tc>
      <w:tc>
        <w:tcPr>
          <w:tcW w:w="6536" w:type="dxa"/>
          <w:tcBorders>
            <w:top w:val="nil"/>
            <w:left w:val="nil"/>
            <w:bottom w:val="nil"/>
            <w:right w:val="nil"/>
          </w:tcBorders>
          <w:noWrap/>
          <w:vAlign w:val="center"/>
        </w:tcPr>
        <w:p w:rsidR="00AC6DF7" w:rsidRPr="004D327E" w:rsidRDefault="00AC6DF7" w:rsidP="00ED7033">
          <w:pPr>
            <w:spacing w:after="0" w:line="240" w:lineRule="auto"/>
            <w:rPr>
              <w:i/>
              <w:iCs/>
              <w:color w:val="000000"/>
              <w:sz w:val="18"/>
              <w:szCs w:val="18"/>
              <w:lang w:val="es-ES_tradnl"/>
            </w:rPr>
          </w:pPr>
          <w:r w:rsidRPr="00CE24F9">
            <w:rPr>
              <w:i/>
              <w:iCs/>
              <w:color w:val="000000"/>
              <w:sz w:val="18"/>
              <w:szCs w:val="18"/>
              <w:lang w:val="es-ES"/>
            </w:rPr>
            <w:t>Esta reunión</w:t>
          </w:r>
          <w:r>
            <w:rPr>
              <w:i/>
              <w:iCs/>
              <w:color w:val="000000"/>
              <w:sz w:val="18"/>
              <w:szCs w:val="18"/>
              <w:lang w:val="es-ES"/>
            </w:rPr>
            <w:t xml:space="preserve"> ha sido organizada con la asistencia financiera de la Unión Europea</w:t>
          </w:r>
          <w:r w:rsidRPr="00CE24F9">
            <w:rPr>
              <w:i/>
              <w:iCs/>
              <w:color w:val="000000"/>
              <w:sz w:val="18"/>
              <w:szCs w:val="18"/>
              <w:lang w:val="es-ES"/>
            </w:rPr>
            <w:t>.</w:t>
          </w:r>
        </w:p>
      </w:tc>
    </w:tr>
    <w:tr w:rsidR="00AC6DF7" w:rsidRPr="00D115D6">
      <w:trPr>
        <w:trHeight w:val="885"/>
      </w:trPr>
      <w:tc>
        <w:tcPr>
          <w:tcW w:w="976" w:type="dxa"/>
          <w:vMerge/>
          <w:tcBorders>
            <w:top w:val="nil"/>
            <w:left w:val="nil"/>
            <w:bottom w:val="nil"/>
            <w:right w:val="nil"/>
          </w:tcBorders>
          <w:vAlign w:val="center"/>
        </w:tcPr>
        <w:p w:rsidR="00AC6DF7" w:rsidRPr="004D327E" w:rsidRDefault="00AC6DF7" w:rsidP="00ED7033">
          <w:pPr>
            <w:spacing w:after="0" w:line="240" w:lineRule="auto"/>
            <w:rPr>
              <w:color w:val="000000"/>
              <w:lang w:val="es-ES_tradnl"/>
            </w:rPr>
          </w:pPr>
        </w:p>
      </w:tc>
      <w:tc>
        <w:tcPr>
          <w:tcW w:w="6536" w:type="dxa"/>
          <w:tcBorders>
            <w:top w:val="nil"/>
            <w:left w:val="nil"/>
            <w:bottom w:val="nil"/>
            <w:right w:val="nil"/>
          </w:tcBorders>
        </w:tcPr>
        <w:p w:rsidR="00AC6DF7" w:rsidRPr="004D327E" w:rsidRDefault="00AC6DF7" w:rsidP="00D115D6">
          <w:pPr>
            <w:spacing w:after="0" w:line="240" w:lineRule="auto"/>
            <w:rPr>
              <w:i/>
              <w:iCs/>
              <w:color w:val="000000"/>
              <w:sz w:val="18"/>
              <w:szCs w:val="18"/>
              <w:lang w:val="es-ES_tradnl"/>
            </w:rPr>
          </w:pPr>
          <w:r>
            <w:rPr>
              <w:i/>
              <w:iCs/>
              <w:color w:val="000000"/>
              <w:sz w:val="18"/>
              <w:szCs w:val="18"/>
              <w:lang w:val="es-ES"/>
            </w:rPr>
            <w:t xml:space="preserve">Los contenidos de la reunión y este documento son responsabilidad exclusiva de la </w:t>
          </w:r>
          <w:r w:rsidR="00D115D6">
            <w:rPr>
              <w:i/>
              <w:iCs/>
              <w:color w:val="000000"/>
              <w:sz w:val="18"/>
              <w:szCs w:val="18"/>
              <w:lang w:val="es-ES"/>
            </w:rPr>
            <w:t>RSCD</w:t>
          </w:r>
          <w:r>
            <w:rPr>
              <w:i/>
              <w:iCs/>
              <w:color w:val="000000"/>
              <w:sz w:val="18"/>
              <w:szCs w:val="18"/>
              <w:lang w:val="es-ES"/>
            </w:rPr>
            <w:t xml:space="preserve"> y bajo ningún concepto pueden ser considerados como reflejo de la posición de la Unión Europea</w:t>
          </w:r>
          <w:r w:rsidRPr="00CE24F9">
            <w:rPr>
              <w:i/>
              <w:iCs/>
              <w:color w:val="000000"/>
              <w:sz w:val="18"/>
              <w:szCs w:val="18"/>
              <w:lang w:val="es-ES"/>
            </w:rPr>
            <w:t>.</w:t>
          </w:r>
        </w:p>
      </w:tc>
    </w:tr>
  </w:tbl>
  <w:p w:rsidR="00AC6DF7" w:rsidRPr="004D327E" w:rsidRDefault="00AC6DF7" w:rsidP="004F25B8">
    <w:pPr>
      <w:pStyle w:val="Footer"/>
      <w:tabs>
        <w:tab w:val="clear" w:pos="4513"/>
      </w:tabs>
      <w:ind w:left="1276" w:right="-873"/>
      <w:rPr>
        <w:i/>
        <w:iCs/>
        <w:sz w:val="18"/>
        <w:szCs w:val="18"/>
        <w:lang w:val="es-ES_tradnl"/>
      </w:rPr>
    </w:pPr>
    <w:r w:rsidRPr="004D327E">
      <w:rPr>
        <w:lang w:val="es-ES_tradnl"/>
      </w:rPr>
      <w:tab/>
    </w:r>
    <w:r w:rsidRPr="004D327E">
      <w:rPr>
        <w:lang w:val="es-ES_tradnl"/>
      </w:rPr>
      <w:tab/>
    </w:r>
  </w:p>
  <w:p w:rsidR="00AC6DF7" w:rsidRPr="004D327E" w:rsidRDefault="00AC6DF7">
    <w:pPr>
      <w:pStyle w:val="Footer"/>
      <w:rPr>
        <w:lang w:val="es-ES_tradnl"/>
      </w:rPr>
    </w:pPr>
  </w:p>
  <w:p w:rsidR="00AC6DF7" w:rsidRPr="004D327E" w:rsidRDefault="00AC6DF7">
    <w:pPr>
      <w:pStyle w:val="Footer"/>
      <w:rPr>
        <w:lang w:val="es-ES_tradnl"/>
      </w:rPr>
    </w:pPr>
  </w:p>
  <w:p w:rsidR="00AC6DF7" w:rsidRPr="004D327E" w:rsidRDefault="00AC6DF7">
    <w:pPr>
      <w:pStyle w:val="Footer"/>
      <w:rPr>
        <w:i/>
        <w:iCs/>
        <w:sz w:val="18"/>
        <w:szCs w:val="18"/>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1C" w:rsidRDefault="0092291C" w:rsidP="00D0108B">
      <w:pPr>
        <w:spacing w:after="0" w:line="240" w:lineRule="auto"/>
      </w:pPr>
      <w:r>
        <w:separator/>
      </w:r>
    </w:p>
  </w:footnote>
  <w:footnote w:type="continuationSeparator" w:id="0">
    <w:p w:rsidR="0092291C" w:rsidRDefault="0092291C" w:rsidP="00D0108B">
      <w:pPr>
        <w:spacing w:after="0" w:line="240" w:lineRule="auto"/>
      </w:pPr>
      <w:r>
        <w:continuationSeparator/>
      </w:r>
    </w:p>
  </w:footnote>
  <w:footnote w:id="1">
    <w:p w:rsidR="00AC6DF7" w:rsidRPr="0032180F" w:rsidRDefault="00AC6DF7" w:rsidP="001178D6">
      <w:pPr>
        <w:pStyle w:val="FootnoteText"/>
        <w:ind w:left="142" w:right="-731" w:hanging="142"/>
        <w:jc w:val="both"/>
        <w:rPr>
          <w:sz w:val="18"/>
          <w:szCs w:val="18"/>
          <w:lang w:val="es-ES"/>
        </w:rPr>
      </w:pPr>
      <w:r w:rsidRPr="0032180F">
        <w:rPr>
          <w:rStyle w:val="FootnoteReference"/>
          <w:lang w:val="es-ES"/>
        </w:rPr>
        <w:footnoteRef/>
      </w:r>
      <w:hyperlink r:id="rId1" w:history="1">
        <w:r w:rsidRPr="002B32B6">
          <w:rPr>
            <w:rStyle w:val="Hyperlink"/>
            <w:sz w:val="18"/>
            <w:szCs w:val="18"/>
            <w:lang w:val="es-ES"/>
          </w:rPr>
          <w:t xml:space="preserve">https://webgate.ec.europa.eu/fpfis/mwikis/aidco/index.php/DEAR:_Educaci%C3%B3n_para_el_desarrollo_y_sensibilizaci%C3%B3n:_concepto </w:t>
        </w:r>
      </w:hyperlink>
      <w:r w:rsidRPr="0032180F">
        <w:rPr>
          <w:sz w:val="18"/>
          <w:szCs w:val="18"/>
          <w:lang w:val="es-ES"/>
        </w:rPr>
        <w:t xml:space="preserve"> </w:t>
      </w:r>
    </w:p>
    <w:p w:rsidR="00AC6DF7" w:rsidRDefault="00AC6DF7" w:rsidP="001178D6">
      <w:pPr>
        <w:pStyle w:val="FootnoteText"/>
        <w:ind w:left="142" w:right="-731" w:hanging="142"/>
        <w:jc w:val="both"/>
      </w:pPr>
    </w:p>
  </w:footnote>
  <w:footnote w:id="2">
    <w:p w:rsidR="00AC6DF7" w:rsidRPr="0032180F" w:rsidRDefault="00AC6DF7" w:rsidP="001178D6">
      <w:pPr>
        <w:pStyle w:val="FootnoteText"/>
        <w:ind w:left="142" w:right="-731" w:hanging="142"/>
        <w:rPr>
          <w:sz w:val="18"/>
          <w:szCs w:val="18"/>
          <w:lang w:val="es-ES"/>
        </w:rPr>
      </w:pPr>
      <w:r w:rsidRPr="0032180F">
        <w:rPr>
          <w:rStyle w:val="FootnoteReference"/>
          <w:lang w:val="es-ES"/>
        </w:rPr>
        <w:footnoteRef/>
      </w:r>
      <w:r w:rsidRPr="0032180F">
        <w:rPr>
          <w:lang w:val="es-ES"/>
        </w:rPr>
        <w:t xml:space="preserve"> </w:t>
      </w:r>
      <w:r w:rsidRPr="0032180F">
        <w:rPr>
          <w:sz w:val="18"/>
          <w:szCs w:val="18"/>
          <w:lang w:val="es-ES"/>
        </w:rPr>
        <w:t>Para referencia</w:t>
      </w:r>
      <w:r>
        <w:rPr>
          <w:sz w:val="18"/>
          <w:szCs w:val="18"/>
          <w:lang w:val="es-ES"/>
        </w:rPr>
        <w:t>: consultar</w:t>
      </w:r>
      <w:r w:rsidRPr="0032180F">
        <w:rPr>
          <w:sz w:val="18"/>
          <w:szCs w:val="18"/>
          <w:lang w:val="es-ES"/>
        </w:rPr>
        <w:t xml:space="preserve"> </w:t>
      </w:r>
      <w:hyperlink r:id="rId2" w:tooltip="DEAR SWD 2012 457 STAFF WORKING PAPER EN.pdf" w:history="1">
        <w:r>
          <w:rPr>
            <w:rStyle w:val="Hyperlink"/>
            <w:sz w:val="18"/>
            <w:szCs w:val="18"/>
            <w:lang w:val="es-ES"/>
          </w:rPr>
          <w:t>el Documento de trabajo de los servicio</w:t>
        </w:r>
        <w:bookmarkStart w:id="0" w:name="_GoBack"/>
        <w:bookmarkEnd w:id="0"/>
        <w:r>
          <w:rPr>
            <w:rStyle w:val="Hyperlink"/>
            <w:sz w:val="18"/>
            <w:szCs w:val="18"/>
            <w:lang w:val="es-ES"/>
          </w:rPr>
          <w:t>s</w:t>
        </w:r>
        <w:r>
          <w:rPr>
            <w:rStyle w:val="Hyperlink"/>
            <w:sz w:val="18"/>
            <w:szCs w:val="18"/>
            <w:lang w:val="es-ES"/>
          </w:rPr>
          <w:t xml:space="preserve"> de la Comisión</w:t>
        </w:r>
      </w:hyperlink>
      <w:r w:rsidRPr="0032180F">
        <w:rPr>
          <w:sz w:val="18"/>
          <w:szCs w:val="18"/>
          <w:lang w:val="es-ES"/>
        </w:rPr>
        <w:t xml:space="preserve"> </w:t>
      </w:r>
      <w:r>
        <w:rPr>
          <w:sz w:val="18"/>
          <w:szCs w:val="18"/>
          <w:lang w:val="es-ES"/>
        </w:rPr>
        <w:t>de</w:t>
      </w:r>
      <w:r w:rsidRPr="0032180F">
        <w:rPr>
          <w:sz w:val="18"/>
          <w:szCs w:val="18"/>
          <w:lang w:val="es-ES"/>
        </w:rPr>
        <w:t xml:space="preserve"> 2012. </w:t>
      </w:r>
      <w:r>
        <w:rPr>
          <w:sz w:val="18"/>
          <w:szCs w:val="18"/>
          <w:lang w:val="es-ES"/>
        </w:rPr>
        <w:t>Contribuirá a la futura propuesta de la Comisión para una estrategia renovada de ED-S, que habrá de desarrollarse en el marco del Programa Temático de las Organizaciones de la Sociedad Civil y las Autoridades Locales para</w:t>
      </w:r>
      <w:r w:rsidRPr="0032180F">
        <w:rPr>
          <w:sz w:val="18"/>
          <w:szCs w:val="18"/>
          <w:lang w:val="es-ES"/>
        </w:rPr>
        <w:t xml:space="preserve"> 2014-2020.</w:t>
      </w:r>
    </w:p>
    <w:p w:rsidR="00AC6DF7" w:rsidRPr="004D327E" w:rsidRDefault="00AC6DF7" w:rsidP="001178D6">
      <w:pPr>
        <w:pStyle w:val="FootnoteText"/>
        <w:ind w:left="142" w:right="-731" w:hanging="142"/>
        <w:rPr>
          <w:lang w:val="es-ES_tradnl"/>
        </w:rPr>
      </w:pPr>
    </w:p>
  </w:footnote>
  <w:footnote w:id="3">
    <w:p w:rsidR="00AC6DF7" w:rsidRDefault="00AC6DF7" w:rsidP="004D327E">
      <w:pPr>
        <w:pStyle w:val="FootnoteText"/>
        <w:ind w:left="142" w:right="-731" w:hanging="142"/>
        <w:jc w:val="both"/>
        <w:rPr>
          <w:sz w:val="18"/>
          <w:szCs w:val="18"/>
          <w:lang w:val="es-ES"/>
        </w:rPr>
      </w:pPr>
      <w:r w:rsidRPr="0032180F">
        <w:rPr>
          <w:rStyle w:val="FootnoteReference"/>
          <w:lang w:val="es-ES"/>
        </w:rPr>
        <w:footnoteRef/>
      </w:r>
      <w:r w:rsidRPr="0032180F">
        <w:rPr>
          <w:lang w:val="es-ES"/>
        </w:rPr>
        <w:t xml:space="preserve"> </w:t>
      </w:r>
      <w:r>
        <w:rPr>
          <w:sz w:val="18"/>
          <w:szCs w:val="18"/>
          <w:lang w:val="es-ES"/>
        </w:rPr>
        <w:t xml:space="preserve">Para más detalles sobre la próxima convocatoria de propuestas </w:t>
      </w:r>
      <w:r w:rsidRPr="0032180F">
        <w:rPr>
          <w:sz w:val="18"/>
          <w:szCs w:val="18"/>
          <w:lang w:val="es-ES"/>
        </w:rPr>
        <w:t xml:space="preserve">2013, </w:t>
      </w:r>
      <w:r>
        <w:rPr>
          <w:sz w:val="18"/>
          <w:szCs w:val="18"/>
          <w:lang w:val="es-ES"/>
        </w:rPr>
        <w:t>consultar la presentación</w:t>
      </w:r>
      <w:r w:rsidRPr="0032180F">
        <w:rPr>
          <w:sz w:val="18"/>
          <w:szCs w:val="18"/>
          <w:lang w:val="es-ES"/>
        </w:rPr>
        <w:t xml:space="preserve"> </w:t>
      </w:r>
      <w:proofErr w:type="spellStart"/>
      <w:r>
        <w:rPr>
          <w:sz w:val="18"/>
          <w:szCs w:val="18"/>
          <w:lang w:val="es-ES"/>
        </w:rPr>
        <w:t>P</w:t>
      </w:r>
      <w:r w:rsidRPr="0032180F">
        <w:rPr>
          <w:sz w:val="18"/>
          <w:szCs w:val="18"/>
          <w:lang w:val="es-ES"/>
        </w:rPr>
        <w:t>ower</w:t>
      </w:r>
      <w:proofErr w:type="spellEnd"/>
      <w:r w:rsidRPr="0032180F">
        <w:rPr>
          <w:sz w:val="18"/>
          <w:szCs w:val="18"/>
          <w:lang w:val="es-ES"/>
        </w:rPr>
        <w:t xml:space="preserve"> </w:t>
      </w:r>
      <w:r>
        <w:rPr>
          <w:sz w:val="18"/>
          <w:szCs w:val="18"/>
          <w:lang w:val="es-ES"/>
        </w:rPr>
        <w:t>P</w:t>
      </w:r>
      <w:r w:rsidRPr="0032180F">
        <w:rPr>
          <w:sz w:val="18"/>
          <w:szCs w:val="18"/>
          <w:lang w:val="es-ES"/>
        </w:rPr>
        <w:t>oint</w:t>
      </w:r>
      <w:r>
        <w:rPr>
          <w:sz w:val="18"/>
          <w:szCs w:val="18"/>
          <w:lang w:val="es-ES"/>
        </w:rPr>
        <w:t xml:space="preserve"> de la CE</w:t>
      </w:r>
      <w:r w:rsidRPr="0032180F">
        <w:rPr>
          <w:sz w:val="18"/>
          <w:szCs w:val="18"/>
          <w:lang w:val="es-ES"/>
        </w:rPr>
        <w:t>:</w:t>
      </w:r>
      <w:r w:rsidRPr="0032180F">
        <w:rPr>
          <w:lang w:val="es-ES"/>
        </w:rPr>
        <w:t xml:space="preserve"> </w:t>
      </w:r>
      <w:hyperlink r:id="rId3" w:tooltip="WG C-DEAR Call for Proposals AB 1906.pdf" w:history="1">
        <w:r w:rsidRPr="0032180F">
          <w:rPr>
            <w:rStyle w:val="Hyperlink"/>
            <w:sz w:val="18"/>
            <w:szCs w:val="18"/>
            <w:lang w:val="es-ES"/>
          </w:rPr>
          <w:t>G</w:t>
        </w:r>
        <w:r>
          <w:rPr>
            <w:rStyle w:val="Hyperlink"/>
            <w:sz w:val="18"/>
            <w:szCs w:val="18"/>
            <w:lang w:val="es-ES"/>
          </w:rPr>
          <w:t>T</w:t>
        </w:r>
        <w:r w:rsidRPr="0032180F">
          <w:rPr>
            <w:rStyle w:val="Hyperlink"/>
            <w:sz w:val="18"/>
            <w:szCs w:val="18"/>
            <w:lang w:val="es-ES"/>
          </w:rPr>
          <w:t xml:space="preserve"> C </w:t>
        </w:r>
        <w:r>
          <w:rPr>
            <w:rStyle w:val="Hyperlink"/>
            <w:sz w:val="18"/>
            <w:szCs w:val="18"/>
            <w:lang w:val="es-ES"/>
          </w:rPr>
          <w:t>–</w:t>
        </w:r>
        <w:r w:rsidRPr="0032180F">
          <w:rPr>
            <w:rStyle w:val="Hyperlink"/>
            <w:sz w:val="18"/>
            <w:szCs w:val="18"/>
            <w:lang w:val="es-ES"/>
          </w:rPr>
          <w:t xml:space="preserve"> </w:t>
        </w:r>
        <w:r>
          <w:rPr>
            <w:rStyle w:val="Hyperlink"/>
            <w:sz w:val="18"/>
            <w:szCs w:val="18"/>
            <w:lang w:val="es-ES"/>
          </w:rPr>
          <w:t>ED-S</w:t>
        </w:r>
        <w:r w:rsidRPr="0032180F">
          <w:rPr>
            <w:rStyle w:val="Hyperlink"/>
            <w:sz w:val="18"/>
            <w:szCs w:val="18"/>
            <w:lang w:val="es-ES"/>
          </w:rPr>
          <w:t xml:space="preserve"> C</w:t>
        </w:r>
        <w:r>
          <w:rPr>
            <w:rStyle w:val="Hyperlink"/>
            <w:sz w:val="18"/>
            <w:szCs w:val="18"/>
            <w:lang w:val="es-ES"/>
          </w:rPr>
          <w:t>onvocatoria de pr</w:t>
        </w:r>
        <w:r>
          <w:rPr>
            <w:rStyle w:val="Hyperlink"/>
            <w:sz w:val="18"/>
            <w:szCs w:val="18"/>
            <w:lang w:val="es-ES"/>
          </w:rPr>
          <w:t>o</w:t>
        </w:r>
        <w:r>
          <w:rPr>
            <w:rStyle w:val="Hyperlink"/>
            <w:sz w:val="18"/>
            <w:szCs w:val="18"/>
            <w:lang w:val="es-ES"/>
          </w:rPr>
          <w:t>puestas</w:t>
        </w:r>
      </w:hyperlink>
      <w:r w:rsidRPr="004D327E">
        <w:rPr>
          <w:lang w:val="es-ES_tradnl"/>
        </w:rPr>
        <w:t xml:space="preserve"> </w:t>
      </w:r>
      <w:r>
        <w:rPr>
          <w:rStyle w:val="Hyperlink"/>
          <w:color w:val="auto"/>
          <w:sz w:val="18"/>
          <w:szCs w:val="18"/>
          <w:u w:val="none"/>
          <w:lang w:val="es-ES"/>
        </w:rPr>
        <w:t>Véase también</w:t>
      </w:r>
      <w:r w:rsidRPr="0032180F">
        <w:rPr>
          <w:sz w:val="18"/>
          <w:szCs w:val="18"/>
          <w:lang w:val="es-ES"/>
        </w:rPr>
        <w:t xml:space="preserve">: </w:t>
      </w:r>
      <w:hyperlink r:id="rId4" w:history="1">
        <w:r>
          <w:rPr>
            <w:rStyle w:val="Hyperlink"/>
            <w:sz w:val="18"/>
            <w:szCs w:val="18"/>
            <w:lang w:val="es-ES"/>
          </w:rPr>
          <w:t>Programa Temático</w:t>
        </w:r>
        <w:r w:rsidRPr="0032180F">
          <w:rPr>
            <w:rStyle w:val="Hyperlink"/>
            <w:sz w:val="18"/>
            <w:szCs w:val="18"/>
            <w:lang w:val="es-ES"/>
          </w:rPr>
          <w:t xml:space="preserve"> </w:t>
        </w:r>
        <w:r>
          <w:rPr>
            <w:rStyle w:val="Hyperlink"/>
            <w:sz w:val="18"/>
            <w:szCs w:val="18"/>
            <w:lang w:val="es-ES"/>
          </w:rPr>
          <w:t>ANE-AL en el Desarrollo –</w:t>
        </w:r>
        <w:r w:rsidRPr="0032180F">
          <w:rPr>
            <w:rStyle w:val="Hyperlink"/>
            <w:sz w:val="18"/>
            <w:szCs w:val="18"/>
            <w:lang w:val="es-ES"/>
          </w:rPr>
          <w:t xml:space="preserve"> </w:t>
        </w:r>
        <w:r>
          <w:rPr>
            <w:rStyle w:val="Hyperlink"/>
            <w:sz w:val="18"/>
            <w:szCs w:val="18"/>
            <w:lang w:val="es-ES"/>
          </w:rPr>
          <w:t>Documento de estrategias 2011</w:t>
        </w:r>
        <w:r w:rsidRPr="0032180F">
          <w:rPr>
            <w:rStyle w:val="Hyperlink"/>
            <w:sz w:val="18"/>
            <w:szCs w:val="18"/>
            <w:lang w:val="es-ES"/>
          </w:rPr>
          <w:t>-2013</w:t>
        </w:r>
      </w:hyperlink>
      <w:r w:rsidRPr="0032180F">
        <w:rPr>
          <w:sz w:val="18"/>
          <w:szCs w:val="18"/>
          <w:lang w:val="es-ES"/>
        </w:rPr>
        <w:t xml:space="preserve"> (</w:t>
      </w:r>
      <w:r>
        <w:rPr>
          <w:sz w:val="18"/>
          <w:szCs w:val="18"/>
          <w:lang w:val="es-ES"/>
        </w:rPr>
        <w:t xml:space="preserve">leer el Objetivo </w:t>
      </w:r>
      <w:r w:rsidRPr="0032180F">
        <w:rPr>
          <w:sz w:val="18"/>
          <w:szCs w:val="18"/>
          <w:lang w:val="es-ES"/>
        </w:rPr>
        <w:t xml:space="preserve">2) </w:t>
      </w:r>
      <w:r>
        <w:rPr>
          <w:sz w:val="18"/>
          <w:szCs w:val="18"/>
          <w:lang w:val="es-ES"/>
        </w:rPr>
        <w:t>y el Plan de Acción Anual</w:t>
      </w:r>
      <w:r w:rsidRPr="0032180F">
        <w:rPr>
          <w:sz w:val="18"/>
          <w:szCs w:val="18"/>
          <w:lang w:val="es-ES"/>
        </w:rPr>
        <w:t xml:space="preserve"> 2013 </w:t>
      </w:r>
      <w:hyperlink r:id="rId5" w:tooltip="Action Fiche" w:history="1">
        <w:r>
          <w:rPr>
            <w:rStyle w:val="Hyperlink"/>
            <w:sz w:val="18"/>
            <w:szCs w:val="18"/>
            <w:lang w:val="es-ES"/>
          </w:rPr>
          <w:t>Ficha de Acción</w:t>
        </w:r>
      </w:hyperlink>
      <w:r w:rsidRPr="0032180F">
        <w:rPr>
          <w:sz w:val="18"/>
          <w:szCs w:val="18"/>
          <w:lang w:val="es-ES"/>
        </w:rPr>
        <w:t xml:space="preserve"> (</w:t>
      </w:r>
      <w:r>
        <w:rPr>
          <w:sz w:val="18"/>
          <w:szCs w:val="18"/>
          <w:lang w:val="es-ES"/>
        </w:rPr>
        <w:t>Ficha de acción núm.</w:t>
      </w:r>
      <w:r w:rsidRPr="0032180F">
        <w:rPr>
          <w:sz w:val="18"/>
          <w:szCs w:val="18"/>
          <w:lang w:val="es-ES"/>
        </w:rPr>
        <w:t xml:space="preserve"> 11 p</w:t>
      </w:r>
      <w:r>
        <w:rPr>
          <w:sz w:val="18"/>
          <w:szCs w:val="18"/>
          <w:lang w:val="es-ES"/>
        </w:rPr>
        <w:t>ágs</w:t>
      </w:r>
      <w:r w:rsidRPr="0032180F">
        <w:rPr>
          <w:sz w:val="18"/>
          <w:szCs w:val="18"/>
          <w:lang w:val="es-ES"/>
        </w:rPr>
        <w:t>.</w:t>
      </w:r>
      <w:r>
        <w:rPr>
          <w:sz w:val="18"/>
          <w:szCs w:val="18"/>
          <w:lang w:val="es-ES"/>
        </w:rPr>
        <w:t xml:space="preserve"> </w:t>
      </w:r>
      <w:r w:rsidRPr="0032180F">
        <w:rPr>
          <w:sz w:val="18"/>
          <w:szCs w:val="18"/>
          <w:lang w:val="es-ES"/>
        </w:rPr>
        <w:t>69-73)</w:t>
      </w:r>
      <w:r>
        <w:rPr>
          <w:sz w:val="18"/>
          <w:szCs w:val="18"/>
          <w:lang w:val="es-ES"/>
        </w:rPr>
        <w:t xml:space="preserve"> </w:t>
      </w:r>
    </w:p>
    <w:p w:rsidR="00D115D6" w:rsidRPr="004D327E" w:rsidRDefault="00D115D6" w:rsidP="004D327E">
      <w:pPr>
        <w:pStyle w:val="FootnoteText"/>
        <w:ind w:left="142" w:right="-731" w:hanging="142"/>
        <w:jc w:val="both"/>
        <w:rPr>
          <w:sz w:val="18"/>
          <w:szCs w:val="18"/>
          <w:lang w:val="es-ES"/>
        </w:rPr>
      </w:pPr>
    </w:p>
    <w:p w:rsidR="00AC6DF7" w:rsidRPr="00D115D6" w:rsidRDefault="00AC6DF7">
      <w:pPr>
        <w:pStyle w:val="FootnoteText"/>
        <w:rPr>
          <w:lang w:val="es-ES_tradnl"/>
        </w:rPr>
      </w:pPr>
    </w:p>
  </w:footnote>
  <w:footnote w:id="4">
    <w:p w:rsidR="00AC6DF7" w:rsidRPr="004D327E" w:rsidRDefault="00AC6DF7" w:rsidP="00BD4DEE">
      <w:pPr>
        <w:ind w:right="-731"/>
        <w:rPr>
          <w:lang w:val="es-ES_tradnl"/>
        </w:rPr>
      </w:pPr>
      <w:r w:rsidRPr="0032180F">
        <w:rPr>
          <w:rStyle w:val="FootnoteReference"/>
          <w:sz w:val="20"/>
          <w:szCs w:val="20"/>
          <w:lang w:val="es-ES"/>
        </w:rPr>
        <w:footnoteRef/>
      </w:r>
      <w:r w:rsidRPr="0032180F">
        <w:rPr>
          <w:sz w:val="20"/>
          <w:szCs w:val="20"/>
          <w:lang w:val="es-ES"/>
        </w:rPr>
        <w:t xml:space="preserve"> </w:t>
      </w:r>
      <w:hyperlink r:id="rId6" w:history="1">
        <w:r>
          <w:rPr>
            <w:rStyle w:val="Hyperlink"/>
            <w:sz w:val="18"/>
            <w:szCs w:val="18"/>
            <w:lang w:val="es-ES"/>
          </w:rPr>
          <w:t>Declaración sobre el fomento de la Educación Sindical para el Desarrollo y la Sensibilización</w:t>
        </w:r>
      </w:hyperlink>
    </w:p>
  </w:footnote>
  <w:footnote w:id="5">
    <w:p w:rsidR="00AC6DF7" w:rsidRPr="0032180F" w:rsidRDefault="00AC6DF7" w:rsidP="006E54D1">
      <w:pPr>
        <w:pStyle w:val="FootnoteText"/>
        <w:rPr>
          <w:rStyle w:val="Hyperlink"/>
          <w:sz w:val="18"/>
          <w:szCs w:val="18"/>
          <w:lang w:val="es-ES"/>
        </w:rPr>
      </w:pPr>
      <w:r w:rsidRPr="0032180F">
        <w:rPr>
          <w:rStyle w:val="FootnoteReference"/>
          <w:sz w:val="18"/>
          <w:szCs w:val="18"/>
          <w:lang w:val="es-ES"/>
        </w:rPr>
        <w:footnoteRef/>
      </w:r>
      <w:r w:rsidRPr="0032180F">
        <w:rPr>
          <w:sz w:val="18"/>
          <w:szCs w:val="18"/>
          <w:lang w:val="es-ES"/>
        </w:rPr>
        <w:t xml:space="preserve"> </w:t>
      </w:r>
      <w:hyperlink r:id="rId7" w:history="1">
        <w:r>
          <w:rPr>
            <w:rStyle w:val="Hyperlink"/>
            <w:sz w:val="18"/>
            <w:szCs w:val="18"/>
            <w:lang w:val="es-ES"/>
          </w:rPr>
          <w:t>Declaración sobre el fomento de la Educación para el Desarrollo en el seno del movimiento sindical</w:t>
        </w:r>
      </w:hyperlink>
    </w:p>
    <w:p w:rsidR="00AC6DF7" w:rsidRPr="004D327E" w:rsidRDefault="00AC6DF7" w:rsidP="006E54D1">
      <w:pPr>
        <w:pStyle w:val="FootnoteText"/>
        <w:rPr>
          <w:lang w:val="es-ES_tradnl"/>
        </w:rPr>
      </w:pPr>
    </w:p>
  </w:footnote>
  <w:footnote w:id="6">
    <w:p w:rsidR="008C40EB" w:rsidRDefault="008C40EB">
      <w:pPr>
        <w:pStyle w:val="FootnoteText"/>
        <w:rPr>
          <w:lang w:val="es-ES_tradnl"/>
        </w:rPr>
      </w:pPr>
      <w:r>
        <w:rPr>
          <w:rStyle w:val="FootnoteReference"/>
        </w:rPr>
        <w:footnoteRef/>
      </w:r>
      <w:r w:rsidRPr="006A622F">
        <w:rPr>
          <w:lang w:val="es-ES_tradnl"/>
        </w:rPr>
        <w:t xml:space="preserve"> </w:t>
      </w:r>
      <w:hyperlink r:id="rId8" w:history="1">
        <w:r w:rsidR="006A622F" w:rsidRPr="006A622F">
          <w:rPr>
            <w:rStyle w:val="Hyperlink"/>
            <w:lang w:val="es-ES_tradnl"/>
          </w:rPr>
          <w:t>Documento de trabajo de la Comisión</w:t>
        </w:r>
      </w:hyperlink>
      <w:r w:rsidR="006A622F" w:rsidRPr="006A622F">
        <w:rPr>
          <w:lang w:val="es-ES_tradnl"/>
        </w:rPr>
        <w:t xml:space="preserve"> p.17</w:t>
      </w:r>
    </w:p>
    <w:p w:rsidR="006C52E7" w:rsidRPr="006A622F" w:rsidRDefault="006C52E7">
      <w:pPr>
        <w:pStyle w:val="FootnoteText"/>
        <w:rPr>
          <w:lang w:val="es-ES_tradnl"/>
        </w:rPr>
      </w:pPr>
    </w:p>
  </w:footnote>
  <w:footnote w:id="7">
    <w:p w:rsidR="008C40EB" w:rsidRDefault="008C40EB">
      <w:pPr>
        <w:pStyle w:val="FootnoteText"/>
        <w:rPr>
          <w:lang w:val="es-ES_tradnl"/>
        </w:rPr>
      </w:pPr>
      <w:r>
        <w:rPr>
          <w:rStyle w:val="FootnoteReference"/>
        </w:rPr>
        <w:footnoteRef/>
      </w:r>
      <w:r w:rsidRPr="006A622F">
        <w:rPr>
          <w:lang w:val="es-ES_tradnl"/>
        </w:rPr>
        <w:t xml:space="preserve"> </w:t>
      </w:r>
      <w:hyperlink r:id="rId9" w:history="1">
        <w:r w:rsidR="006A622F" w:rsidRPr="006A622F">
          <w:rPr>
            <w:rStyle w:val="Hyperlink"/>
            <w:lang w:val="es-ES_tradnl"/>
          </w:rPr>
          <w:t>Propuesta para una decisión del PE y del Consejo sobre el Año Europeo del Desarrollo (2015)</w:t>
        </w:r>
      </w:hyperlink>
      <w:r w:rsidR="006A622F" w:rsidRPr="006A622F">
        <w:rPr>
          <w:lang w:val="es-ES_tradnl"/>
        </w:rPr>
        <w:t xml:space="preserve"> y </w:t>
      </w:r>
      <w:hyperlink r:id="rId10" w:history="1">
        <w:r w:rsidR="006A622F" w:rsidRPr="006A622F">
          <w:rPr>
            <w:rStyle w:val="Hyperlink"/>
            <w:lang w:val="es-ES_tradnl"/>
          </w:rPr>
          <w:t>documento de trabajo de la Comisión – Año Europeo del Desarrollo 2015</w:t>
        </w:r>
      </w:hyperlink>
    </w:p>
    <w:p w:rsidR="006C52E7" w:rsidRPr="006A622F" w:rsidRDefault="006C52E7">
      <w:pPr>
        <w:pStyle w:val="FootnoteText"/>
        <w:rPr>
          <w:rFonts w:asciiTheme="minorHAnsi" w:eastAsiaTheme="minorEastAsia" w:hAnsiTheme="minorHAnsi" w:cstheme="minorBidi"/>
          <w:sz w:val="18"/>
          <w:szCs w:val="18"/>
          <w:highlight w:val="yellow"/>
          <w:lang w:val="es-ES_tradnl"/>
        </w:rPr>
      </w:pPr>
    </w:p>
  </w:footnote>
  <w:footnote w:id="8">
    <w:p w:rsidR="008C40EB" w:rsidRDefault="008C40EB">
      <w:pPr>
        <w:pStyle w:val="FootnoteText"/>
        <w:rPr>
          <w:lang w:val="es-ES_tradnl"/>
        </w:rPr>
      </w:pPr>
      <w:r>
        <w:rPr>
          <w:rStyle w:val="FootnoteReference"/>
        </w:rPr>
        <w:footnoteRef/>
      </w:r>
      <w:r w:rsidRPr="006A622F">
        <w:rPr>
          <w:lang w:val="es-ES_tradnl"/>
        </w:rPr>
        <w:t xml:space="preserve"> </w:t>
      </w:r>
      <w:hyperlink r:id="rId11" w:history="1">
        <w:r w:rsidR="00542715" w:rsidRPr="00576B6D">
          <w:rPr>
            <w:rStyle w:val="Hyperlink"/>
            <w:lang w:val="es-ES_tradnl"/>
          </w:rPr>
          <w:t>http://europa.eu/rapid/press-release_IP-13-166_es.htm</w:t>
        </w:r>
      </w:hyperlink>
      <w:r w:rsidR="00542715">
        <w:rPr>
          <w:lang w:val="es-ES_tradnl"/>
        </w:rPr>
        <w:t xml:space="preserve"> </w:t>
      </w:r>
    </w:p>
    <w:p w:rsidR="00D115D6" w:rsidRDefault="00D115D6">
      <w:pPr>
        <w:pStyle w:val="FootnoteText"/>
        <w:rPr>
          <w:lang w:val="es-ES_tradnl"/>
        </w:rPr>
      </w:pPr>
    </w:p>
    <w:p w:rsidR="00D115D6" w:rsidRPr="006A622F" w:rsidRDefault="00D115D6">
      <w:pPr>
        <w:pStyle w:val="FootnoteText"/>
        <w:rPr>
          <w:lang w:val="es-ES_trad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D30"/>
    <w:multiLevelType w:val="hybridMultilevel"/>
    <w:tmpl w:val="828CA42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7015575"/>
    <w:multiLevelType w:val="hybridMultilevel"/>
    <w:tmpl w:val="6292DB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73C392B"/>
    <w:multiLevelType w:val="hybridMultilevel"/>
    <w:tmpl w:val="B1881B76"/>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74A570E"/>
    <w:multiLevelType w:val="hybridMultilevel"/>
    <w:tmpl w:val="EB0264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227C25A9"/>
    <w:multiLevelType w:val="hybridMultilevel"/>
    <w:tmpl w:val="C8E6A1E6"/>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2AD27803"/>
    <w:multiLevelType w:val="hybridMultilevel"/>
    <w:tmpl w:val="AA5E5FB6"/>
    <w:lvl w:ilvl="0" w:tplc="08090001">
      <w:start w:val="1"/>
      <w:numFmt w:val="bullet"/>
      <w:lvlText w:val=""/>
      <w:lvlJc w:val="left"/>
      <w:pPr>
        <w:ind w:left="1776" w:hanging="360"/>
      </w:pPr>
      <w:rPr>
        <w:rFonts w:ascii="Symbol" w:hAnsi="Symbol" w:cs="Symbol" w:hint="default"/>
      </w:rPr>
    </w:lvl>
    <w:lvl w:ilvl="1" w:tplc="08090003">
      <w:start w:val="1"/>
      <w:numFmt w:val="bullet"/>
      <w:lvlText w:val="o"/>
      <w:lvlJc w:val="left"/>
      <w:pPr>
        <w:ind w:left="2496" w:hanging="360"/>
      </w:pPr>
      <w:rPr>
        <w:rFonts w:ascii="Courier New" w:hAnsi="Courier New" w:cs="Courier New" w:hint="default"/>
      </w:rPr>
    </w:lvl>
    <w:lvl w:ilvl="2" w:tplc="08090005">
      <w:start w:val="1"/>
      <w:numFmt w:val="bullet"/>
      <w:lvlText w:val=""/>
      <w:lvlJc w:val="left"/>
      <w:pPr>
        <w:ind w:left="3216" w:hanging="360"/>
      </w:pPr>
      <w:rPr>
        <w:rFonts w:ascii="Wingdings" w:hAnsi="Wingdings" w:cs="Wingdings" w:hint="default"/>
      </w:rPr>
    </w:lvl>
    <w:lvl w:ilvl="3" w:tplc="08090001">
      <w:start w:val="1"/>
      <w:numFmt w:val="bullet"/>
      <w:lvlText w:val=""/>
      <w:lvlJc w:val="left"/>
      <w:pPr>
        <w:ind w:left="3936" w:hanging="360"/>
      </w:pPr>
      <w:rPr>
        <w:rFonts w:ascii="Symbol" w:hAnsi="Symbol" w:cs="Symbol" w:hint="default"/>
      </w:rPr>
    </w:lvl>
    <w:lvl w:ilvl="4" w:tplc="08090003">
      <w:start w:val="1"/>
      <w:numFmt w:val="bullet"/>
      <w:lvlText w:val="o"/>
      <w:lvlJc w:val="left"/>
      <w:pPr>
        <w:ind w:left="4656" w:hanging="360"/>
      </w:pPr>
      <w:rPr>
        <w:rFonts w:ascii="Courier New" w:hAnsi="Courier New" w:cs="Courier New" w:hint="default"/>
      </w:rPr>
    </w:lvl>
    <w:lvl w:ilvl="5" w:tplc="08090005">
      <w:start w:val="1"/>
      <w:numFmt w:val="bullet"/>
      <w:lvlText w:val=""/>
      <w:lvlJc w:val="left"/>
      <w:pPr>
        <w:ind w:left="5376" w:hanging="360"/>
      </w:pPr>
      <w:rPr>
        <w:rFonts w:ascii="Wingdings" w:hAnsi="Wingdings" w:cs="Wingdings" w:hint="default"/>
      </w:rPr>
    </w:lvl>
    <w:lvl w:ilvl="6" w:tplc="08090001">
      <w:start w:val="1"/>
      <w:numFmt w:val="bullet"/>
      <w:lvlText w:val=""/>
      <w:lvlJc w:val="left"/>
      <w:pPr>
        <w:ind w:left="6096" w:hanging="360"/>
      </w:pPr>
      <w:rPr>
        <w:rFonts w:ascii="Symbol" w:hAnsi="Symbol" w:cs="Symbol" w:hint="default"/>
      </w:rPr>
    </w:lvl>
    <w:lvl w:ilvl="7" w:tplc="08090003">
      <w:start w:val="1"/>
      <w:numFmt w:val="bullet"/>
      <w:lvlText w:val="o"/>
      <w:lvlJc w:val="left"/>
      <w:pPr>
        <w:ind w:left="6816" w:hanging="360"/>
      </w:pPr>
      <w:rPr>
        <w:rFonts w:ascii="Courier New" w:hAnsi="Courier New" w:cs="Courier New" w:hint="default"/>
      </w:rPr>
    </w:lvl>
    <w:lvl w:ilvl="8" w:tplc="08090005">
      <w:start w:val="1"/>
      <w:numFmt w:val="bullet"/>
      <w:lvlText w:val=""/>
      <w:lvlJc w:val="left"/>
      <w:pPr>
        <w:ind w:left="7536" w:hanging="360"/>
      </w:pPr>
      <w:rPr>
        <w:rFonts w:ascii="Wingdings" w:hAnsi="Wingdings" w:cs="Wingdings" w:hint="default"/>
      </w:rPr>
    </w:lvl>
  </w:abstractNum>
  <w:abstractNum w:abstractNumId="6">
    <w:nsid w:val="2C5A3946"/>
    <w:multiLevelType w:val="hybridMultilevel"/>
    <w:tmpl w:val="F6F0ED9C"/>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7">
    <w:nsid w:val="3162330C"/>
    <w:multiLevelType w:val="hybridMultilevel"/>
    <w:tmpl w:val="CD62BE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C2E69AF"/>
    <w:multiLevelType w:val="hybridMultilevel"/>
    <w:tmpl w:val="46ACA320"/>
    <w:lvl w:ilvl="0" w:tplc="0809000F">
      <w:start w:val="1"/>
      <w:numFmt w:val="decimal"/>
      <w:lvlText w:val="%1."/>
      <w:lvlJc w:val="left"/>
      <w:pPr>
        <w:ind w:left="1428"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9">
    <w:nsid w:val="5B702466"/>
    <w:multiLevelType w:val="hybridMultilevel"/>
    <w:tmpl w:val="15B89EEC"/>
    <w:lvl w:ilvl="0" w:tplc="08090001">
      <w:start w:val="1"/>
      <w:numFmt w:val="bullet"/>
      <w:lvlText w:val=""/>
      <w:lvlJc w:val="left"/>
      <w:pPr>
        <w:ind w:left="1776" w:hanging="360"/>
      </w:pPr>
      <w:rPr>
        <w:rFonts w:ascii="Symbol" w:hAnsi="Symbol" w:cs="Symbol" w:hint="default"/>
      </w:rPr>
    </w:lvl>
    <w:lvl w:ilvl="1" w:tplc="08090003">
      <w:start w:val="1"/>
      <w:numFmt w:val="bullet"/>
      <w:lvlText w:val="o"/>
      <w:lvlJc w:val="left"/>
      <w:pPr>
        <w:ind w:left="2496" w:hanging="360"/>
      </w:pPr>
      <w:rPr>
        <w:rFonts w:ascii="Courier New" w:hAnsi="Courier New" w:cs="Courier New" w:hint="default"/>
      </w:rPr>
    </w:lvl>
    <w:lvl w:ilvl="2" w:tplc="08090005">
      <w:start w:val="1"/>
      <w:numFmt w:val="bullet"/>
      <w:lvlText w:val=""/>
      <w:lvlJc w:val="left"/>
      <w:pPr>
        <w:ind w:left="3216" w:hanging="360"/>
      </w:pPr>
      <w:rPr>
        <w:rFonts w:ascii="Wingdings" w:hAnsi="Wingdings" w:cs="Wingdings" w:hint="default"/>
      </w:rPr>
    </w:lvl>
    <w:lvl w:ilvl="3" w:tplc="08090001">
      <w:start w:val="1"/>
      <w:numFmt w:val="bullet"/>
      <w:lvlText w:val=""/>
      <w:lvlJc w:val="left"/>
      <w:pPr>
        <w:ind w:left="3936" w:hanging="360"/>
      </w:pPr>
      <w:rPr>
        <w:rFonts w:ascii="Symbol" w:hAnsi="Symbol" w:cs="Symbol" w:hint="default"/>
      </w:rPr>
    </w:lvl>
    <w:lvl w:ilvl="4" w:tplc="08090003">
      <w:start w:val="1"/>
      <w:numFmt w:val="bullet"/>
      <w:lvlText w:val="o"/>
      <w:lvlJc w:val="left"/>
      <w:pPr>
        <w:ind w:left="4656" w:hanging="360"/>
      </w:pPr>
      <w:rPr>
        <w:rFonts w:ascii="Courier New" w:hAnsi="Courier New" w:cs="Courier New" w:hint="default"/>
      </w:rPr>
    </w:lvl>
    <w:lvl w:ilvl="5" w:tplc="08090005">
      <w:start w:val="1"/>
      <w:numFmt w:val="bullet"/>
      <w:lvlText w:val=""/>
      <w:lvlJc w:val="left"/>
      <w:pPr>
        <w:ind w:left="5376" w:hanging="360"/>
      </w:pPr>
      <w:rPr>
        <w:rFonts w:ascii="Wingdings" w:hAnsi="Wingdings" w:cs="Wingdings" w:hint="default"/>
      </w:rPr>
    </w:lvl>
    <w:lvl w:ilvl="6" w:tplc="08090001">
      <w:start w:val="1"/>
      <w:numFmt w:val="bullet"/>
      <w:lvlText w:val=""/>
      <w:lvlJc w:val="left"/>
      <w:pPr>
        <w:ind w:left="6096" w:hanging="360"/>
      </w:pPr>
      <w:rPr>
        <w:rFonts w:ascii="Symbol" w:hAnsi="Symbol" w:cs="Symbol" w:hint="default"/>
      </w:rPr>
    </w:lvl>
    <w:lvl w:ilvl="7" w:tplc="08090003">
      <w:start w:val="1"/>
      <w:numFmt w:val="bullet"/>
      <w:lvlText w:val="o"/>
      <w:lvlJc w:val="left"/>
      <w:pPr>
        <w:ind w:left="6816" w:hanging="360"/>
      </w:pPr>
      <w:rPr>
        <w:rFonts w:ascii="Courier New" w:hAnsi="Courier New" w:cs="Courier New" w:hint="default"/>
      </w:rPr>
    </w:lvl>
    <w:lvl w:ilvl="8" w:tplc="08090005">
      <w:start w:val="1"/>
      <w:numFmt w:val="bullet"/>
      <w:lvlText w:val=""/>
      <w:lvlJc w:val="left"/>
      <w:pPr>
        <w:ind w:left="7536" w:hanging="360"/>
      </w:pPr>
      <w:rPr>
        <w:rFonts w:ascii="Wingdings" w:hAnsi="Wingdings" w:cs="Wingdings" w:hint="default"/>
      </w:rPr>
    </w:lvl>
  </w:abstractNum>
  <w:abstractNum w:abstractNumId="10">
    <w:nsid w:val="611D5AE7"/>
    <w:multiLevelType w:val="hybridMultilevel"/>
    <w:tmpl w:val="6EFAF99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67601EC1"/>
    <w:multiLevelType w:val="hybridMultilevel"/>
    <w:tmpl w:val="5D0299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68EB4762"/>
    <w:multiLevelType w:val="hybridMultilevel"/>
    <w:tmpl w:val="7286FC1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73A14A21"/>
    <w:multiLevelType w:val="hybridMultilevel"/>
    <w:tmpl w:val="2640E230"/>
    <w:lvl w:ilvl="0" w:tplc="08090001">
      <w:start w:val="1"/>
      <w:numFmt w:val="bullet"/>
      <w:lvlText w:val=""/>
      <w:lvlJc w:val="left"/>
      <w:pPr>
        <w:ind w:left="1776" w:hanging="360"/>
      </w:pPr>
      <w:rPr>
        <w:rFonts w:ascii="Symbol" w:hAnsi="Symbol" w:cs="Symbol" w:hint="default"/>
      </w:rPr>
    </w:lvl>
    <w:lvl w:ilvl="1" w:tplc="08090003">
      <w:start w:val="1"/>
      <w:numFmt w:val="bullet"/>
      <w:lvlText w:val="o"/>
      <w:lvlJc w:val="left"/>
      <w:pPr>
        <w:ind w:left="2496" w:hanging="360"/>
      </w:pPr>
      <w:rPr>
        <w:rFonts w:ascii="Courier New" w:hAnsi="Courier New" w:cs="Courier New" w:hint="default"/>
      </w:rPr>
    </w:lvl>
    <w:lvl w:ilvl="2" w:tplc="08090005">
      <w:start w:val="1"/>
      <w:numFmt w:val="bullet"/>
      <w:lvlText w:val=""/>
      <w:lvlJc w:val="left"/>
      <w:pPr>
        <w:ind w:left="3216" w:hanging="360"/>
      </w:pPr>
      <w:rPr>
        <w:rFonts w:ascii="Wingdings" w:hAnsi="Wingdings" w:cs="Wingdings" w:hint="default"/>
      </w:rPr>
    </w:lvl>
    <w:lvl w:ilvl="3" w:tplc="08090001">
      <w:start w:val="1"/>
      <w:numFmt w:val="bullet"/>
      <w:lvlText w:val=""/>
      <w:lvlJc w:val="left"/>
      <w:pPr>
        <w:ind w:left="3936" w:hanging="360"/>
      </w:pPr>
      <w:rPr>
        <w:rFonts w:ascii="Symbol" w:hAnsi="Symbol" w:cs="Symbol" w:hint="default"/>
      </w:rPr>
    </w:lvl>
    <w:lvl w:ilvl="4" w:tplc="08090003">
      <w:start w:val="1"/>
      <w:numFmt w:val="bullet"/>
      <w:lvlText w:val="o"/>
      <w:lvlJc w:val="left"/>
      <w:pPr>
        <w:ind w:left="4656" w:hanging="360"/>
      </w:pPr>
      <w:rPr>
        <w:rFonts w:ascii="Courier New" w:hAnsi="Courier New" w:cs="Courier New" w:hint="default"/>
      </w:rPr>
    </w:lvl>
    <w:lvl w:ilvl="5" w:tplc="08090005">
      <w:start w:val="1"/>
      <w:numFmt w:val="bullet"/>
      <w:lvlText w:val=""/>
      <w:lvlJc w:val="left"/>
      <w:pPr>
        <w:ind w:left="5376" w:hanging="360"/>
      </w:pPr>
      <w:rPr>
        <w:rFonts w:ascii="Wingdings" w:hAnsi="Wingdings" w:cs="Wingdings" w:hint="default"/>
      </w:rPr>
    </w:lvl>
    <w:lvl w:ilvl="6" w:tplc="08090001">
      <w:start w:val="1"/>
      <w:numFmt w:val="bullet"/>
      <w:lvlText w:val=""/>
      <w:lvlJc w:val="left"/>
      <w:pPr>
        <w:ind w:left="6096" w:hanging="360"/>
      </w:pPr>
      <w:rPr>
        <w:rFonts w:ascii="Symbol" w:hAnsi="Symbol" w:cs="Symbol" w:hint="default"/>
      </w:rPr>
    </w:lvl>
    <w:lvl w:ilvl="7" w:tplc="08090003">
      <w:start w:val="1"/>
      <w:numFmt w:val="bullet"/>
      <w:lvlText w:val="o"/>
      <w:lvlJc w:val="left"/>
      <w:pPr>
        <w:ind w:left="6816" w:hanging="360"/>
      </w:pPr>
      <w:rPr>
        <w:rFonts w:ascii="Courier New" w:hAnsi="Courier New" w:cs="Courier New" w:hint="default"/>
      </w:rPr>
    </w:lvl>
    <w:lvl w:ilvl="8" w:tplc="08090005">
      <w:start w:val="1"/>
      <w:numFmt w:val="bullet"/>
      <w:lvlText w:val=""/>
      <w:lvlJc w:val="left"/>
      <w:pPr>
        <w:ind w:left="7536" w:hanging="360"/>
      </w:pPr>
      <w:rPr>
        <w:rFonts w:ascii="Wingdings" w:hAnsi="Wingdings" w:cs="Wingdings" w:hint="default"/>
      </w:rPr>
    </w:lvl>
  </w:abstractNum>
  <w:num w:numId="1">
    <w:abstractNumId w:val="6"/>
  </w:num>
  <w:num w:numId="2">
    <w:abstractNumId w:val="8"/>
  </w:num>
  <w:num w:numId="3">
    <w:abstractNumId w:val="5"/>
  </w:num>
  <w:num w:numId="4">
    <w:abstractNumId w:val="9"/>
  </w:num>
  <w:num w:numId="5">
    <w:abstractNumId w:val="13"/>
  </w:num>
  <w:num w:numId="6">
    <w:abstractNumId w:val="7"/>
  </w:num>
  <w:num w:numId="7">
    <w:abstractNumId w:val="10"/>
  </w:num>
  <w:num w:numId="8">
    <w:abstractNumId w:val="11"/>
  </w:num>
  <w:num w:numId="9">
    <w:abstractNumId w:val="3"/>
  </w:num>
  <w:num w:numId="10">
    <w:abstractNumId w:val="12"/>
  </w:num>
  <w:num w:numId="11">
    <w:abstractNumId w:val="4"/>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4F"/>
    <w:rsid w:val="00022566"/>
    <w:rsid w:val="00026E22"/>
    <w:rsid w:val="000349CE"/>
    <w:rsid w:val="00055206"/>
    <w:rsid w:val="00073EB6"/>
    <w:rsid w:val="00073EDB"/>
    <w:rsid w:val="00092BF1"/>
    <w:rsid w:val="000A48A7"/>
    <w:rsid w:val="000D4489"/>
    <w:rsid w:val="000E5730"/>
    <w:rsid w:val="000F3EFF"/>
    <w:rsid w:val="00110D6B"/>
    <w:rsid w:val="00111268"/>
    <w:rsid w:val="001178D6"/>
    <w:rsid w:val="001402A5"/>
    <w:rsid w:val="001652BF"/>
    <w:rsid w:val="00167CF8"/>
    <w:rsid w:val="001C07E0"/>
    <w:rsid w:val="001D0D41"/>
    <w:rsid w:val="001D5CE7"/>
    <w:rsid w:val="001E5753"/>
    <w:rsid w:val="001F6881"/>
    <w:rsid w:val="00202C7F"/>
    <w:rsid w:val="0020392E"/>
    <w:rsid w:val="002155D8"/>
    <w:rsid w:val="00251EDC"/>
    <w:rsid w:val="00262A6B"/>
    <w:rsid w:val="00263FC6"/>
    <w:rsid w:val="00265A03"/>
    <w:rsid w:val="00265B17"/>
    <w:rsid w:val="00275F5C"/>
    <w:rsid w:val="0029421F"/>
    <w:rsid w:val="002A3EBB"/>
    <w:rsid w:val="002B32B6"/>
    <w:rsid w:val="002D7818"/>
    <w:rsid w:val="00301257"/>
    <w:rsid w:val="00312322"/>
    <w:rsid w:val="0031350D"/>
    <w:rsid w:val="0031667A"/>
    <w:rsid w:val="0032180F"/>
    <w:rsid w:val="00333509"/>
    <w:rsid w:val="00381C4F"/>
    <w:rsid w:val="003A1E24"/>
    <w:rsid w:val="003A4D1A"/>
    <w:rsid w:val="003C3F91"/>
    <w:rsid w:val="003C4B4B"/>
    <w:rsid w:val="003E1A1D"/>
    <w:rsid w:val="003E7CB7"/>
    <w:rsid w:val="0040377D"/>
    <w:rsid w:val="0043173A"/>
    <w:rsid w:val="004351E8"/>
    <w:rsid w:val="00466CC3"/>
    <w:rsid w:val="00467329"/>
    <w:rsid w:val="00477B06"/>
    <w:rsid w:val="00491AE4"/>
    <w:rsid w:val="004C02F7"/>
    <w:rsid w:val="004C1C05"/>
    <w:rsid w:val="004C5C4F"/>
    <w:rsid w:val="004C72D0"/>
    <w:rsid w:val="004D327E"/>
    <w:rsid w:val="004D7F34"/>
    <w:rsid w:val="004F25B8"/>
    <w:rsid w:val="004F33FD"/>
    <w:rsid w:val="00512B3E"/>
    <w:rsid w:val="0052269D"/>
    <w:rsid w:val="00531039"/>
    <w:rsid w:val="00536418"/>
    <w:rsid w:val="00537087"/>
    <w:rsid w:val="00542715"/>
    <w:rsid w:val="005502D8"/>
    <w:rsid w:val="00557966"/>
    <w:rsid w:val="00577428"/>
    <w:rsid w:val="00577E3A"/>
    <w:rsid w:val="00584B35"/>
    <w:rsid w:val="0059749C"/>
    <w:rsid w:val="005A305C"/>
    <w:rsid w:val="005A7858"/>
    <w:rsid w:val="005C061F"/>
    <w:rsid w:val="005C44A3"/>
    <w:rsid w:val="005C6D58"/>
    <w:rsid w:val="00637EDA"/>
    <w:rsid w:val="006428AF"/>
    <w:rsid w:val="0065783B"/>
    <w:rsid w:val="00672CFF"/>
    <w:rsid w:val="00681EDC"/>
    <w:rsid w:val="0069704F"/>
    <w:rsid w:val="006A395B"/>
    <w:rsid w:val="006A3BEA"/>
    <w:rsid w:val="006A622F"/>
    <w:rsid w:val="006B275A"/>
    <w:rsid w:val="006B4AE8"/>
    <w:rsid w:val="006C52E7"/>
    <w:rsid w:val="006D5428"/>
    <w:rsid w:val="006D5A93"/>
    <w:rsid w:val="006D5F60"/>
    <w:rsid w:val="006D778E"/>
    <w:rsid w:val="006E54D1"/>
    <w:rsid w:val="006F745D"/>
    <w:rsid w:val="0071000C"/>
    <w:rsid w:val="007265B3"/>
    <w:rsid w:val="00752BD4"/>
    <w:rsid w:val="00756181"/>
    <w:rsid w:val="00762B75"/>
    <w:rsid w:val="00792841"/>
    <w:rsid w:val="007A65F6"/>
    <w:rsid w:val="007B71B7"/>
    <w:rsid w:val="007B78E0"/>
    <w:rsid w:val="007E339D"/>
    <w:rsid w:val="007F5A00"/>
    <w:rsid w:val="0080320D"/>
    <w:rsid w:val="0080425A"/>
    <w:rsid w:val="00804CA6"/>
    <w:rsid w:val="00807A2C"/>
    <w:rsid w:val="00832E0A"/>
    <w:rsid w:val="008473F4"/>
    <w:rsid w:val="008614F5"/>
    <w:rsid w:val="0086614A"/>
    <w:rsid w:val="0089162C"/>
    <w:rsid w:val="008B08F6"/>
    <w:rsid w:val="008B0BFD"/>
    <w:rsid w:val="008C40EB"/>
    <w:rsid w:val="008C5ABB"/>
    <w:rsid w:val="008D37BC"/>
    <w:rsid w:val="008E0D0C"/>
    <w:rsid w:val="0092291C"/>
    <w:rsid w:val="0092654F"/>
    <w:rsid w:val="009359ED"/>
    <w:rsid w:val="00980116"/>
    <w:rsid w:val="009A4976"/>
    <w:rsid w:val="009B708D"/>
    <w:rsid w:val="009B79EE"/>
    <w:rsid w:val="009C352F"/>
    <w:rsid w:val="009D4B88"/>
    <w:rsid w:val="009E3D44"/>
    <w:rsid w:val="00A03A11"/>
    <w:rsid w:val="00A11026"/>
    <w:rsid w:val="00A21A59"/>
    <w:rsid w:val="00A21BF1"/>
    <w:rsid w:val="00A22A51"/>
    <w:rsid w:val="00A46AED"/>
    <w:rsid w:val="00A57365"/>
    <w:rsid w:val="00A62B21"/>
    <w:rsid w:val="00A721A7"/>
    <w:rsid w:val="00A97F25"/>
    <w:rsid w:val="00AC6DF7"/>
    <w:rsid w:val="00AC7374"/>
    <w:rsid w:val="00AC79E3"/>
    <w:rsid w:val="00AF04F1"/>
    <w:rsid w:val="00B05F20"/>
    <w:rsid w:val="00B13FA6"/>
    <w:rsid w:val="00B338F3"/>
    <w:rsid w:val="00B37C6D"/>
    <w:rsid w:val="00B54951"/>
    <w:rsid w:val="00B7259F"/>
    <w:rsid w:val="00B844C6"/>
    <w:rsid w:val="00B923E7"/>
    <w:rsid w:val="00B97E90"/>
    <w:rsid w:val="00BB629F"/>
    <w:rsid w:val="00BC34A0"/>
    <w:rsid w:val="00BC6AC9"/>
    <w:rsid w:val="00BC79AB"/>
    <w:rsid w:val="00BD4DEE"/>
    <w:rsid w:val="00BE0452"/>
    <w:rsid w:val="00BE7C0C"/>
    <w:rsid w:val="00BF5D48"/>
    <w:rsid w:val="00C0026A"/>
    <w:rsid w:val="00C164D6"/>
    <w:rsid w:val="00C378A6"/>
    <w:rsid w:val="00C52302"/>
    <w:rsid w:val="00C831E8"/>
    <w:rsid w:val="00C842F9"/>
    <w:rsid w:val="00CC0AD2"/>
    <w:rsid w:val="00CC3D0C"/>
    <w:rsid w:val="00CD6BBF"/>
    <w:rsid w:val="00CE24F9"/>
    <w:rsid w:val="00CE2738"/>
    <w:rsid w:val="00CE2DDC"/>
    <w:rsid w:val="00CF430B"/>
    <w:rsid w:val="00D0108B"/>
    <w:rsid w:val="00D115D6"/>
    <w:rsid w:val="00D200FD"/>
    <w:rsid w:val="00D20BEE"/>
    <w:rsid w:val="00D333E2"/>
    <w:rsid w:val="00D3410F"/>
    <w:rsid w:val="00D81327"/>
    <w:rsid w:val="00D91198"/>
    <w:rsid w:val="00D93005"/>
    <w:rsid w:val="00D9448A"/>
    <w:rsid w:val="00DB7EF2"/>
    <w:rsid w:val="00DE6413"/>
    <w:rsid w:val="00E40619"/>
    <w:rsid w:val="00E41607"/>
    <w:rsid w:val="00E56B42"/>
    <w:rsid w:val="00E663CA"/>
    <w:rsid w:val="00E66ABD"/>
    <w:rsid w:val="00E7336D"/>
    <w:rsid w:val="00E94B38"/>
    <w:rsid w:val="00EA566B"/>
    <w:rsid w:val="00EB361A"/>
    <w:rsid w:val="00EC4A83"/>
    <w:rsid w:val="00ED0F1C"/>
    <w:rsid w:val="00ED58D2"/>
    <w:rsid w:val="00ED7033"/>
    <w:rsid w:val="00ED7BB4"/>
    <w:rsid w:val="00EE79F2"/>
    <w:rsid w:val="00F05BE2"/>
    <w:rsid w:val="00F45146"/>
    <w:rsid w:val="00F47B34"/>
    <w:rsid w:val="00F53829"/>
    <w:rsid w:val="00F576DA"/>
    <w:rsid w:val="00F6515C"/>
    <w:rsid w:val="00F65A79"/>
    <w:rsid w:val="00F73A75"/>
    <w:rsid w:val="00F81B58"/>
    <w:rsid w:val="00FA17B2"/>
    <w:rsid w:val="00FA4312"/>
    <w:rsid w:val="00FA5EEC"/>
    <w:rsid w:val="00FB19C2"/>
    <w:rsid w:val="00FC06E5"/>
    <w:rsid w:val="00FD1700"/>
    <w:rsid w:val="00FE0F31"/>
    <w:rsid w:val="00FE7C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4A"/>
    <w:pPr>
      <w:spacing w:after="200" w:line="276" w:lineRule="auto"/>
    </w:pPr>
    <w:rPr>
      <w:rFonts w:cs="Calibri"/>
      <w:lang w:val="en-GB" w:eastAsia="en-GB"/>
    </w:rPr>
  </w:style>
  <w:style w:type="paragraph" w:styleId="Heading1">
    <w:name w:val="heading 1"/>
    <w:basedOn w:val="Normal"/>
    <w:next w:val="Normal"/>
    <w:link w:val="Heading1Char"/>
    <w:uiPriority w:val="99"/>
    <w:qFormat/>
    <w:rsid w:val="0069704F"/>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704F"/>
    <w:rPr>
      <w:rFonts w:ascii="Cambria" w:hAnsi="Cambria" w:cs="Cambria"/>
      <w:b/>
      <w:bCs/>
      <w:color w:val="365F91"/>
      <w:sz w:val="28"/>
      <w:szCs w:val="28"/>
    </w:rPr>
  </w:style>
  <w:style w:type="paragraph" w:styleId="BalloonText">
    <w:name w:val="Balloon Text"/>
    <w:basedOn w:val="Normal"/>
    <w:link w:val="BalloonTextChar"/>
    <w:uiPriority w:val="99"/>
    <w:semiHidden/>
    <w:rsid w:val="0069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F"/>
    <w:rPr>
      <w:rFonts w:ascii="Tahoma" w:hAnsi="Tahoma" w:cs="Tahoma"/>
      <w:sz w:val="16"/>
      <w:szCs w:val="16"/>
    </w:rPr>
  </w:style>
  <w:style w:type="paragraph" w:styleId="Title">
    <w:name w:val="Title"/>
    <w:basedOn w:val="Normal"/>
    <w:next w:val="Normal"/>
    <w:link w:val="TitleChar"/>
    <w:uiPriority w:val="99"/>
    <w:qFormat/>
    <w:rsid w:val="0069704F"/>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sid w:val="0069704F"/>
    <w:rPr>
      <w:rFonts w:ascii="Cambria" w:hAnsi="Cambria" w:cs="Cambria"/>
      <w:color w:val="17365D"/>
      <w:spacing w:val="5"/>
      <w:kern w:val="28"/>
      <w:sz w:val="52"/>
      <w:szCs w:val="52"/>
    </w:rPr>
  </w:style>
  <w:style w:type="character" w:styleId="SubtleReference">
    <w:name w:val="Subtle Reference"/>
    <w:basedOn w:val="DefaultParagraphFont"/>
    <w:uiPriority w:val="99"/>
    <w:qFormat/>
    <w:rsid w:val="0069704F"/>
    <w:rPr>
      <w:smallCaps/>
      <w:color w:val="auto"/>
      <w:u w:val="single"/>
    </w:rPr>
  </w:style>
  <w:style w:type="character" w:styleId="IntenseReference">
    <w:name w:val="Intense Reference"/>
    <w:basedOn w:val="DefaultParagraphFont"/>
    <w:uiPriority w:val="99"/>
    <w:qFormat/>
    <w:rsid w:val="0069704F"/>
    <w:rPr>
      <w:b/>
      <w:bCs/>
      <w:smallCaps/>
      <w:color w:val="auto"/>
      <w:spacing w:val="5"/>
      <w:u w:val="single"/>
    </w:rPr>
  </w:style>
  <w:style w:type="character" w:styleId="Strong">
    <w:name w:val="Strong"/>
    <w:basedOn w:val="DefaultParagraphFont"/>
    <w:uiPriority w:val="99"/>
    <w:qFormat/>
    <w:rsid w:val="0069704F"/>
    <w:rPr>
      <w:b/>
      <w:bCs/>
    </w:rPr>
  </w:style>
  <w:style w:type="paragraph" w:styleId="ListParagraph">
    <w:name w:val="List Paragraph"/>
    <w:basedOn w:val="Normal"/>
    <w:uiPriority w:val="99"/>
    <w:qFormat/>
    <w:rsid w:val="0069704F"/>
    <w:pPr>
      <w:ind w:left="720"/>
    </w:pPr>
  </w:style>
  <w:style w:type="paragraph" w:styleId="Header">
    <w:name w:val="header"/>
    <w:basedOn w:val="Normal"/>
    <w:link w:val="HeaderChar"/>
    <w:uiPriority w:val="99"/>
    <w:rsid w:val="00D01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08B"/>
  </w:style>
  <w:style w:type="paragraph" w:styleId="Footer">
    <w:name w:val="footer"/>
    <w:basedOn w:val="Normal"/>
    <w:link w:val="FooterChar"/>
    <w:uiPriority w:val="99"/>
    <w:rsid w:val="00D01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08B"/>
  </w:style>
  <w:style w:type="character" w:styleId="Hyperlink">
    <w:name w:val="Hyperlink"/>
    <w:basedOn w:val="DefaultParagraphFont"/>
    <w:uiPriority w:val="99"/>
    <w:rsid w:val="008B08F6"/>
    <w:rPr>
      <w:color w:val="0000FF"/>
      <w:u w:val="single"/>
    </w:rPr>
  </w:style>
  <w:style w:type="character" w:styleId="FollowedHyperlink">
    <w:name w:val="FollowedHyperlink"/>
    <w:basedOn w:val="DefaultParagraphFont"/>
    <w:uiPriority w:val="99"/>
    <w:semiHidden/>
    <w:rsid w:val="00D20BEE"/>
    <w:rPr>
      <w:color w:val="800080"/>
      <w:u w:val="single"/>
    </w:rPr>
  </w:style>
  <w:style w:type="paragraph" w:styleId="FootnoteText">
    <w:name w:val="footnote text"/>
    <w:basedOn w:val="Normal"/>
    <w:link w:val="FootnoteTextChar"/>
    <w:uiPriority w:val="99"/>
    <w:semiHidden/>
    <w:rsid w:val="00E66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ABD"/>
    <w:rPr>
      <w:sz w:val="20"/>
      <w:szCs w:val="20"/>
    </w:rPr>
  </w:style>
  <w:style w:type="character" w:styleId="FootnoteReference">
    <w:name w:val="footnote reference"/>
    <w:basedOn w:val="DefaultParagraphFont"/>
    <w:uiPriority w:val="99"/>
    <w:semiHidden/>
    <w:rsid w:val="00E66ABD"/>
    <w:rPr>
      <w:vertAlign w:val="superscript"/>
    </w:rPr>
  </w:style>
  <w:style w:type="table" w:styleId="TableGrid">
    <w:name w:val="Table Grid"/>
    <w:basedOn w:val="TableNormal"/>
    <w:uiPriority w:val="99"/>
    <w:rsid w:val="006F745D"/>
    <w:rPr>
      <w:rFonts w:cs="Calibri"/>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03A11"/>
    <w:rPr>
      <w:sz w:val="16"/>
      <w:szCs w:val="16"/>
    </w:rPr>
  </w:style>
  <w:style w:type="paragraph" w:styleId="CommentText">
    <w:name w:val="annotation text"/>
    <w:basedOn w:val="Normal"/>
    <w:link w:val="CommentTextChar"/>
    <w:uiPriority w:val="99"/>
    <w:semiHidden/>
    <w:rsid w:val="00A03A11"/>
    <w:pPr>
      <w:spacing w:line="240" w:lineRule="auto"/>
    </w:pPr>
    <w:rPr>
      <w:sz w:val="20"/>
      <w:szCs w:val="20"/>
    </w:rPr>
  </w:style>
  <w:style w:type="character" w:customStyle="1" w:styleId="CommentTextChar">
    <w:name w:val="Comment Text Char"/>
    <w:basedOn w:val="DefaultParagraphFont"/>
    <w:link w:val="CommentText"/>
    <w:uiPriority w:val="99"/>
    <w:semiHidden/>
    <w:rsid w:val="00A03A11"/>
    <w:rPr>
      <w:sz w:val="20"/>
      <w:szCs w:val="20"/>
    </w:rPr>
  </w:style>
  <w:style w:type="paragraph" w:styleId="CommentSubject">
    <w:name w:val="annotation subject"/>
    <w:basedOn w:val="CommentText"/>
    <w:next w:val="CommentText"/>
    <w:link w:val="CommentSubjectChar"/>
    <w:uiPriority w:val="99"/>
    <w:semiHidden/>
    <w:rsid w:val="00A03A11"/>
    <w:rPr>
      <w:b/>
      <w:bCs/>
    </w:rPr>
  </w:style>
  <w:style w:type="character" w:customStyle="1" w:styleId="CommentSubjectChar">
    <w:name w:val="Comment Subject Char"/>
    <w:basedOn w:val="CommentTextChar"/>
    <w:link w:val="CommentSubject"/>
    <w:uiPriority w:val="99"/>
    <w:semiHidden/>
    <w:rsid w:val="00A03A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4A"/>
    <w:pPr>
      <w:spacing w:after="200" w:line="276" w:lineRule="auto"/>
    </w:pPr>
    <w:rPr>
      <w:rFonts w:cs="Calibri"/>
      <w:lang w:val="en-GB" w:eastAsia="en-GB"/>
    </w:rPr>
  </w:style>
  <w:style w:type="paragraph" w:styleId="Heading1">
    <w:name w:val="heading 1"/>
    <w:basedOn w:val="Normal"/>
    <w:next w:val="Normal"/>
    <w:link w:val="Heading1Char"/>
    <w:uiPriority w:val="99"/>
    <w:qFormat/>
    <w:rsid w:val="0069704F"/>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704F"/>
    <w:rPr>
      <w:rFonts w:ascii="Cambria" w:hAnsi="Cambria" w:cs="Cambria"/>
      <w:b/>
      <w:bCs/>
      <w:color w:val="365F91"/>
      <w:sz w:val="28"/>
      <w:szCs w:val="28"/>
    </w:rPr>
  </w:style>
  <w:style w:type="paragraph" w:styleId="BalloonText">
    <w:name w:val="Balloon Text"/>
    <w:basedOn w:val="Normal"/>
    <w:link w:val="BalloonTextChar"/>
    <w:uiPriority w:val="99"/>
    <w:semiHidden/>
    <w:rsid w:val="0069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F"/>
    <w:rPr>
      <w:rFonts w:ascii="Tahoma" w:hAnsi="Tahoma" w:cs="Tahoma"/>
      <w:sz w:val="16"/>
      <w:szCs w:val="16"/>
    </w:rPr>
  </w:style>
  <w:style w:type="paragraph" w:styleId="Title">
    <w:name w:val="Title"/>
    <w:basedOn w:val="Normal"/>
    <w:next w:val="Normal"/>
    <w:link w:val="TitleChar"/>
    <w:uiPriority w:val="99"/>
    <w:qFormat/>
    <w:rsid w:val="0069704F"/>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sid w:val="0069704F"/>
    <w:rPr>
      <w:rFonts w:ascii="Cambria" w:hAnsi="Cambria" w:cs="Cambria"/>
      <w:color w:val="17365D"/>
      <w:spacing w:val="5"/>
      <w:kern w:val="28"/>
      <w:sz w:val="52"/>
      <w:szCs w:val="52"/>
    </w:rPr>
  </w:style>
  <w:style w:type="character" w:styleId="SubtleReference">
    <w:name w:val="Subtle Reference"/>
    <w:basedOn w:val="DefaultParagraphFont"/>
    <w:uiPriority w:val="99"/>
    <w:qFormat/>
    <w:rsid w:val="0069704F"/>
    <w:rPr>
      <w:smallCaps/>
      <w:color w:val="auto"/>
      <w:u w:val="single"/>
    </w:rPr>
  </w:style>
  <w:style w:type="character" w:styleId="IntenseReference">
    <w:name w:val="Intense Reference"/>
    <w:basedOn w:val="DefaultParagraphFont"/>
    <w:uiPriority w:val="99"/>
    <w:qFormat/>
    <w:rsid w:val="0069704F"/>
    <w:rPr>
      <w:b/>
      <w:bCs/>
      <w:smallCaps/>
      <w:color w:val="auto"/>
      <w:spacing w:val="5"/>
      <w:u w:val="single"/>
    </w:rPr>
  </w:style>
  <w:style w:type="character" w:styleId="Strong">
    <w:name w:val="Strong"/>
    <w:basedOn w:val="DefaultParagraphFont"/>
    <w:uiPriority w:val="99"/>
    <w:qFormat/>
    <w:rsid w:val="0069704F"/>
    <w:rPr>
      <w:b/>
      <w:bCs/>
    </w:rPr>
  </w:style>
  <w:style w:type="paragraph" w:styleId="ListParagraph">
    <w:name w:val="List Paragraph"/>
    <w:basedOn w:val="Normal"/>
    <w:uiPriority w:val="99"/>
    <w:qFormat/>
    <w:rsid w:val="0069704F"/>
    <w:pPr>
      <w:ind w:left="720"/>
    </w:pPr>
  </w:style>
  <w:style w:type="paragraph" w:styleId="Header">
    <w:name w:val="header"/>
    <w:basedOn w:val="Normal"/>
    <w:link w:val="HeaderChar"/>
    <w:uiPriority w:val="99"/>
    <w:rsid w:val="00D01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08B"/>
  </w:style>
  <w:style w:type="paragraph" w:styleId="Footer">
    <w:name w:val="footer"/>
    <w:basedOn w:val="Normal"/>
    <w:link w:val="FooterChar"/>
    <w:uiPriority w:val="99"/>
    <w:rsid w:val="00D01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08B"/>
  </w:style>
  <w:style w:type="character" w:styleId="Hyperlink">
    <w:name w:val="Hyperlink"/>
    <w:basedOn w:val="DefaultParagraphFont"/>
    <w:uiPriority w:val="99"/>
    <w:rsid w:val="008B08F6"/>
    <w:rPr>
      <w:color w:val="0000FF"/>
      <w:u w:val="single"/>
    </w:rPr>
  </w:style>
  <w:style w:type="character" w:styleId="FollowedHyperlink">
    <w:name w:val="FollowedHyperlink"/>
    <w:basedOn w:val="DefaultParagraphFont"/>
    <w:uiPriority w:val="99"/>
    <w:semiHidden/>
    <w:rsid w:val="00D20BEE"/>
    <w:rPr>
      <w:color w:val="800080"/>
      <w:u w:val="single"/>
    </w:rPr>
  </w:style>
  <w:style w:type="paragraph" w:styleId="FootnoteText">
    <w:name w:val="footnote text"/>
    <w:basedOn w:val="Normal"/>
    <w:link w:val="FootnoteTextChar"/>
    <w:uiPriority w:val="99"/>
    <w:semiHidden/>
    <w:rsid w:val="00E66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ABD"/>
    <w:rPr>
      <w:sz w:val="20"/>
      <w:szCs w:val="20"/>
    </w:rPr>
  </w:style>
  <w:style w:type="character" w:styleId="FootnoteReference">
    <w:name w:val="footnote reference"/>
    <w:basedOn w:val="DefaultParagraphFont"/>
    <w:uiPriority w:val="99"/>
    <w:semiHidden/>
    <w:rsid w:val="00E66ABD"/>
    <w:rPr>
      <w:vertAlign w:val="superscript"/>
    </w:rPr>
  </w:style>
  <w:style w:type="table" w:styleId="TableGrid">
    <w:name w:val="Table Grid"/>
    <w:basedOn w:val="TableNormal"/>
    <w:uiPriority w:val="99"/>
    <w:rsid w:val="006F745D"/>
    <w:rPr>
      <w:rFonts w:cs="Calibri"/>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03A11"/>
    <w:rPr>
      <w:sz w:val="16"/>
      <w:szCs w:val="16"/>
    </w:rPr>
  </w:style>
  <w:style w:type="paragraph" w:styleId="CommentText">
    <w:name w:val="annotation text"/>
    <w:basedOn w:val="Normal"/>
    <w:link w:val="CommentTextChar"/>
    <w:uiPriority w:val="99"/>
    <w:semiHidden/>
    <w:rsid w:val="00A03A11"/>
    <w:pPr>
      <w:spacing w:line="240" w:lineRule="auto"/>
    </w:pPr>
    <w:rPr>
      <w:sz w:val="20"/>
      <w:szCs w:val="20"/>
    </w:rPr>
  </w:style>
  <w:style w:type="character" w:customStyle="1" w:styleId="CommentTextChar">
    <w:name w:val="Comment Text Char"/>
    <w:basedOn w:val="DefaultParagraphFont"/>
    <w:link w:val="CommentText"/>
    <w:uiPriority w:val="99"/>
    <w:semiHidden/>
    <w:rsid w:val="00A03A11"/>
    <w:rPr>
      <w:sz w:val="20"/>
      <w:szCs w:val="20"/>
    </w:rPr>
  </w:style>
  <w:style w:type="paragraph" w:styleId="CommentSubject">
    <w:name w:val="annotation subject"/>
    <w:basedOn w:val="CommentText"/>
    <w:next w:val="CommentText"/>
    <w:link w:val="CommentSubjectChar"/>
    <w:uiPriority w:val="99"/>
    <w:semiHidden/>
    <w:rsid w:val="00A03A11"/>
    <w:rPr>
      <w:b/>
      <w:bCs/>
    </w:rPr>
  </w:style>
  <w:style w:type="character" w:customStyle="1" w:styleId="CommentSubjectChar">
    <w:name w:val="Comment Subject Char"/>
    <w:basedOn w:val="CommentTextChar"/>
    <w:link w:val="CommentSubject"/>
    <w:uiPriority w:val="99"/>
    <w:semiHidden/>
    <w:rsid w:val="00A03A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20996">
      <w:marLeft w:val="0"/>
      <w:marRight w:val="0"/>
      <w:marTop w:val="0"/>
      <w:marBottom w:val="0"/>
      <w:divBdr>
        <w:top w:val="none" w:sz="0" w:space="0" w:color="auto"/>
        <w:left w:val="none" w:sz="0" w:space="0" w:color="auto"/>
        <w:bottom w:val="none" w:sz="0" w:space="0" w:color="auto"/>
        <w:right w:val="none" w:sz="0" w:space="0" w:color="auto"/>
      </w:divBdr>
    </w:div>
    <w:div w:id="803620997">
      <w:marLeft w:val="0"/>
      <w:marRight w:val="0"/>
      <w:marTop w:val="0"/>
      <w:marBottom w:val="0"/>
      <w:divBdr>
        <w:top w:val="none" w:sz="0" w:space="0" w:color="auto"/>
        <w:left w:val="none" w:sz="0" w:space="0" w:color="auto"/>
        <w:bottom w:val="none" w:sz="0" w:space="0" w:color="auto"/>
        <w:right w:val="none" w:sz="0" w:space="0" w:color="auto"/>
      </w:divBdr>
    </w:div>
    <w:div w:id="803620998">
      <w:marLeft w:val="0"/>
      <w:marRight w:val="0"/>
      <w:marTop w:val="0"/>
      <w:marBottom w:val="0"/>
      <w:divBdr>
        <w:top w:val="none" w:sz="0" w:space="0" w:color="auto"/>
        <w:left w:val="none" w:sz="0" w:space="0" w:color="auto"/>
        <w:bottom w:val="none" w:sz="0" w:space="0" w:color="auto"/>
        <w:right w:val="none" w:sz="0" w:space="0" w:color="auto"/>
      </w:divBdr>
    </w:div>
    <w:div w:id="803620999">
      <w:marLeft w:val="0"/>
      <w:marRight w:val="0"/>
      <w:marTop w:val="0"/>
      <w:marBottom w:val="0"/>
      <w:divBdr>
        <w:top w:val="none" w:sz="0" w:space="0" w:color="auto"/>
        <w:left w:val="none" w:sz="0" w:space="0" w:color="auto"/>
        <w:bottom w:val="none" w:sz="0" w:space="0" w:color="auto"/>
        <w:right w:val="none" w:sz="0" w:space="0" w:color="auto"/>
      </w:divBdr>
    </w:div>
    <w:div w:id="803621000">
      <w:marLeft w:val="0"/>
      <w:marRight w:val="0"/>
      <w:marTop w:val="0"/>
      <w:marBottom w:val="0"/>
      <w:divBdr>
        <w:top w:val="none" w:sz="0" w:space="0" w:color="auto"/>
        <w:left w:val="none" w:sz="0" w:space="0" w:color="auto"/>
        <w:bottom w:val="none" w:sz="0" w:space="0" w:color="auto"/>
        <w:right w:val="none" w:sz="0" w:space="0" w:color="auto"/>
      </w:divBdr>
    </w:div>
    <w:div w:id="803621001">
      <w:marLeft w:val="0"/>
      <w:marRight w:val="0"/>
      <w:marTop w:val="0"/>
      <w:marBottom w:val="0"/>
      <w:divBdr>
        <w:top w:val="none" w:sz="0" w:space="0" w:color="auto"/>
        <w:left w:val="none" w:sz="0" w:space="0" w:color="auto"/>
        <w:bottom w:val="none" w:sz="0" w:space="0" w:color="auto"/>
        <w:right w:val="none" w:sz="0" w:space="0" w:color="auto"/>
      </w:divBdr>
    </w:div>
    <w:div w:id="803621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entrostudi.cisl.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ebgate.ec.europa.eu/fpfis/mwikis/aidco/images/b/b4/DEAR_SWD_2012_457_STAFF_WORKING_PAPER_EN.pdf" TargetMode="External"/><Relationship Id="rId3" Type="http://schemas.openxmlformats.org/officeDocument/2006/relationships/hyperlink" Target="https://webgate.ec.europa.eu/fpfis/mwikis/aidco/images/4/48/WG_C-DEAR_Call_for_Proposals_AB_1906.pdf" TargetMode="External"/><Relationship Id="rId7" Type="http://schemas.openxmlformats.org/officeDocument/2006/relationships/hyperlink" Target="http://www.ituc-csi.org/declaracion-sobre-el-fomento-de-la-13658?lang=es" TargetMode="External"/><Relationship Id="rId2" Type="http://schemas.openxmlformats.org/officeDocument/2006/relationships/hyperlink" Target="https://webgate.ec.europa.eu/fpfis/mwikis/aidco/images/b/b4/DEAR_SWD_2012_457_STAFF_WORKING_PAPER_EN.pdf" TargetMode="External"/><Relationship Id="rId1" Type="http://schemas.openxmlformats.org/officeDocument/2006/relationships/hyperlink" Target="https://webgate.ec.europa.eu/fpfis/mwikis/aidco/index.php/DEAR:_Educaci%C3%B3n_para_el_desarrollo_y_sensibilizaci%C3%B3n:_concepto%20" TargetMode="External"/><Relationship Id="rId6" Type="http://schemas.openxmlformats.org/officeDocument/2006/relationships/hyperlink" Target="http://www.ituc-csi.org/declaracion-sobre-el-fomento-de-la?lang=es" TargetMode="External"/><Relationship Id="rId11" Type="http://schemas.openxmlformats.org/officeDocument/2006/relationships/hyperlink" Target="http://europa.eu/rapid/press-release_IP-13-166_es.htm" TargetMode="External"/><Relationship Id="rId5" Type="http://schemas.openxmlformats.org/officeDocument/2006/relationships/hyperlink" Target="http://ec.europa.eu/europeaid/documents/aap/2013/af_aap_2013_dci-nsa.pdf" TargetMode="External"/><Relationship Id="rId10" Type="http://schemas.openxmlformats.org/officeDocument/2006/relationships/hyperlink" Target="http://ec.europa.eu/europeaid/news/documents/eyd2015-swd_en.pdf" TargetMode="External"/><Relationship Id="rId4" Type="http://schemas.openxmlformats.org/officeDocument/2006/relationships/hyperlink" Target="http://ec.europa.eu/europeaid/how/finance/dci/documents/nsa-la_strategy_2011-2013_-_en.pdf" TargetMode="External"/><Relationship Id="rId9" Type="http://schemas.openxmlformats.org/officeDocument/2006/relationships/hyperlink" Target="http://ec.europa.eu/europeaid/news/documents/eyd2015-proposal-ep-counc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8A05-3561-4587-8174-E0DDBD2E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1215</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Dereymaeker</dc:creator>
  <cp:lastModifiedBy>Paola Simonetti</cp:lastModifiedBy>
  <cp:revision>3</cp:revision>
  <cp:lastPrinted>2012-01-11T15:20:00Z</cp:lastPrinted>
  <dcterms:created xsi:type="dcterms:W3CDTF">2013-09-04T12:38:00Z</dcterms:created>
  <dcterms:modified xsi:type="dcterms:W3CDTF">2013-09-04T12:43:00Z</dcterms:modified>
</cp:coreProperties>
</file>