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966" w:rsidRPr="00B338F3" w:rsidRDefault="0069704F" w:rsidP="00B338F3">
      <w:pPr>
        <w:jc w:val="center"/>
      </w:pPr>
      <w:r>
        <w:rPr>
          <w:noProof/>
        </w:rPr>
        <w:drawing>
          <wp:inline distT="0" distB="0" distL="0" distR="0">
            <wp:extent cx="1559292" cy="587141"/>
            <wp:effectExtent l="0" t="0" r="3175" b="3810"/>
            <wp:docPr id="1" name="Picture 0" descr="Pictu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gif"/>
                    <pic:cNvPicPr/>
                  </pic:nvPicPr>
                  <pic:blipFill>
                    <a:blip r:embed="rId9" cstate="print"/>
                    <a:stretch>
                      <a:fillRect/>
                    </a:stretch>
                  </pic:blipFill>
                  <pic:spPr>
                    <a:xfrm>
                      <a:off x="0" y="0"/>
                      <a:ext cx="1571783" cy="591844"/>
                    </a:xfrm>
                    <a:prstGeom prst="rect">
                      <a:avLst/>
                    </a:prstGeom>
                  </pic:spPr>
                </pic:pic>
              </a:graphicData>
            </a:graphic>
          </wp:inline>
        </w:drawing>
      </w:r>
    </w:p>
    <w:p w:rsidR="00312322" w:rsidRDefault="00312322" w:rsidP="00CE2738">
      <w:pPr>
        <w:pStyle w:val="Title"/>
        <w:spacing w:after="120"/>
        <w:jc w:val="center"/>
        <w:rPr>
          <w:b/>
          <w:bCs/>
          <w:sz w:val="36"/>
          <w:szCs w:val="36"/>
        </w:rPr>
      </w:pPr>
    </w:p>
    <w:p w:rsidR="000E5730" w:rsidRPr="00681EDC" w:rsidRDefault="00557966" w:rsidP="000E5730">
      <w:pPr>
        <w:pStyle w:val="Title"/>
        <w:spacing w:after="120"/>
        <w:jc w:val="center"/>
        <w:rPr>
          <w:b/>
          <w:bCs/>
          <w:sz w:val="36"/>
          <w:szCs w:val="36"/>
        </w:rPr>
      </w:pPr>
      <w:r w:rsidRPr="00681EDC">
        <w:rPr>
          <w:b/>
          <w:bCs/>
          <w:sz w:val="36"/>
          <w:szCs w:val="36"/>
        </w:rPr>
        <w:t xml:space="preserve">TUDCN </w:t>
      </w:r>
      <w:r w:rsidR="000E5730" w:rsidRPr="00681EDC">
        <w:rPr>
          <w:b/>
          <w:bCs/>
          <w:sz w:val="36"/>
          <w:szCs w:val="36"/>
        </w:rPr>
        <w:t>Wo</w:t>
      </w:r>
      <w:r w:rsidR="00FA5EEC">
        <w:rPr>
          <w:b/>
          <w:bCs/>
          <w:sz w:val="36"/>
          <w:szCs w:val="36"/>
        </w:rPr>
        <w:t>rkshop on Development Education</w:t>
      </w:r>
    </w:p>
    <w:p w:rsidR="0069704F" w:rsidRPr="00681EDC" w:rsidRDefault="000E5730" w:rsidP="000E5730">
      <w:pPr>
        <w:pStyle w:val="Title"/>
        <w:spacing w:after="120"/>
        <w:jc w:val="center"/>
        <w:rPr>
          <w:b/>
          <w:bCs/>
          <w:sz w:val="28"/>
          <w:szCs w:val="28"/>
        </w:rPr>
      </w:pPr>
      <w:r w:rsidRPr="00681EDC">
        <w:rPr>
          <w:b/>
          <w:bCs/>
          <w:sz w:val="28"/>
          <w:szCs w:val="28"/>
        </w:rPr>
        <w:t>“Towards a shared Trade Union programme”</w:t>
      </w:r>
    </w:p>
    <w:p w:rsidR="000E5730" w:rsidRPr="006428AF" w:rsidRDefault="000E5730" w:rsidP="006A395B">
      <w:pPr>
        <w:spacing w:after="0"/>
        <w:jc w:val="center"/>
        <w:rPr>
          <w:rFonts w:ascii="Arial" w:hAnsi="Arial" w:cs="Arial"/>
          <w:sz w:val="16"/>
          <w:szCs w:val="16"/>
        </w:rPr>
      </w:pPr>
      <w:r w:rsidRPr="006428AF">
        <w:rPr>
          <w:rFonts w:ascii="Arial" w:hAnsi="Arial" w:cs="Arial"/>
          <w:sz w:val="16"/>
          <w:szCs w:val="16"/>
        </w:rPr>
        <w:t>September 12-13, 2013</w:t>
      </w:r>
    </w:p>
    <w:p w:rsidR="000E5730" w:rsidRPr="006428AF" w:rsidRDefault="000E5730" w:rsidP="006A395B">
      <w:pPr>
        <w:spacing w:after="0"/>
        <w:jc w:val="center"/>
        <w:rPr>
          <w:rFonts w:ascii="Arial" w:hAnsi="Arial" w:cs="Arial"/>
          <w:sz w:val="16"/>
          <w:szCs w:val="16"/>
        </w:rPr>
      </w:pPr>
      <w:r w:rsidRPr="006428AF">
        <w:rPr>
          <w:rFonts w:ascii="Arial" w:hAnsi="Arial" w:cs="Arial"/>
          <w:sz w:val="16"/>
          <w:szCs w:val="16"/>
        </w:rPr>
        <w:t xml:space="preserve">Centro </w:t>
      </w:r>
      <w:proofErr w:type="spellStart"/>
      <w:r w:rsidRPr="006428AF">
        <w:rPr>
          <w:rFonts w:ascii="Arial" w:hAnsi="Arial" w:cs="Arial"/>
          <w:sz w:val="16"/>
          <w:szCs w:val="16"/>
        </w:rPr>
        <w:t>Studi</w:t>
      </w:r>
      <w:proofErr w:type="spellEnd"/>
      <w:r w:rsidRPr="006428AF">
        <w:rPr>
          <w:rFonts w:ascii="Arial" w:hAnsi="Arial" w:cs="Arial"/>
          <w:sz w:val="16"/>
          <w:szCs w:val="16"/>
        </w:rPr>
        <w:t xml:space="preserve"> CISL </w:t>
      </w:r>
      <w:hyperlink r:id="rId10" w:history="1">
        <w:r w:rsidRPr="006428AF">
          <w:rPr>
            <w:rStyle w:val="Hyperlink"/>
            <w:rFonts w:ascii="Calibri" w:hAnsi="Calibri"/>
            <w:sz w:val="16"/>
            <w:szCs w:val="16"/>
          </w:rPr>
          <w:t>http://www.centrostudi.cisl.it/</w:t>
        </w:r>
      </w:hyperlink>
    </w:p>
    <w:p w:rsidR="000E5730" w:rsidRPr="006428AF" w:rsidRDefault="000E5730" w:rsidP="00381C4F">
      <w:pPr>
        <w:spacing w:after="0"/>
        <w:jc w:val="center"/>
        <w:rPr>
          <w:rFonts w:asciiTheme="majorHAnsi" w:eastAsiaTheme="majorEastAsia" w:hAnsiTheme="majorHAnsi" w:cstheme="majorBidi"/>
          <w:smallCaps/>
          <w:color w:val="17365D" w:themeColor="text2" w:themeShade="BF"/>
          <w:kern w:val="28"/>
          <w:sz w:val="16"/>
          <w:szCs w:val="16"/>
        </w:rPr>
      </w:pPr>
      <w:r w:rsidRPr="006428AF">
        <w:rPr>
          <w:rFonts w:ascii="Arial" w:hAnsi="Arial" w:cs="Arial"/>
          <w:sz w:val="16"/>
          <w:szCs w:val="16"/>
        </w:rPr>
        <w:t xml:space="preserve">Via </w:t>
      </w:r>
      <w:proofErr w:type="spellStart"/>
      <w:proofErr w:type="gramStart"/>
      <w:r w:rsidRPr="006428AF">
        <w:rPr>
          <w:rFonts w:ascii="Arial" w:hAnsi="Arial" w:cs="Arial"/>
          <w:sz w:val="16"/>
          <w:szCs w:val="16"/>
        </w:rPr>
        <w:t>della</w:t>
      </w:r>
      <w:proofErr w:type="spellEnd"/>
      <w:proofErr w:type="gramEnd"/>
      <w:r w:rsidRPr="006428AF">
        <w:rPr>
          <w:rFonts w:ascii="Arial" w:hAnsi="Arial" w:cs="Arial"/>
          <w:sz w:val="16"/>
          <w:szCs w:val="16"/>
        </w:rPr>
        <w:t xml:space="preserve"> </w:t>
      </w:r>
      <w:proofErr w:type="spellStart"/>
      <w:r w:rsidRPr="006428AF">
        <w:rPr>
          <w:rFonts w:ascii="Arial" w:hAnsi="Arial" w:cs="Arial"/>
          <w:sz w:val="16"/>
          <w:szCs w:val="16"/>
        </w:rPr>
        <w:t>Piazzola</w:t>
      </w:r>
      <w:proofErr w:type="spellEnd"/>
      <w:r w:rsidRPr="006428AF">
        <w:rPr>
          <w:rFonts w:ascii="Arial" w:hAnsi="Arial" w:cs="Arial"/>
          <w:sz w:val="16"/>
          <w:szCs w:val="16"/>
        </w:rPr>
        <w:t>,</w:t>
      </w:r>
      <w:r w:rsidR="00477B06" w:rsidRPr="006428AF">
        <w:rPr>
          <w:rFonts w:ascii="Arial" w:hAnsi="Arial" w:cs="Arial"/>
          <w:sz w:val="16"/>
          <w:szCs w:val="16"/>
        </w:rPr>
        <w:t xml:space="preserve"> </w:t>
      </w:r>
      <w:r w:rsidRPr="006428AF">
        <w:rPr>
          <w:rFonts w:ascii="Arial" w:hAnsi="Arial" w:cs="Arial"/>
          <w:sz w:val="16"/>
          <w:szCs w:val="16"/>
        </w:rPr>
        <w:t>71 - 50133 Firenze, Italy</w:t>
      </w:r>
    </w:p>
    <w:p w:rsidR="00381C4F" w:rsidRPr="00536418" w:rsidRDefault="00381C4F" w:rsidP="00381C4F">
      <w:pPr>
        <w:spacing w:after="0"/>
        <w:jc w:val="center"/>
        <w:rPr>
          <w:rFonts w:asciiTheme="majorHAnsi" w:eastAsiaTheme="majorEastAsia" w:hAnsiTheme="majorHAnsi" w:cstheme="majorBidi"/>
          <w:smallCaps/>
          <w:color w:val="17365D" w:themeColor="text2" w:themeShade="BF"/>
          <w:kern w:val="28"/>
          <w:sz w:val="24"/>
          <w:szCs w:val="24"/>
        </w:rPr>
      </w:pPr>
    </w:p>
    <w:p w:rsidR="000F3EFF" w:rsidRPr="00BD4DEE" w:rsidRDefault="008D37BC" w:rsidP="000F3EFF">
      <w:pPr>
        <w:spacing w:after="0"/>
        <w:jc w:val="center"/>
        <w:rPr>
          <w:rFonts w:asciiTheme="majorHAnsi" w:eastAsiaTheme="majorEastAsia" w:hAnsiTheme="majorHAnsi" w:cstheme="majorBidi"/>
          <w:smallCaps/>
          <w:color w:val="17365D" w:themeColor="text2" w:themeShade="BF"/>
          <w:kern w:val="28"/>
          <w:sz w:val="32"/>
          <w:szCs w:val="32"/>
        </w:rPr>
      </w:pPr>
      <w:r>
        <w:rPr>
          <w:rFonts w:asciiTheme="majorHAnsi" w:eastAsiaTheme="majorEastAsia" w:hAnsiTheme="majorHAnsi" w:cstheme="majorBidi"/>
          <w:smallCaps/>
          <w:color w:val="17365D" w:themeColor="text2" w:themeShade="BF"/>
          <w:kern w:val="28"/>
          <w:sz w:val="32"/>
          <w:szCs w:val="32"/>
        </w:rPr>
        <w:t>Introductory</w:t>
      </w:r>
      <w:r w:rsidR="00536418" w:rsidRPr="00BD4DEE">
        <w:rPr>
          <w:rFonts w:asciiTheme="majorHAnsi" w:eastAsiaTheme="majorEastAsia" w:hAnsiTheme="majorHAnsi" w:cstheme="majorBidi"/>
          <w:smallCaps/>
          <w:color w:val="17365D" w:themeColor="text2" w:themeShade="BF"/>
          <w:kern w:val="28"/>
          <w:sz w:val="32"/>
          <w:szCs w:val="32"/>
        </w:rPr>
        <w:t xml:space="preserve"> Note</w:t>
      </w:r>
    </w:p>
    <w:p w:rsidR="000F3EFF" w:rsidRDefault="000F3EFF" w:rsidP="000F3EFF">
      <w:pPr>
        <w:rPr>
          <w:b/>
          <w:i/>
        </w:rPr>
      </w:pPr>
    </w:p>
    <w:p w:rsidR="00BD4DEE" w:rsidRDefault="00BD4DEE" w:rsidP="000F3EFF">
      <w:pPr>
        <w:rPr>
          <w:b/>
          <w:i/>
        </w:rPr>
      </w:pPr>
    </w:p>
    <w:p w:rsidR="000F3EFF" w:rsidRPr="000F3EFF" w:rsidRDefault="00536418" w:rsidP="000F3EFF">
      <w:pPr>
        <w:rPr>
          <w:b/>
          <w:i/>
        </w:rPr>
      </w:pPr>
      <w:r w:rsidRPr="000F3EFF">
        <w:rPr>
          <w:b/>
          <w:i/>
        </w:rPr>
        <w:t xml:space="preserve">Background </w:t>
      </w:r>
    </w:p>
    <w:p w:rsidR="008614F5" w:rsidRPr="000F3EFF" w:rsidRDefault="008614F5" w:rsidP="001E5753">
      <w:pPr>
        <w:ind w:right="-731"/>
        <w:jc w:val="both"/>
      </w:pPr>
      <w:r w:rsidRPr="000F3EFF">
        <w:t>The European Commission will launch shortly a c</w:t>
      </w:r>
      <w:r w:rsidR="001E5753" w:rsidRPr="000F3EFF">
        <w:t xml:space="preserve">all for proposal under the </w:t>
      </w:r>
      <w:r w:rsidRPr="000F3EFF">
        <w:t>programme Development Education and Awareness Raising</w:t>
      </w:r>
      <w:r w:rsidR="006D5428" w:rsidRPr="000F3EFF">
        <w:t xml:space="preserve"> (DEAR)</w:t>
      </w:r>
      <w:r w:rsidRPr="000F3EFF">
        <w:t xml:space="preserve">. </w:t>
      </w:r>
      <w:r w:rsidR="006D5428" w:rsidRPr="000F3EFF">
        <w:t>DEAR</w:t>
      </w:r>
      <w:r w:rsidRPr="000F3EFF">
        <w:t xml:space="preserve"> aims at informing EU citizens about development issues, mobilising greater public support for action against poverty, providing citizens with tools to engage critically with global development issues and foster new ideas, and changing attitudes. The progr</w:t>
      </w:r>
      <w:r w:rsidR="001E5753" w:rsidRPr="000F3EFF">
        <w:t xml:space="preserve">amme </w:t>
      </w:r>
      <w:r w:rsidRPr="000F3EFF">
        <w:t>is implemented by civil society actors and local authorities in EU and acceding countries</w:t>
      </w:r>
      <w:r w:rsidRPr="000F3EFF">
        <w:rPr>
          <w:rStyle w:val="FootnoteReference"/>
        </w:rPr>
        <w:footnoteReference w:id="1"/>
      </w:r>
      <w:r w:rsidRPr="000F3EFF">
        <w:t xml:space="preserve">. </w:t>
      </w:r>
    </w:p>
    <w:p w:rsidR="00E94B38" w:rsidRPr="000F3EFF" w:rsidRDefault="008614F5" w:rsidP="00E94B38">
      <w:pPr>
        <w:ind w:right="-731"/>
        <w:jc w:val="both"/>
      </w:pPr>
      <w:r w:rsidRPr="000F3EFF">
        <w:t>Following recent studies and evaluation of this programme</w:t>
      </w:r>
      <w:r w:rsidR="001E5753" w:rsidRPr="000F3EFF">
        <w:t xml:space="preserve">, </w:t>
      </w:r>
      <w:r w:rsidRPr="000F3EFF">
        <w:t xml:space="preserve">the EC </w:t>
      </w:r>
      <w:r w:rsidR="001E5753" w:rsidRPr="000F3EFF">
        <w:t xml:space="preserve">is developing a new policy approach, which is due to </w:t>
      </w:r>
      <w:r w:rsidR="00E94B38" w:rsidRPr="000F3EFF">
        <w:t xml:space="preserve">be adopted </w:t>
      </w:r>
      <w:r w:rsidR="001E5753" w:rsidRPr="000F3EFF">
        <w:t>by the end of 2014</w:t>
      </w:r>
      <w:r w:rsidR="00E94B38" w:rsidRPr="000F3EFF">
        <w:rPr>
          <w:rStyle w:val="FootnoteReference"/>
        </w:rPr>
        <w:footnoteReference w:id="2"/>
      </w:r>
      <w:r w:rsidR="001E5753" w:rsidRPr="000F3EFF">
        <w:t xml:space="preserve">. </w:t>
      </w:r>
    </w:p>
    <w:p w:rsidR="00E94B38" w:rsidRPr="000F3EFF" w:rsidRDefault="00E94B38" w:rsidP="00E94B38">
      <w:pPr>
        <w:ind w:right="-731"/>
        <w:jc w:val="both"/>
      </w:pPr>
      <w:r w:rsidRPr="000F3EFF">
        <w:t xml:space="preserve">Already for this next call for proposal (September 2013) the EC has introduced quite significant changes, like: raising the project sizes, increasing the geographical coverage and privileging </w:t>
      </w:r>
      <w:r w:rsidR="004F33FD" w:rsidRPr="000F3EFF">
        <w:t xml:space="preserve">actual </w:t>
      </w:r>
      <w:r w:rsidRPr="000F3EFF">
        <w:t>European strategies</w:t>
      </w:r>
      <w:r w:rsidR="004F33FD" w:rsidRPr="000F3EFF">
        <w:t>/responses</w:t>
      </w:r>
      <w:r w:rsidRPr="000F3EFF">
        <w:t xml:space="preserve"> to global challenges</w:t>
      </w:r>
      <w:r w:rsidR="00C164D6" w:rsidRPr="000F3EFF">
        <w:rPr>
          <w:rStyle w:val="FootnoteReference"/>
        </w:rPr>
        <w:footnoteReference w:id="3"/>
      </w:r>
      <w:r w:rsidRPr="000F3EFF">
        <w:t xml:space="preserve">. </w:t>
      </w:r>
    </w:p>
    <w:p w:rsidR="00BD4DEE" w:rsidRDefault="00BD4DEE" w:rsidP="00BF5D48">
      <w:pPr>
        <w:ind w:right="-731"/>
        <w:jc w:val="both"/>
      </w:pPr>
    </w:p>
    <w:p w:rsidR="006E54D1" w:rsidRPr="000F3EFF" w:rsidRDefault="004F33FD" w:rsidP="00BF5D48">
      <w:pPr>
        <w:ind w:right="-731"/>
        <w:jc w:val="both"/>
      </w:pPr>
      <w:r w:rsidRPr="000F3EFF">
        <w:lastRenderedPageBreak/>
        <w:t>Development Education is a priority theme for trade unions (</w:t>
      </w:r>
      <w:r w:rsidR="00BF5D48" w:rsidRPr="000F3EFF">
        <w:t>very much in line with</w:t>
      </w:r>
      <w:r w:rsidRPr="000F3EFF">
        <w:t xml:space="preserve"> </w:t>
      </w:r>
      <w:r w:rsidR="00BF5D48" w:rsidRPr="000F3EFF">
        <w:t xml:space="preserve">the more familiar term of </w:t>
      </w:r>
      <w:r w:rsidRPr="000F3EFF">
        <w:t>‘international solidarity’)</w:t>
      </w:r>
      <w:r w:rsidR="006E54D1" w:rsidRPr="000F3EFF">
        <w:t>. A</w:t>
      </w:r>
      <w:r w:rsidRPr="000F3EFF">
        <w:t xml:space="preserve">s such it was the </w:t>
      </w:r>
      <w:r w:rsidR="006E54D1" w:rsidRPr="000F3EFF">
        <w:t>subject</w:t>
      </w:r>
      <w:r w:rsidRPr="000F3EFF">
        <w:t xml:space="preserve"> of a specific seminar of the Trade Union Development cooperation Network – TUDCN in 2012.  </w:t>
      </w:r>
    </w:p>
    <w:p w:rsidR="00E94B38" w:rsidRPr="000F3EFF" w:rsidRDefault="004F33FD" w:rsidP="00BF5D48">
      <w:pPr>
        <w:ind w:right="-731"/>
        <w:jc w:val="both"/>
      </w:pPr>
      <w:r w:rsidRPr="000F3EFF">
        <w:t xml:space="preserve">Two </w:t>
      </w:r>
      <w:r w:rsidRPr="000F3EFF">
        <w:rPr>
          <w:u w:val="single"/>
        </w:rPr>
        <w:t>policy statements</w:t>
      </w:r>
      <w:r w:rsidRPr="000F3EFF">
        <w:t xml:space="preserve"> have been endorsed, prefiguring </w:t>
      </w:r>
      <w:r w:rsidR="0031667A" w:rsidRPr="000F3EFF">
        <w:t>a more prominent</w:t>
      </w:r>
      <w:r w:rsidRPr="000F3EFF">
        <w:t xml:space="preserve"> role of trade union organisations </w:t>
      </w:r>
      <w:r w:rsidR="0031667A" w:rsidRPr="000F3EFF">
        <w:t xml:space="preserve">in supporting </w:t>
      </w:r>
      <w:r w:rsidRPr="000F3EFF">
        <w:t>development education activities</w:t>
      </w:r>
      <w:r w:rsidR="006E54D1" w:rsidRPr="000F3EFF">
        <w:rPr>
          <w:rStyle w:val="FootnoteReference"/>
        </w:rPr>
        <w:footnoteReference w:id="4"/>
      </w:r>
      <w:r w:rsidR="0031667A" w:rsidRPr="000F3EFF">
        <w:t xml:space="preserve">, </w:t>
      </w:r>
      <w:r w:rsidR="00BF5D48" w:rsidRPr="000F3EFF">
        <w:t xml:space="preserve">which goes hand in hand with </w:t>
      </w:r>
      <w:r w:rsidR="006E54D1" w:rsidRPr="000F3EFF">
        <w:t>the objective of providing more political priority to development education within the trade union movement</w:t>
      </w:r>
      <w:r w:rsidR="006E54D1" w:rsidRPr="000F3EFF">
        <w:rPr>
          <w:rStyle w:val="FootnoteReference"/>
        </w:rPr>
        <w:footnoteReference w:id="5"/>
      </w:r>
      <w:r w:rsidR="006E54D1" w:rsidRPr="000F3EFF">
        <w:t>.</w:t>
      </w:r>
    </w:p>
    <w:p w:rsidR="000F3EFF" w:rsidRPr="000F3EFF" w:rsidRDefault="00202C7F" w:rsidP="000F3EFF">
      <w:pPr>
        <w:ind w:right="-731"/>
        <w:jc w:val="both"/>
      </w:pPr>
      <w:r w:rsidRPr="000F3EFF">
        <w:t xml:space="preserve">As </w:t>
      </w:r>
      <w:r w:rsidR="00477B06" w:rsidRPr="000F3EFF">
        <w:t xml:space="preserve">indicated in the statements </w:t>
      </w:r>
      <w:r w:rsidRPr="000F3EFF">
        <w:t>above, “</w:t>
      </w:r>
      <w:r w:rsidR="006D5428" w:rsidRPr="000F3EFF">
        <w:rPr>
          <w:i/>
        </w:rPr>
        <w:t>t</w:t>
      </w:r>
      <w:r w:rsidRPr="000F3EFF">
        <w:rPr>
          <w:i/>
        </w:rPr>
        <w:t xml:space="preserve">he </w:t>
      </w:r>
      <w:r w:rsidR="006D5428" w:rsidRPr="000F3EFF">
        <w:rPr>
          <w:i/>
        </w:rPr>
        <w:t>TUDCN</w:t>
      </w:r>
      <w:r w:rsidRPr="000F3EFF">
        <w:rPr>
          <w:i/>
        </w:rPr>
        <w:t xml:space="preserve"> commits to further supporting trade union engagement in Development Education and Awareness Raising through facilitating networking, e</w:t>
      </w:r>
      <w:r w:rsidR="006D5428" w:rsidRPr="000F3EFF">
        <w:rPr>
          <w:i/>
        </w:rPr>
        <w:t>xchange and coordination</w:t>
      </w:r>
      <w:r w:rsidRPr="000F3EFF">
        <w:rPr>
          <w:i/>
        </w:rPr>
        <w:t xml:space="preserve"> among the members and advocating for putting DEAR higher on the international trade union agenda</w:t>
      </w:r>
      <w:r w:rsidRPr="000F3EFF">
        <w:t>”.</w:t>
      </w:r>
    </w:p>
    <w:p w:rsidR="000F3EFF" w:rsidRDefault="00A03A11" w:rsidP="004C5C4F">
      <w:pPr>
        <w:ind w:right="-731"/>
        <w:jc w:val="both"/>
        <w:rPr>
          <w:b/>
          <w:i/>
        </w:rPr>
      </w:pPr>
      <w:r>
        <w:rPr>
          <w:b/>
          <w:i/>
        </w:rPr>
        <w:t xml:space="preserve">Challenges for Development Education today for trade </w:t>
      </w:r>
      <w:r w:rsidR="009E3D44">
        <w:rPr>
          <w:b/>
          <w:i/>
        </w:rPr>
        <w:t xml:space="preserve">unions: gathering the </w:t>
      </w:r>
      <w:r>
        <w:rPr>
          <w:b/>
          <w:i/>
        </w:rPr>
        <w:t xml:space="preserve">momentum </w:t>
      </w:r>
    </w:p>
    <w:p w:rsidR="00B37C6D" w:rsidRPr="00826E25" w:rsidRDefault="004C5C4F" w:rsidP="00826E25">
      <w:pPr>
        <w:ind w:right="-731"/>
        <w:jc w:val="both"/>
        <w:rPr>
          <w:i/>
        </w:rPr>
      </w:pPr>
      <w:r w:rsidRPr="008348CE">
        <w:t xml:space="preserve">Today, more than ever, development issues should be high ranked within the political priorities of trade unions, which are to promote alternative and social justice based development models. This brings about the need to work more on international solidarity, chasing </w:t>
      </w:r>
      <w:r w:rsidR="00B37C6D" w:rsidRPr="008348CE">
        <w:t>innovative ways and approaches to challenge the global crisis</w:t>
      </w:r>
      <w:r w:rsidR="008348CE">
        <w:t xml:space="preserve">. </w:t>
      </w:r>
      <w:r w:rsidR="008348CE" w:rsidRPr="008348CE">
        <w:rPr>
          <w:i/>
        </w:rPr>
        <w:t>“To trade unions,</w:t>
      </w:r>
      <w:r w:rsidR="008348CE">
        <w:t xml:space="preserve"> </w:t>
      </w:r>
      <w:r w:rsidR="00826E25" w:rsidRPr="008348CE">
        <w:rPr>
          <w:i/>
        </w:rPr>
        <w:t xml:space="preserve">development education is a life-long, participatory and open ending learning process that leads to a critical understanding and an active engagement in addressing the challenges of the rapidly changing, interdependent world we live in (…) the involvement of workers in development education is more important than ever to build understanding and active participation in global development processes, such as human and trade union rights, Decent Work, inequalities, social justice and social protection” </w:t>
      </w:r>
      <w:r w:rsidR="00826E25" w:rsidRPr="008348CE">
        <w:t>(TUDCN statements)</w:t>
      </w:r>
      <w:r w:rsidR="00826E25" w:rsidRPr="008348CE">
        <w:rPr>
          <w:i/>
        </w:rPr>
        <w:t>.</w:t>
      </w:r>
    </w:p>
    <w:p w:rsidR="001D413E" w:rsidRPr="008348CE" w:rsidRDefault="00F6515C" w:rsidP="009E3D44">
      <w:pPr>
        <w:ind w:right="-731"/>
        <w:jc w:val="both"/>
      </w:pPr>
      <w:r w:rsidRPr="008348CE">
        <w:t>In this sense, the DEAR programme represents</w:t>
      </w:r>
      <w:r w:rsidR="009E3D44" w:rsidRPr="008348CE">
        <w:t xml:space="preserve"> </w:t>
      </w:r>
      <w:r w:rsidRPr="008348CE">
        <w:t>an</w:t>
      </w:r>
      <w:r w:rsidR="009E3D44" w:rsidRPr="008348CE">
        <w:t xml:space="preserve"> </w:t>
      </w:r>
      <w:r w:rsidRPr="008348CE">
        <w:t>effective</w:t>
      </w:r>
      <w:r w:rsidR="009E3D44" w:rsidRPr="008348CE">
        <w:t xml:space="preserve"> opportunity</w:t>
      </w:r>
      <w:r w:rsidRPr="008348CE">
        <w:t xml:space="preserve">, worthwhile to be explored, </w:t>
      </w:r>
      <w:r w:rsidR="00923221" w:rsidRPr="008348CE">
        <w:t>as it encourages</w:t>
      </w:r>
      <w:r w:rsidR="001D413E" w:rsidRPr="008348CE">
        <w:t xml:space="preserve"> the development of common understanding of global development and related issues in Europe. The “European dimension” has been recently emphasized (most of all in the areas of advocacy and campaigning actions) as crucial criteria for future DEAR programmes, </w:t>
      </w:r>
      <w:r w:rsidR="00923221" w:rsidRPr="008348CE">
        <w:t xml:space="preserve">which should be </w:t>
      </w:r>
      <w:r w:rsidR="001D413E" w:rsidRPr="008348CE">
        <w:t>aimed at both supporting activities which have an impact at EU level (besides the national one)</w:t>
      </w:r>
      <w:r w:rsidR="00923221" w:rsidRPr="008348CE">
        <w:t>, and backing “a sense of co-responsibility of European society for global affairs”</w:t>
      </w:r>
      <w:r w:rsidR="00923221" w:rsidRPr="008348CE">
        <w:rPr>
          <w:rStyle w:val="FootnoteReference"/>
        </w:rPr>
        <w:footnoteReference w:id="6"/>
      </w:r>
      <w:r w:rsidR="00923221" w:rsidRPr="008348CE">
        <w:t xml:space="preserve">. </w:t>
      </w:r>
      <w:r w:rsidR="001D413E" w:rsidRPr="008348CE">
        <w:t xml:space="preserve"> </w:t>
      </w:r>
    </w:p>
    <w:p w:rsidR="009E3D44" w:rsidRDefault="00923221" w:rsidP="009E3D44">
      <w:pPr>
        <w:ind w:right="-731"/>
        <w:jc w:val="both"/>
        <w:rPr>
          <w:b/>
          <w:i/>
        </w:rPr>
      </w:pPr>
      <w:r w:rsidRPr="008348CE">
        <w:t>Finally, m</w:t>
      </w:r>
      <w:r w:rsidR="00F6515C" w:rsidRPr="008348CE">
        <w:t xml:space="preserve">ore than in the past, the EC seems recognising </w:t>
      </w:r>
      <w:r w:rsidR="007B71B7" w:rsidRPr="008348CE">
        <w:t xml:space="preserve">the role and value of social movements in development processes, with the result of being more </w:t>
      </w:r>
      <w:r w:rsidR="00F6515C" w:rsidRPr="008348CE">
        <w:t xml:space="preserve">supportive </w:t>
      </w:r>
      <w:r w:rsidR="009E3D44" w:rsidRPr="008348CE">
        <w:t>towards</w:t>
      </w:r>
      <w:r w:rsidR="007B71B7" w:rsidRPr="008348CE">
        <w:t xml:space="preserve"> them</w:t>
      </w:r>
      <w:r w:rsidR="00F6515C" w:rsidRPr="008348CE">
        <w:t xml:space="preserve">. </w:t>
      </w:r>
      <w:r w:rsidR="007B71B7" w:rsidRPr="008348CE">
        <w:t>This is</w:t>
      </w:r>
      <w:r w:rsidR="007B71B7">
        <w:t xml:space="preserve"> unfortunately the opposite of what is happening</w:t>
      </w:r>
      <w:r w:rsidR="009E3D44">
        <w:t xml:space="preserve"> in many countries </w:t>
      </w:r>
      <w:r w:rsidR="007B71B7">
        <w:t>in Europe</w:t>
      </w:r>
      <w:r w:rsidR="004C02F7">
        <w:t>.</w:t>
      </w:r>
      <w:r w:rsidR="007B71B7">
        <w:t xml:space="preserve"> </w:t>
      </w:r>
      <w:r w:rsidR="004C02F7">
        <w:t>Here</w:t>
      </w:r>
      <w:r w:rsidR="007B71B7">
        <w:t xml:space="preserve"> </w:t>
      </w:r>
      <w:r w:rsidR="004C02F7">
        <w:t>not only development budgets keep being progressively dec</w:t>
      </w:r>
      <w:r w:rsidR="005E2256">
        <w:t>r</w:t>
      </w:r>
      <w:r w:rsidR="004C02F7">
        <w:t>eased by national governments</w:t>
      </w:r>
      <w:r w:rsidR="007B71B7">
        <w:t xml:space="preserve">, but also difficulties still persist for trade unions to be </w:t>
      </w:r>
      <w:r w:rsidR="004C02F7">
        <w:t>directly supported</w:t>
      </w:r>
      <w:r w:rsidR="00D333E2">
        <w:t xml:space="preserve">, when it comes to development education. </w:t>
      </w:r>
    </w:p>
    <w:p w:rsidR="003C4365" w:rsidRDefault="003C4365" w:rsidP="003A4D1A">
      <w:pPr>
        <w:rPr>
          <w:b/>
          <w:i/>
        </w:rPr>
      </w:pPr>
    </w:p>
    <w:p w:rsidR="00577E3A" w:rsidRPr="000F3EFF" w:rsidRDefault="00536418" w:rsidP="003A4D1A">
      <w:pPr>
        <w:rPr>
          <w:b/>
          <w:i/>
        </w:rPr>
      </w:pPr>
      <w:r w:rsidRPr="000F3EFF">
        <w:rPr>
          <w:b/>
          <w:i/>
        </w:rPr>
        <w:lastRenderedPageBreak/>
        <w:t>What do we want to reach at the end of the seminar</w:t>
      </w:r>
      <w:r w:rsidR="00B13FA6" w:rsidRPr="000F3EFF">
        <w:rPr>
          <w:b/>
          <w:i/>
        </w:rPr>
        <w:t>?</w:t>
      </w:r>
    </w:p>
    <w:p w:rsidR="00BD4DEE" w:rsidRDefault="00BB629F" w:rsidP="00A03A11">
      <w:pPr>
        <w:ind w:right="-731"/>
        <w:jc w:val="both"/>
      </w:pPr>
      <w:r w:rsidRPr="008348CE">
        <w:t>Following the commitments and priorities expr</w:t>
      </w:r>
      <w:r w:rsidR="00923221" w:rsidRPr="008348CE">
        <w:t>essed by the TUDCN members</w:t>
      </w:r>
      <w:r w:rsidR="00847421" w:rsidRPr="008348CE">
        <w:t xml:space="preserve"> around development education</w:t>
      </w:r>
      <w:r w:rsidR="00923221" w:rsidRPr="008348CE">
        <w:t>, the ultimate</w:t>
      </w:r>
      <w:r w:rsidRPr="008348CE">
        <w:t xml:space="preserve"> objective is to introduce a </w:t>
      </w:r>
      <w:r w:rsidR="00847421" w:rsidRPr="008348CE">
        <w:t>“</w:t>
      </w:r>
      <w:r w:rsidRPr="008348CE">
        <w:t>joint programme proposal</w:t>
      </w:r>
      <w:r w:rsidR="00847421" w:rsidRPr="008348CE">
        <w:t>”</w:t>
      </w:r>
      <w:r w:rsidRPr="008348CE">
        <w:t xml:space="preserve"> to the European Commission. </w:t>
      </w:r>
    </w:p>
    <w:p w:rsidR="008348CE" w:rsidRDefault="008348CE" w:rsidP="00A03A11">
      <w:pPr>
        <w:ind w:right="-731"/>
        <w:jc w:val="both"/>
      </w:pPr>
      <w:r w:rsidRPr="008348CE">
        <w:t>This is a considerable challenge, as it would entail a conceptual and operational effort to build up a ‘common framework’, equally owned by interested programme partners, guiding the specific subsequent planning at national level. In this sense, the possible “joint programme proposal” cannot be based on the simple ‘sum’ of different existing national projects/practices, but on the contrary will need to be conceived on shared features, supporting a solid European dimension.</w:t>
      </w:r>
    </w:p>
    <w:p w:rsidR="00BD4DEE" w:rsidRPr="008348CE" w:rsidRDefault="00BB629F" w:rsidP="00A03A11">
      <w:pPr>
        <w:ind w:right="-731"/>
        <w:jc w:val="both"/>
      </w:pPr>
      <w:r w:rsidRPr="008348CE">
        <w:t xml:space="preserve">Therefore, the current workshop is aimed at brainstorming on and finally developing </w:t>
      </w:r>
      <w:r w:rsidR="00B13FA6" w:rsidRPr="008348CE">
        <w:t>contents</w:t>
      </w:r>
      <w:r w:rsidRPr="008348CE">
        <w:t xml:space="preserve">, approaches and </w:t>
      </w:r>
      <w:r w:rsidR="00B13FA6" w:rsidRPr="008348CE">
        <w:t xml:space="preserve">operational </w:t>
      </w:r>
      <w:r w:rsidRPr="008348CE">
        <w:t xml:space="preserve">criteria that may constitute the backbone of the programme. </w:t>
      </w:r>
    </w:p>
    <w:p w:rsidR="00A03A11" w:rsidRPr="00A03A11" w:rsidRDefault="00BB629F" w:rsidP="00A03A11">
      <w:pPr>
        <w:ind w:right="-731"/>
        <w:jc w:val="both"/>
      </w:pPr>
      <w:r w:rsidRPr="008348CE">
        <w:t>In this sense, the expected outputs of the workshop are:</w:t>
      </w:r>
    </w:p>
    <w:p w:rsidR="00A03A11" w:rsidRDefault="00A03A11" w:rsidP="00B13FA6">
      <w:pPr>
        <w:pStyle w:val="ListParagraph"/>
        <w:numPr>
          <w:ilvl w:val="0"/>
          <w:numId w:val="14"/>
        </w:numPr>
        <w:ind w:right="-731"/>
        <w:jc w:val="both"/>
        <w:rPr>
          <w:i/>
        </w:rPr>
      </w:pPr>
      <w:r>
        <w:rPr>
          <w:i/>
        </w:rPr>
        <w:t>Programme baseline:</w:t>
      </w:r>
    </w:p>
    <w:p w:rsidR="00A03A11" w:rsidRDefault="00A03A11" w:rsidP="009E3D44">
      <w:pPr>
        <w:pStyle w:val="ListParagraph"/>
        <w:numPr>
          <w:ilvl w:val="1"/>
          <w:numId w:val="14"/>
        </w:numPr>
        <w:ind w:right="-731"/>
        <w:jc w:val="both"/>
        <w:rPr>
          <w:i/>
        </w:rPr>
      </w:pPr>
      <w:r>
        <w:rPr>
          <w:i/>
        </w:rPr>
        <w:t>Overall and specific objectives</w:t>
      </w:r>
      <w:r w:rsidR="009E3D44">
        <w:rPr>
          <w:i/>
        </w:rPr>
        <w:t xml:space="preserve"> </w:t>
      </w:r>
      <w:r w:rsidR="009E3D44" w:rsidRPr="000F3EFF">
        <w:t>(the priorities of the call for proposals will be: 2015 European Year of Development</w:t>
      </w:r>
      <w:r w:rsidR="00E47874">
        <w:rPr>
          <w:rStyle w:val="FootnoteReference"/>
        </w:rPr>
        <w:footnoteReference w:id="7"/>
      </w:r>
      <w:r w:rsidR="009E3D44" w:rsidRPr="000F3EFF">
        <w:t xml:space="preserve"> + </w:t>
      </w:r>
      <w:r w:rsidR="00E47874" w:rsidRPr="00E47874">
        <w:rPr>
          <w:highlight w:val="yellow"/>
        </w:rPr>
        <w:t>EC Communication</w:t>
      </w:r>
      <w:r w:rsidR="00E47874">
        <w:t xml:space="preserve"> </w:t>
      </w:r>
      <w:r w:rsidR="009E3D44" w:rsidRPr="000F3EFF">
        <w:t>“Decent Life for All”</w:t>
      </w:r>
      <w:r w:rsidR="00E47874">
        <w:rPr>
          <w:rStyle w:val="FootnoteReference"/>
        </w:rPr>
        <w:footnoteReference w:id="8"/>
      </w:r>
      <w:r w:rsidR="009E3D44" w:rsidRPr="000F3EFF">
        <w:t>)</w:t>
      </w:r>
    </w:p>
    <w:p w:rsidR="00A03A11" w:rsidRPr="004C5C4F" w:rsidRDefault="00A03A11" w:rsidP="009E3D44">
      <w:pPr>
        <w:pStyle w:val="ListParagraph"/>
        <w:numPr>
          <w:ilvl w:val="1"/>
          <w:numId w:val="14"/>
        </w:numPr>
        <w:ind w:right="-731"/>
        <w:jc w:val="both"/>
        <w:rPr>
          <w:i/>
        </w:rPr>
      </w:pPr>
      <w:r>
        <w:rPr>
          <w:i/>
        </w:rPr>
        <w:t xml:space="preserve">Target </w:t>
      </w:r>
      <w:r w:rsidR="00584B35">
        <w:rPr>
          <w:i/>
        </w:rPr>
        <w:t xml:space="preserve">groups </w:t>
      </w:r>
      <w:proofErr w:type="spellStart"/>
      <w:r w:rsidR="00584B35">
        <w:rPr>
          <w:i/>
        </w:rPr>
        <w:t>e.g</w:t>
      </w:r>
      <w:proofErr w:type="spellEnd"/>
      <w:r w:rsidR="00584B35">
        <w:rPr>
          <w:i/>
        </w:rPr>
        <w:t xml:space="preserve">; </w:t>
      </w:r>
      <w:r w:rsidR="00584B35" w:rsidRPr="000F3EFF">
        <w:t>trade union members and workers</w:t>
      </w:r>
    </w:p>
    <w:p w:rsidR="004C5C4F" w:rsidRDefault="004C5C4F" w:rsidP="004C5C4F">
      <w:pPr>
        <w:pStyle w:val="ListParagraph"/>
        <w:ind w:left="1440" w:right="-731"/>
        <w:jc w:val="both"/>
        <w:rPr>
          <w:i/>
        </w:rPr>
      </w:pPr>
    </w:p>
    <w:p w:rsidR="00BB629F" w:rsidRPr="000F3EFF" w:rsidRDefault="00B13FA6" w:rsidP="00B13FA6">
      <w:pPr>
        <w:pStyle w:val="ListParagraph"/>
        <w:numPr>
          <w:ilvl w:val="0"/>
          <w:numId w:val="14"/>
        </w:numPr>
        <w:ind w:right="-731"/>
        <w:jc w:val="both"/>
        <w:rPr>
          <w:i/>
        </w:rPr>
      </w:pPr>
      <w:r w:rsidRPr="000F3EFF">
        <w:rPr>
          <w:i/>
        </w:rPr>
        <w:t>Programme Logical Framework :</w:t>
      </w:r>
    </w:p>
    <w:p w:rsidR="00B13FA6" w:rsidRPr="000F3EFF" w:rsidRDefault="00B13FA6" w:rsidP="00B13FA6">
      <w:pPr>
        <w:pStyle w:val="ListParagraph"/>
        <w:tabs>
          <w:tab w:val="left" w:pos="993"/>
        </w:tabs>
        <w:ind w:right="-731"/>
        <w:jc w:val="both"/>
      </w:pPr>
    </w:p>
    <w:p w:rsidR="00B13FA6" w:rsidRPr="000F3EFF" w:rsidRDefault="00B13FA6" w:rsidP="006D778E">
      <w:pPr>
        <w:pStyle w:val="ListParagraph"/>
        <w:tabs>
          <w:tab w:val="left" w:pos="993"/>
        </w:tabs>
        <w:ind w:left="993" w:right="-731" w:hanging="273"/>
        <w:jc w:val="both"/>
      </w:pPr>
      <w:proofErr w:type="gramStart"/>
      <w:r w:rsidRPr="000F3EFF">
        <w:t>o</w:t>
      </w:r>
      <w:proofErr w:type="gramEnd"/>
      <w:r w:rsidRPr="000F3EFF">
        <w:tab/>
      </w:r>
      <w:r w:rsidR="00584B35">
        <w:t>Programme strategy: what do we want to achieve with the target group(s) within the timeframe of the programme</w:t>
      </w:r>
    </w:p>
    <w:p w:rsidR="00B13FA6" w:rsidRPr="000F3EFF" w:rsidRDefault="00B13FA6" w:rsidP="00B13FA6">
      <w:pPr>
        <w:pStyle w:val="ListParagraph"/>
        <w:tabs>
          <w:tab w:val="left" w:pos="993"/>
        </w:tabs>
        <w:ind w:right="-731"/>
        <w:jc w:val="both"/>
      </w:pPr>
      <w:proofErr w:type="gramStart"/>
      <w:r w:rsidRPr="000F3EFF">
        <w:t>o</w:t>
      </w:r>
      <w:proofErr w:type="gramEnd"/>
      <w:r w:rsidRPr="000F3EFF">
        <w:tab/>
        <w:t>Intermediate results that have to be reached to reach the objective</w:t>
      </w:r>
    </w:p>
    <w:p w:rsidR="00B13FA6" w:rsidRPr="000F3EFF" w:rsidRDefault="00B13FA6" w:rsidP="00B13FA6">
      <w:pPr>
        <w:pStyle w:val="ListParagraph"/>
        <w:tabs>
          <w:tab w:val="left" w:pos="993"/>
        </w:tabs>
        <w:ind w:left="993" w:right="-731" w:hanging="273"/>
        <w:jc w:val="both"/>
      </w:pPr>
      <w:proofErr w:type="gramStart"/>
      <w:r w:rsidRPr="000F3EFF">
        <w:t>o</w:t>
      </w:r>
      <w:proofErr w:type="gramEnd"/>
      <w:r w:rsidRPr="000F3EFF">
        <w:tab/>
        <w:t>Kind of activities to be developed to reach each of the results with very rough indication of the means</w:t>
      </w:r>
      <w:r w:rsidR="00584B35">
        <w:t xml:space="preserve"> at national level and at European level </w:t>
      </w:r>
    </w:p>
    <w:p w:rsidR="00B13FA6" w:rsidRPr="000F3EFF" w:rsidRDefault="00B13FA6" w:rsidP="00B13FA6">
      <w:pPr>
        <w:pStyle w:val="ListParagraph"/>
        <w:tabs>
          <w:tab w:val="left" w:pos="993"/>
        </w:tabs>
        <w:ind w:left="993" w:right="-731" w:hanging="273"/>
        <w:jc w:val="both"/>
      </w:pPr>
      <w:proofErr w:type="gramStart"/>
      <w:r w:rsidRPr="000F3EFF">
        <w:t>o</w:t>
      </w:r>
      <w:proofErr w:type="gramEnd"/>
      <w:r w:rsidRPr="000F3EFF">
        <w:tab/>
        <w:t xml:space="preserve">Risk analysis: what </w:t>
      </w:r>
      <w:r w:rsidR="00584B35">
        <w:t xml:space="preserve">is likely to </w:t>
      </w:r>
      <w:r w:rsidRPr="000F3EFF">
        <w:t xml:space="preserve">influence the programme </w:t>
      </w:r>
      <w:r w:rsidR="00584B35">
        <w:t xml:space="preserve">implementation </w:t>
      </w:r>
      <w:r w:rsidRPr="000F3EFF">
        <w:t>and how are we going to deal with that</w:t>
      </w:r>
    </w:p>
    <w:p w:rsidR="00B13FA6" w:rsidRPr="000F3EFF" w:rsidRDefault="00B13FA6" w:rsidP="00B13FA6">
      <w:pPr>
        <w:pStyle w:val="ListParagraph"/>
        <w:tabs>
          <w:tab w:val="left" w:pos="993"/>
        </w:tabs>
        <w:ind w:right="-731"/>
        <w:jc w:val="both"/>
      </w:pPr>
    </w:p>
    <w:p w:rsidR="00B13FA6" w:rsidRPr="000F3EFF" w:rsidRDefault="00B13FA6" w:rsidP="009D4B88">
      <w:pPr>
        <w:pStyle w:val="ListParagraph"/>
        <w:numPr>
          <w:ilvl w:val="0"/>
          <w:numId w:val="14"/>
        </w:numPr>
        <w:ind w:right="-731"/>
        <w:jc w:val="both"/>
        <w:rPr>
          <w:i/>
        </w:rPr>
      </w:pPr>
      <w:r w:rsidRPr="000F3EFF">
        <w:rPr>
          <w:i/>
        </w:rPr>
        <w:t>Shared management criteria – how the programme will be operationalized:</w:t>
      </w:r>
    </w:p>
    <w:p w:rsidR="00B13FA6" w:rsidRPr="000F3EFF" w:rsidRDefault="00B13FA6" w:rsidP="009D4B88">
      <w:pPr>
        <w:pStyle w:val="ListParagraph"/>
        <w:tabs>
          <w:tab w:val="left" w:pos="993"/>
        </w:tabs>
        <w:ind w:left="993" w:right="-731" w:hanging="273"/>
        <w:jc w:val="both"/>
      </w:pPr>
      <w:proofErr w:type="gramStart"/>
      <w:r w:rsidRPr="000F3EFF">
        <w:t>o</w:t>
      </w:r>
      <w:proofErr w:type="gramEnd"/>
      <w:r w:rsidRPr="000F3EFF">
        <w:tab/>
        <w:t>Manage</w:t>
      </w:r>
      <w:r w:rsidR="009D4B88" w:rsidRPr="000F3EFF">
        <w:t xml:space="preserve">ment of the programme: role of members </w:t>
      </w:r>
      <w:r w:rsidRPr="000F3EFF">
        <w:t>in the different countries</w:t>
      </w:r>
      <w:r w:rsidR="00584B35" w:rsidRPr="00584B35">
        <w:t xml:space="preserve"> </w:t>
      </w:r>
      <w:r w:rsidR="00584B35">
        <w:t xml:space="preserve">and role of the TUDCN secretariat </w:t>
      </w:r>
    </w:p>
    <w:p w:rsidR="00B13FA6" w:rsidRDefault="00B13FA6" w:rsidP="009D4B88">
      <w:pPr>
        <w:pStyle w:val="ListParagraph"/>
        <w:tabs>
          <w:tab w:val="left" w:pos="993"/>
        </w:tabs>
        <w:ind w:right="-731"/>
        <w:jc w:val="both"/>
      </w:pPr>
      <w:proofErr w:type="gramStart"/>
      <w:r w:rsidRPr="000F3EFF">
        <w:t>o</w:t>
      </w:r>
      <w:proofErr w:type="gramEnd"/>
      <w:r w:rsidRPr="000F3EFF">
        <w:tab/>
        <w:t>Steering group</w:t>
      </w:r>
      <w:r w:rsidR="00584B35">
        <w:t>/decision making mechanisms</w:t>
      </w:r>
    </w:p>
    <w:p w:rsidR="00584B35" w:rsidRPr="000F3EFF" w:rsidRDefault="00584B35" w:rsidP="009D4B88">
      <w:pPr>
        <w:pStyle w:val="ListParagraph"/>
        <w:tabs>
          <w:tab w:val="left" w:pos="993"/>
        </w:tabs>
        <w:ind w:right="-731"/>
        <w:jc w:val="both"/>
      </w:pPr>
      <w:proofErr w:type="gramStart"/>
      <w:r>
        <w:t>o</w:t>
      </w:r>
      <w:proofErr w:type="gramEnd"/>
      <w:r>
        <w:tab/>
        <w:t xml:space="preserve">Own contributions </w:t>
      </w:r>
    </w:p>
    <w:p w:rsidR="006428AF" w:rsidRDefault="00B13FA6" w:rsidP="004C5C4F">
      <w:pPr>
        <w:pStyle w:val="ListParagraph"/>
        <w:tabs>
          <w:tab w:val="left" w:pos="993"/>
        </w:tabs>
        <w:ind w:left="993" w:right="-731" w:hanging="273"/>
        <w:jc w:val="both"/>
      </w:pPr>
      <w:proofErr w:type="gramStart"/>
      <w:r w:rsidRPr="000F3EFF">
        <w:t>o</w:t>
      </w:r>
      <w:proofErr w:type="gramEnd"/>
      <w:r w:rsidRPr="000F3EFF">
        <w:tab/>
        <w:t>Broad agreement on Monitoring and evaluation (how will it be done, who will be responsible for what etc.)</w:t>
      </w:r>
      <w:r w:rsidR="00584B35">
        <w:t xml:space="preserve"> Mutual Accountability within the programme</w:t>
      </w:r>
    </w:p>
    <w:p w:rsidR="004C5C4F" w:rsidRPr="000F3EFF" w:rsidRDefault="004C5C4F" w:rsidP="004C5C4F">
      <w:pPr>
        <w:pStyle w:val="ListParagraph"/>
        <w:tabs>
          <w:tab w:val="left" w:pos="993"/>
        </w:tabs>
        <w:ind w:left="993" w:right="-731" w:hanging="273"/>
        <w:jc w:val="both"/>
      </w:pPr>
    </w:p>
    <w:p w:rsidR="00B13FA6" w:rsidRPr="000F3EFF" w:rsidRDefault="00B13FA6" w:rsidP="009D4B88">
      <w:pPr>
        <w:pStyle w:val="ListParagraph"/>
        <w:numPr>
          <w:ilvl w:val="0"/>
          <w:numId w:val="14"/>
        </w:numPr>
        <w:ind w:right="-731"/>
        <w:rPr>
          <w:i/>
        </w:rPr>
      </w:pPr>
      <w:r w:rsidRPr="000F3EFF">
        <w:rPr>
          <w:i/>
        </w:rPr>
        <w:t xml:space="preserve">Action plan </w:t>
      </w:r>
      <w:r w:rsidR="009D4B88" w:rsidRPr="000F3EFF">
        <w:rPr>
          <w:i/>
        </w:rPr>
        <w:t xml:space="preserve">finalised </w:t>
      </w:r>
      <w:r w:rsidRPr="000F3EFF">
        <w:rPr>
          <w:i/>
        </w:rPr>
        <w:t xml:space="preserve">for </w:t>
      </w:r>
      <w:r w:rsidR="009D4B88" w:rsidRPr="000F3EFF">
        <w:rPr>
          <w:i/>
        </w:rPr>
        <w:t>the next steps:</w:t>
      </w:r>
      <w:r w:rsidRPr="000F3EFF">
        <w:rPr>
          <w:i/>
        </w:rPr>
        <w:t xml:space="preserve"> </w:t>
      </w:r>
    </w:p>
    <w:p w:rsidR="009D4B88" w:rsidRPr="000F3EFF" w:rsidRDefault="009D4B88" w:rsidP="009D4B88">
      <w:pPr>
        <w:pStyle w:val="ListParagraph"/>
        <w:ind w:left="993" w:right="-731" w:hanging="273"/>
      </w:pPr>
      <w:proofErr w:type="gramStart"/>
      <w:r w:rsidRPr="000F3EFF">
        <w:t>o</w:t>
      </w:r>
      <w:proofErr w:type="gramEnd"/>
      <w:r w:rsidRPr="000F3EFF">
        <w:tab/>
        <w:t xml:space="preserve">Finalising the program proposal </w:t>
      </w:r>
    </w:p>
    <w:p w:rsidR="009D4B88" w:rsidRPr="000F3EFF" w:rsidRDefault="009D4B88" w:rsidP="009D4B88">
      <w:pPr>
        <w:pStyle w:val="ListParagraph"/>
        <w:ind w:left="993" w:right="-731" w:hanging="273"/>
      </w:pPr>
      <w:proofErr w:type="gramStart"/>
      <w:r w:rsidRPr="000F3EFF">
        <w:t>o</w:t>
      </w:r>
      <w:proofErr w:type="gramEnd"/>
      <w:r w:rsidRPr="000F3EFF">
        <w:tab/>
        <w:t xml:space="preserve">Finalising budget </w:t>
      </w:r>
    </w:p>
    <w:p w:rsidR="009D4B88" w:rsidRPr="000F3EFF" w:rsidRDefault="009D4B88" w:rsidP="009D4B88">
      <w:pPr>
        <w:pStyle w:val="ListParagraph"/>
        <w:ind w:left="993" w:right="-731" w:hanging="273"/>
      </w:pPr>
      <w:proofErr w:type="gramStart"/>
      <w:r w:rsidRPr="000F3EFF">
        <w:t>o</w:t>
      </w:r>
      <w:proofErr w:type="gramEnd"/>
      <w:r w:rsidRPr="000F3EFF">
        <w:tab/>
        <w:t>Concretising the program architecture</w:t>
      </w:r>
      <w:r w:rsidR="00584B35">
        <w:t>/management mechanisms</w:t>
      </w:r>
    </w:p>
    <w:p w:rsidR="004C5C4F" w:rsidRDefault="004C5C4F" w:rsidP="003A4D1A">
      <w:pPr>
        <w:rPr>
          <w:b/>
          <w:i/>
        </w:rPr>
      </w:pPr>
    </w:p>
    <w:p w:rsidR="00536418" w:rsidRPr="000F3EFF" w:rsidRDefault="004C5C4F" w:rsidP="003A4D1A">
      <w:pPr>
        <w:rPr>
          <w:rFonts w:ascii="Times New Roman" w:hAnsi="Times New Roman" w:cs="Times New Roman"/>
          <w:b/>
          <w:i/>
        </w:rPr>
      </w:pPr>
      <w:r w:rsidRPr="000F3EFF">
        <w:rPr>
          <w:b/>
          <w:i/>
        </w:rPr>
        <w:t>Methodological approach</w:t>
      </w:r>
      <w:r w:rsidR="00536418" w:rsidRPr="000F3EFF">
        <w:rPr>
          <w:b/>
          <w:i/>
        </w:rPr>
        <w:t xml:space="preserve"> </w:t>
      </w:r>
    </w:p>
    <w:p w:rsidR="006F745D" w:rsidRDefault="00467329" w:rsidP="000F3EFF">
      <w:pPr>
        <w:ind w:right="-731"/>
        <w:jc w:val="both"/>
      </w:pPr>
      <w:r w:rsidRPr="000F3EFF">
        <w:t xml:space="preserve">The workshop will be </w:t>
      </w:r>
      <w:r w:rsidR="00584B35">
        <w:t>run in</w:t>
      </w:r>
      <w:r w:rsidRPr="000F3EFF">
        <w:t xml:space="preserve"> a very interactive fashion, including working groups, brainstorming and discussions. As detailed in the agenda, the first day will be mostly dedicated at </w:t>
      </w:r>
      <w:r w:rsidR="00584B35">
        <w:t xml:space="preserve">sharing </w:t>
      </w:r>
      <w:r w:rsidRPr="000F3EFF">
        <w:t xml:space="preserve">the visions, perspectives, and contents of the programme, while the second day we will also concentrate on the overall programme architecture and </w:t>
      </w:r>
      <w:r w:rsidR="00584B35" w:rsidRPr="000F3EFF">
        <w:t>relat</w:t>
      </w:r>
      <w:r w:rsidR="00584B35">
        <w:t>ed</w:t>
      </w:r>
      <w:r w:rsidR="00584B35" w:rsidRPr="000F3EFF">
        <w:t xml:space="preserve"> </w:t>
      </w:r>
      <w:r w:rsidRPr="000F3EFF">
        <w:t xml:space="preserve">management commitments. </w:t>
      </w:r>
    </w:p>
    <w:p w:rsidR="00584B35" w:rsidRPr="000F3EFF" w:rsidRDefault="00584B35" w:rsidP="000F3EFF">
      <w:pPr>
        <w:ind w:right="-731"/>
        <w:jc w:val="both"/>
        <w:rPr>
          <w:rStyle w:val="IntenseReference"/>
          <w:b w:val="0"/>
          <w:bCs w:val="0"/>
          <w:smallCaps w:val="0"/>
          <w:color w:val="auto"/>
          <w:spacing w:val="0"/>
          <w:u w:val="none"/>
        </w:rPr>
      </w:pPr>
      <w:r>
        <w:t xml:space="preserve">We invite you to read the documents referenced in the footnotes in order to have a </w:t>
      </w:r>
      <w:r w:rsidR="004C5C4F">
        <w:t>preliminary</w:t>
      </w:r>
      <w:r>
        <w:t xml:space="preserve"> understanding of the task we have set ourselves.  Any documentation about your Development Education work is most welcome so that our “reality check” becomes tangent and “evidence” based. </w:t>
      </w:r>
    </w:p>
    <w:sectPr w:rsidR="00584B35" w:rsidRPr="000F3EFF" w:rsidSect="00ED7033">
      <w:footerReference w:type="default" r:id="rId11"/>
      <w:footerReference w:type="first" r:id="rId12"/>
      <w:pgSz w:w="11906" w:h="16838"/>
      <w:pgMar w:top="1134" w:right="2550" w:bottom="1134"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77D" w:rsidRDefault="0040377D" w:rsidP="00D0108B">
      <w:pPr>
        <w:spacing w:after="0" w:line="240" w:lineRule="auto"/>
      </w:pPr>
      <w:r>
        <w:separator/>
      </w:r>
    </w:p>
  </w:endnote>
  <w:endnote w:type="continuationSeparator" w:id="0">
    <w:p w:rsidR="0040377D" w:rsidRDefault="0040377D" w:rsidP="00D01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2" w:type="dxa"/>
      <w:tblInd w:w="108" w:type="dxa"/>
      <w:tblLook w:val="04A0" w:firstRow="1" w:lastRow="0" w:firstColumn="1" w:lastColumn="0" w:noHBand="0" w:noVBand="1"/>
    </w:tblPr>
    <w:tblGrid>
      <w:gridCol w:w="1176"/>
      <w:gridCol w:w="6536"/>
    </w:tblGrid>
    <w:tr w:rsidR="00ED7033" w:rsidRPr="00ED7033" w:rsidTr="00ED7033">
      <w:trPr>
        <w:trHeight w:val="300"/>
      </w:trPr>
      <w:tc>
        <w:tcPr>
          <w:tcW w:w="976" w:type="dxa"/>
          <w:vMerge w:val="restart"/>
          <w:tcBorders>
            <w:top w:val="nil"/>
            <w:left w:val="nil"/>
            <w:bottom w:val="nil"/>
            <w:right w:val="nil"/>
          </w:tcBorders>
          <w:shd w:val="clear" w:color="auto" w:fill="auto"/>
          <w:noWrap/>
          <w:vAlign w:val="bottom"/>
          <w:hideMark/>
        </w:tcPr>
        <w:p w:rsidR="00ED7033" w:rsidRPr="00ED7033" w:rsidRDefault="00ED7033" w:rsidP="00ED7033">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61312" behindDoc="0" locked="0" layoutInCell="1" allowOverlap="1">
                <wp:simplePos x="0" y="0"/>
                <wp:positionH relativeFrom="column">
                  <wp:posOffset>133350</wp:posOffset>
                </wp:positionH>
                <wp:positionV relativeFrom="paragraph">
                  <wp:posOffset>-194310</wp:posOffset>
                </wp:positionV>
                <wp:extent cx="352425" cy="238125"/>
                <wp:effectExtent l="0" t="0" r="9525" b="9525"/>
                <wp:wrapNone/>
                <wp:docPr id="7" name="Picture 7" descr="eu banner.gif"/>
                <wp:cNvGraphicFramePr/>
                <a:graphic xmlns:a="http://schemas.openxmlformats.org/drawingml/2006/main">
                  <a:graphicData uri="http://schemas.openxmlformats.org/drawingml/2006/picture">
                    <pic:pic xmlns:pic="http://schemas.openxmlformats.org/drawingml/2006/picture">
                      <pic:nvPicPr>
                        <pic:cNvPr id="3" name="Picture 2" descr="eu banner.gif"/>
                        <pic:cNvPicPr/>
                      </pic:nvPicPr>
                      <pic:blipFill>
                        <a:blip r:embed="rId1"/>
                        <a:stretch>
                          <a:fillRect/>
                        </a:stretch>
                      </pic:blipFill>
                      <pic:spPr>
                        <a:xfrm>
                          <a:off x="0" y="0"/>
                          <a:ext cx="352425" cy="238125"/>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ED7033" w:rsidRPr="00ED7033">
            <w:trPr>
              <w:trHeight w:val="269"/>
              <w:tblCellSpacing w:w="0" w:type="dxa"/>
            </w:trPr>
            <w:tc>
              <w:tcPr>
                <w:tcW w:w="960" w:type="dxa"/>
                <w:vMerge w:val="restart"/>
                <w:tcBorders>
                  <w:top w:val="nil"/>
                  <w:left w:val="nil"/>
                  <w:bottom w:val="nil"/>
                  <w:right w:val="nil"/>
                </w:tcBorders>
                <w:shd w:val="clear" w:color="auto" w:fill="auto"/>
                <w:noWrap/>
                <w:vAlign w:val="bottom"/>
                <w:hideMark/>
              </w:tcPr>
              <w:p w:rsidR="00ED7033" w:rsidRPr="00ED7033" w:rsidRDefault="00ED7033" w:rsidP="00ED7033">
                <w:pPr>
                  <w:spacing w:after="0" w:line="240" w:lineRule="auto"/>
                  <w:jc w:val="center"/>
                  <w:rPr>
                    <w:rFonts w:ascii="Calibri" w:eastAsia="Times New Roman" w:hAnsi="Calibri" w:cs="Times New Roman"/>
                    <w:color w:val="000000"/>
                  </w:rPr>
                </w:pPr>
              </w:p>
            </w:tc>
          </w:tr>
          <w:tr w:rsidR="00ED7033" w:rsidRPr="00ED7033">
            <w:trPr>
              <w:trHeight w:val="269"/>
              <w:tblCellSpacing w:w="0" w:type="dxa"/>
            </w:trPr>
            <w:tc>
              <w:tcPr>
                <w:tcW w:w="0" w:type="auto"/>
                <w:vMerge/>
                <w:tcBorders>
                  <w:top w:val="nil"/>
                  <w:left w:val="nil"/>
                  <w:bottom w:val="nil"/>
                  <w:right w:val="nil"/>
                </w:tcBorders>
                <w:vAlign w:val="center"/>
                <w:hideMark/>
              </w:tcPr>
              <w:p w:rsidR="00ED7033" w:rsidRPr="00ED7033" w:rsidRDefault="00ED7033" w:rsidP="00ED7033">
                <w:pPr>
                  <w:spacing w:after="0" w:line="240" w:lineRule="auto"/>
                  <w:rPr>
                    <w:rFonts w:ascii="Calibri" w:eastAsia="Times New Roman" w:hAnsi="Calibri" w:cs="Times New Roman"/>
                    <w:color w:val="000000"/>
                  </w:rPr>
                </w:pPr>
              </w:p>
            </w:tc>
          </w:tr>
        </w:tbl>
        <w:p w:rsidR="00ED7033" w:rsidRPr="00ED7033" w:rsidRDefault="00ED7033" w:rsidP="00ED7033">
          <w:pPr>
            <w:spacing w:after="0" w:line="240" w:lineRule="auto"/>
            <w:rPr>
              <w:rFonts w:ascii="Calibri" w:eastAsia="Times New Roman" w:hAnsi="Calibri" w:cs="Times New Roman"/>
              <w:color w:val="000000"/>
            </w:rPr>
          </w:pPr>
        </w:p>
      </w:tc>
      <w:tc>
        <w:tcPr>
          <w:tcW w:w="6536" w:type="dxa"/>
          <w:tcBorders>
            <w:top w:val="nil"/>
            <w:left w:val="nil"/>
            <w:bottom w:val="nil"/>
            <w:right w:val="nil"/>
          </w:tcBorders>
          <w:shd w:val="clear" w:color="auto" w:fill="auto"/>
          <w:noWrap/>
          <w:vAlign w:val="center"/>
          <w:hideMark/>
        </w:tcPr>
        <w:p w:rsidR="00ED7033" w:rsidRPr="00ED7033" w:rsidRDefault="00ED7033" w:rsidP="00ED7033">
          <w:pPr>
            <w:spacing w:after="0" w:line="240" w:lineRule="auto"/>
            <w:rPr>
              <w:rFonts w:ascii="Calibri" w:eastAsia="Times New Roman" w:hAnsi="Calibri" w:cs="Times New Roman"/>
              <w:i/>
              <w:iCs/>
              <w:color w:val="000000"/>
              <w:sz w:val="18"/>
              <w:szCs w:val="18"/>
            </w:rPr>
          </w:pPr>
          <w:r w:rsidRPr="00ED7033">
            <w:rPr>
              <w:rFonts w:ascii="Calibri" w:eastAsia="Times New Roman" w:hAnsi="Calibri" w:cs="Times New Roman"/>
              <w:i/>
              <w:iCs/>
              <w:color w:val="000000"/>
              <w:sz w:val="18"/>
              <w:szCs w:val="18"/>
            </w:rPr>
            <w:t>This Meeting has been organised with the financial assistance of the European Union.</w:t>
          </w:r>
        </w:p>
      </w:tc>
    </w:tr>
    <w:tr w:rsidR="00ED7033" w:rsidRPr="00ED7033" w:rsidTr="00ED7033">
      <w:trPr>
        <w:trHeight w:val="885"/>
      </w:trPr>
      <w:tc>
        <w:tcPr>
          <w:tcW w:w="976" w:type="dxa"/>
          <w:vMerge/>
          <w:tcBorders>
            <w:top w:val="nil"/>
            <w:left w:val="nil"/>
            <w:bottom w:val="nil"/>
            <w:right w:val="nil"/>
          </w:tcBorders>
          <w:vAlign w:val="center"/>
          <w:hideMark/>
        </w:tcPr>
        <w:p w:rsidR="00ED7033" w:rsidRPr="00ED7033" w:rsidRDefault="00ED7033" w:rsidP="00ED7033">
          <w:pPr>
            <w:spacing w:after="0" w:line="240" w:lineRule="auto"/>
            <w:rPr>
              <w:rFonts w:ascii="Calibri" w:eastAsia="Times New Roman" w:hAnsi="Calibri" w:cs="Times New Roman"/>
              <w:color w:val="000000"/>
            </w:rPr>
          </w:pPr>
        </w:p>
      </w:tc>
      <w:tc>
        <w:tcPr>
          <w:tcW w:w="6536" w:type="dxa"/>
          <w:tcBorders>
            <w:top w:val="nil"/>
            <w:left w:val="nil"/>
            <w:bottom w:val="nil"/>
            <w:right w:val="nil"/>
          </w:tcBorders>
          <w:shd w:val="clear" w:color="auto" w:fill="auto"/>
          <w:hideMark/>
        </w:tcPr>
        <w:p w:rsidR="00ED7033" w:rsidRPr="00ED7033" w:rsidRDefault="00ED7033" w:rsidP="00584B35">
          <w:pPr>
            <w:spacing w:after="0" w:line="240" w:lineRule="auto"/>
            <w:rPr>
              <w:rFonts w:ascii="Calibri" w:eastAsia="Times New Roman" w:hAnsi="Calibri" w:cs="Times New Roman"/>
              <w:i/>
              <w:iCs/>
              <w:color w:val="000000"/>
              <w:sz w:val="18"/>
              <w:szCs w:val="18"/>
            </w:rPr>
          </w:pPr>
          <w:r w:rsidRPr="00ED7033">
            <w:rPr>
              <w:rFonts w:ascii="Calibri" w:eastAsia="Times New Roman" w:hAnsi="Calibri" w:cs="Times New Roman"/>
              <w:i/>
              <w:iCs/>
              <w:color w:val="000000"/>
              <w:sz w:val="18"/>
              <w:szCs w:val="18"/>
            </w:rPr>
            <w:t xml:space="preserve">The contents of the Meeting and this document are to the sole responsibility of the </w:t>
          </w:r>
          <w:r w:rsidR="00584B35">
            <w:rPr>
              <w:rFonts w:ascii="Calibri" w:eastAsia="Times New Roman" w:hAnsi="Calibri" w:cs="Times New Roman"/>
              <w:i/>
              <w:iCs/>
              <w:color w:val="000000"/>
              <w:sz w:val="18"/>
              <w:szCs w:val="18"/>
            </w:rPr>
            <w:t xml:space="preserve">TUDCN </w:t>
          </w:r>
          <w:r w:rsidRPr="00ED7033">
            <w:rPr>
              <w:rFonts w:ascii="Calibri" w:eastAsia="Times New Roman" w:hAnsi="Calibri" w:cs="Times New Roman"/>
              <w:i/>
              <w:iCs/>
              <w:color w:val="000000"/>
              <w:sz w:val="18"/>
              <w:szCs w:val="18"/>
            </w:rPr>
            <w:t>and cannot by any circumstances be regarded as reflecting the position of the European Union.</w:t>
          </w:r>
        </w:p>
      </w:tc>
    </w:tr>
  </w:tbl>
  <w:p w:rsidR="0065783B" w:rsidRPr="00804CA6" w:rsidRDefault="0065783B">
    <w:pPr>
      <w:pStyle w:val="Footer"/>
      <w:rPr>
        <w:i/>
        <w:sz w:val="18"/>
        <w:szCs w:val="18"/>
      </w:rP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2" w:type="dxa"/>
      <w:tblInd w:w="108" w:type="dxa"/>
      <w:tblLook w:val="04A0" w:firstRow="1" w:lastRow="0" w:firstColumn="1" w:lastColumn="0" w:noHBand="0" w:noVBand="1"/>
    </w:tblPr>
    <w:tblGrid>
      <w:gridCol w:w="1176"/>
      <w:gridCol w:w="6536"/>
    </w:tblGrid>
    <w:tr w:rsidR="00ED7033" w:rsidRPr="00ED7033" w:rsidTr="00ED7033">
      <w:trPr>
        <w:trHeight w:val="300"/>
      </w:trPr>
      <w:tc>
        <w:tcPr>
          <w:tcW w:w="976" w:type="dxa"/>
          <w:vMerge w:val="restart"/>
          <w:tcBorders>
            <w:top w:val="nil"/>
            <w:left w:val="nil"/>
            <w:bottom w:val="nil"/>
            <w:right w:val="nil"/>
          </w:tcBorders>
          <w:shd w:val="clear" w:color="auto" w:fill="auto"/>
          <w:noWrap/>
          <w:vAlign w:val="bottom"/>
          <w:hideMark/>
        </w:tcPr>
        <w:p w:rsidR="00ED7033" w:rsidRPr="00ED7033" w:rsidRDefault="00ED7033" w:rsidP="00ED7033">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59264" behindDoc="0" locked="0" layoutInCell="1" allowOverlap="1">
                <wp:simplePos x="0" y="0"/>
                <wp:positionH relativeFrom="column">
                  <wp:posOffset>133350</wp:posOffset>
                </wp:positionH>
                <wp:positionV relativeFrom="paragraph">
                  <wp:posOffset>-194310</wp:posOffset>
                </wp:positionV>
                <wp:extent cx="352425" cy="238125"/>
                <wp:effectExtent l="0" t="0" r="9525" b="9525"/>
                <wp:wrapNone/>
                <wp:docPr id="5" name="Picture 5" descr="eu banner.gif"/>
                <wp:cNvGraphicFramePr/>
                <a:graphic xmlns:a="http://schemas.openxmlformats.org/drawingml/2006/main">
                  <a:graphicData uri="http://schemas.openxmlformats.org/drawingml/2006/picture">
                    <pic:pic xmlns:pic="http://schemas.openxmlformats.org/drawingml/2006/picture">
                      <pic:nvPicPr>
                        <pic:cNvPr id="3" name="Picture 2" descr="eu banner.gif"/>
                        <pic:cNvPicPr/>
                      </pic:nvPicPr>
                      <pic:blipFill>
                        <a:blip r:embed="rId1"/>
                        <a:stretch>
                          <a:fillRect/>
                        </a:stretch>
                      </pic:blipFill>
                      <pic:spPr>
                        <a:xfrm>
                          <a:off x="0" y="0"/>
                          <a:ext cx="352425" cy="238125"/>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ED7033" w:rsidRPr="00ED7033">
            <w:trPr>
              <w:trHeight w:val="269"/>
              <w:tblCellSpacing w:w="0" w:type="dxa"/>
            </w:trPr>
            <w:tc>
              <w:tcPr>
                <w:tcW w:w="960" w:type="dxa"/>
                <w:vMerge w:val="restart"/>
                <w:tcBorders>
                  <w:top w:val="nil"/>
                  <w:left w:val="nil"/>
                  <w:bottom w:val="nil"/>
                  <w:right w:val="nil"/>
                </w:tcBorders>
                <w:shd w:val="clear" w:color="auto" w:fill="auto"/>
                <w:noWrap/>
                <w:vAlign w:val="bottom"/>
                <w:hideMark/>
              </w:tcPr>
              <w:p w:rsidR="00ED7033" w:rsidRPr="00ED7033" w:rsidRDefault="00ED7033" w:rsidP="00ED7033">
                <w:pPr>
                  <w:spacing w:after="0" w:line="240" w:lineRule="auto"/>
                  <w:jc w:val="center"/>
                  <w:rPr>
                    <w:rFonts w:ascii="Calibri" w:eastAsia="Times New Roman" w:hAnsi="Calibri" w:cs="Times New Roman"/>
                    <w:color w:val="000000"/>
                  </w:rPr>
                </w:pPr>
              </w:p>
            </w:tc>
          </w:tr>
          <w:tr w:rsidR="00ED7033" w:rsidRPr="00ED7033">
            <w:trPr>
              <w:trHeight w:val="269"/>
              <w:tblCellSpacing w:w="0" w:type="dxa"/>
            </w:trPr>
            <w:tc>
              <w:tcPr>
                <w:tcW w:w="0" w:type="auto"/>
                <w:vMerge/>
                <w:tcBorders>
                  <w:top w:val="nil"/>
                  <w:left w:val="nil"/>
                  <w:bottom w:val="nil"/>
                  <w:right w:val="nil"/>
                </w:tcBorders>
                <w:vAlign w:val="center"/>
                <w:hideMark/>
              </w:tcPr>
              <w:p w:rsidR="00ED7033" w:rsidRPr="00ED7033" w:rsidRDefault="00ED7033" w:rsidP="00ED7033">
                <w:pPr>
                  <w:spacing w:after="0" w:line="240" w:lineRule="auto"/>
                  <w:rPr>
                    <w:rFonts w:ascii="Calibri" w:eastAsia="Times New Roman" w:hAnsi="Calibri" w:cs="Times New Roman"/>
                    <w:color w:val="000000"/>
                  </w:rPr>
                </w:pPr>
              </w:p>
            </w:tc>
          </w:tr>
        </w:tbl>
        <w:p w:rsidR="00ED7033" w:rsidRPr="00ED7033" w:rsidRDefault="00ED7033" w:rsidP="00ED7033">
          <w:pPr>
            <w:spacing w:after="0" w:line="240" w:lineRule="auto"/>
            <w:rPr>
              <w:rFonts w:ascii="Calibri" w:eastAsia="Times New Roman" w:hAnsi="Calibri" w:cs="Times New Roman"/>
              <w:color w:val="000000"/>
            </w:rPr>
          </w:pPr>
        </w:p>
      </w:tc>
      <w:tc>
        <w:tcPr>
          <w:tcW w:w="6536" w:type="dxa"/>
          <w:tcBorders>
            <w:top w:val="nil"/>
            <w:left w:val="nil"/>
            <w:bottom w:val="nil"/>
            <w:right w:val="nil"/>
          </w:tcBorders>
          <w:shd w:val="clear" w:color="auto" w:fill="auto"/>
          <w:noWrap/>
          <w:vAlign w:val="center"/>
          <w:hideMark/>
        </w:tcPr>
        <w:p w:rsidR="00ED7033" w:rsidRPr="00ED7033" w:rsidRDefault="00ED7033" w:rsidP="00ED7033">
          <w:pPr>
            <w:spacing w:after="0" w:line="240" w:lineRule="auto"/>
            <w:rPr>
              <w:rFonts w:ascii="Calibri" w:eastAsia="Times New Roman" w:hAnsi="Calibri" w:cs="Times New Roman"/>
              <w:i/>
              <w:iCs/>
              <w:color w:val="000000"/>
              <w:sz w:val="18"/>
              <w:szCs w:val="18"/>
            </w:rPr>
          </w:pPr>
          <w:r w:rsidRPr="00ED7033">
            <w:rPr>
              <w:rFonts w:ascii="Calibri" w:eastAsia="Times New Roman" w:hAnsi="Calibri" w:cs="Times New Roman"/>
              <w:i/>
              <w:iCs/>
              <w:color w:val="000000"/>
              <w:sz w:val="18"/>
              <w:szCs w:val="18"/>
            </w:rPr>
            <w:t>This Meeting has been organised with the financial assistance of the European Union.</w:t>
          </w:r>
        </w:p>
      </w:tc>
    </w:tr>
    <w:tr w:rsidR="00ED7033" w:rsidRPr="00ED7033" w:rsidTr="00ED7033">
      <w:trPr>
        <w:trHeight w:val="885"/>
      </w:trPr>
      <w:tc>
        <w:tcPr>
          <w:tcW w:w="976" w:type="dxa"/>
          <w:vMerge/>
          <w:tcBorders>
            <w:top w:val="nil"/>
            <w:left w:val="nil"/>
            <w:bottom w:val="nil"/>
            <w:right w:val="nil"/>
          </w:tcBorders>
          <w:vAlign w:val="center"/>
          <w:hideMark/>
        </w:tcPr>
        <w:p w:rsidR="00ED7033" w:rsidRPr="00ED7033" w:rsidRDefault="00ED7033" w:rsidP="00ED7033">
          <w:pPr>
            <w:spacing w:after="0" w:line="240" w:lineRule="auto"/>
            <w:rPr>
              <w:rFonts w:ascii="Calibri" w:eastAsia="Times New Roman" w:hAnsi="Calibri" w:cs="Times New Roman"/>
              <w:color w:val="000000"/>
            </w:rPr>
          </w:pPr>
        </w:p>
      </w:tc>
      <w:tc>
        <w:tcPr>
          <w:tcW w:w="6536" w:type="dxa"/>
          <w:tcBorders>
            <w:top w:val="nil"/>
            <w:left w:val="nil"/>
            <w:bottom w:val="nil"/>
            <w:right w:val="nil"/>
          </w:tcBorders>
          <w:shd w:val="clear" w:color="auto" w:fill="auto"/>
          <w:hideMark/>
        </w:tcPr>
        <w:p w:rsidR="00ED7033" w:rsidRPr="00ED7033" w:rsidRDefault="00ED7033" w:rsidP="004C5C4F">
          <w:pPr>
            <w:spacing w:after="0" w:line="240" w:lineRule="auto"/>
            <w:rPr>
              <w:rFonts w:ascii="Calibri" w:eastAsia="Times New Roman" w:hAnsi="Calibri" w:cs="Times New Roman"/>
              <w:i/>
              <w:iCs/>
              <w:color w:val="000000"/>
              <w:sz w:val="18"/>
              <w:szCs w:val="18"/>
            </w:rPr>
          </w:pPr>
          <w:r w:rsidRPr="00ED7033">
            <w:rPr>
              <w:rFonts w:ascii="Calibri" w:eastAsia="Times New Roman" w:hAnsi="Calibri" w:cs="Times New Roman"/>
              <w:i/>
              <w:iCs/>
              <w:color w:val="000000"/>
              <w:sz w:val="18"/>
              <w:szCs w:val="18"/>
            </w:rPr>
            <w:t xml:space="preserve">The contents of the Meeting and this document are to the sole responsibility of the </w:t>
          </w:r>
          <w:r w:rsidR="004C5C4F">
            <w:rPr>
              <w:rFonts w:ascii="Calibri" w:eastAsia="Times New Roman" w:hAnsi="Calibri" w:cs="Times New Roman"/>
              <w:i/>
              <w:iCs/>
              <w:color w:val="000000"/>
              <w:sz w:val="18"/>
              <w:szCs w:val="18"/>
            </w:rPr>
            <w:t>TUDCN</w:t>
          </w:r>
          <w:r w:rsidRPr="00ED7033">
            <w:rPr>
              <w:rFonts w:ascii="Calibri" w:eastAsia="Times New Roman" w:hAnsi="Calibri" w:cs="Times New Roman"/>
              <w:i/>
              <w:iCs/>
              <w:color w:val="000000"/>
              <w:sz w:val="18"/>
              <w:szCs w:val="18"/>
            </w:rPr>
            <w:t xml:space="preserve"> and cannot by any circumstances be regarded as reflecting the position of the European Union.</w:t>
          </w:r>
        </w:p>
      </w:tc>
    </w:tr>
  </w:tbl>
  <w:p w:rsidR="0065783B" w:rsidRPr="004F25B8" w:rsidRDefault="0065783B" w:rsidP="004F25B8">
    <w:pPr>
      <w:pStyle w:val="Footer"/>
      <w:tabs>
        <w:tab w:val="clear" w:pos="4513"/>
      </w:tabs>
      <w:ind w:left="1276" w:right="-873"/>
      <w:rPr>
        <w:i/>
        <w:sz w:val="18"/>
        <w:szCs w:val="18"/>
      </w:rPr>
    </w:pPr>
    <w:r>
      <w:tab/>
    </w:r>
    <w:r>
      <w:tab/>
    </w:r>
  </w:p>
  <w:p w:rsidR="0065783B" w:rsidRDefault="0065783B">
    <w:pPr>
      <w:pStyle w:val="Footer"/>
    </w:pPr>
  </w:p>
  <w:p w:rsidR="0065783B" w:rsidRDefault="0065783B">
    <w:pPr>
      <w:pStyle w:val="Footer"/>
    </w:pPr>
  </w:p>
  <w:p w:rsidR="0065783B" w:rsidRPr="00512B3E" w:rsidRDefault="0065783B">
    <w:pPr>
      <w:pStyle w:val="Foo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77D" w:rsidRDefault="0040377D" w:rsidP="00D0108B">
      <w:pPr>
        <w:spacing w:after="0" w:line="240" w:lineRule="auto"/>
      </w:pPr>
      <w:r>
        <w:separator/>
      </w:r>
    </w:p>
  </w:footnote>
  <w:footnote w:type="continuationSeparator" w:id="0">
    <w:p w:rsidR="0040377D" w:rsidRDefault="0040377D" w:rsidP="00D0108B">
      <w:pPr>
        <w:spacing w:after="0" w:line="240" w:lineRule="auto"/>
      </w:pPr>
      <w:r>
        <w:continuationSeparator/>
      </w:r>
    </w:p>
  </w:footnote>
  <w:footnote w:id="1">
    <w:p w:rsidR="008614F5" w:rsidRPr="0071000C" w:rsidRDefault="008614F5" w:rsidP="001178D6">
      <w:pPr>
        <w:pStyle w:val="FootnoteText"/>
        <w:ind w:left="142" w:right="-731" w:hanging="142"/>
        <w:jc w:val="both"/>
        <w:rPr>
          <w:sz w:val="18"/>
          <w:szCs w:val="18"/>
        </w:rPr>
      </w:pPr>
      <w:r>
        <w:rPr>
          <w:rStyle w:val="FootnoteReference"/>
        </w:rPr>
        <w:footnoteRef/>
      </w:r>
      <w:r>
        <w:t xml:space="preserve"> </w:t>
      </w:r>
      <w:hyperlink r:id="rId1" w:history="1">
        <w:r w:rsidRPr="0071000C">
          <w:rPr>
            <w:rStyle w:val="Hyperlink"/>
            <w:sz w:val="18"/>
            <w:szCs w:val="18"/>
          </w:rPr>
          <w:t>https://webgate.ec.europa.eu/fpfis/mwikis/aidco/index.php/DEAR:_Development_education_and_awareness_raising:_concept</w:t>
        </w:r>
      </w:hyperlink>
      <w:r w:rsidRPr="0071000C">
        <w:rPr>
          <w:sz w:val="18"/>
          <w:szCs w:val="18"/>
        </w:rPr>
        <w:t xml:space="preserve"> </w:t>
      </w:r>
    </w:p>
    <w:p w:rsidR="008614F5" w:rsidRDefault="008614F5" w:rsidP="001178D6">
      <w:pPr>
        <w:pStyle w:val="FootnoteText"/>
        <w:ind w:right="-731"/>
      </w:pPr>
    </w:p>
  </w:footnote>
  <w:footnote w:id="2">
    <w:p w:rsidR="00E94B38" w:rsidRPr="00E94B38" w:rsidRDefault="00E94B38" w:rsidP="001178D6">
      <w:pPr>
        <w:pStyle w:val="FootnoteText"/>
        <w:ind w:left="142" w:right="-731" w:hanging="142"/>
        <w:rPr>
          <w:sz w:val="18"/>
          <w:szCs w:val="18"/>
        </w:rPr>
      </w:pPr>
      <w:r>
        <w:rPr>
          <w:rStyle w:val="FootnoteReference"/>
        </w:rPr>
        <w:footnoteRef/>
      </w:r>
      <w:r>
        <w:t xml:space="preserve"> </w:t>
      </w:r>
      <w:r w:rsidRPr="00E94B38">
        <w:rPr>
          <w:sz w:val="18"/>
          <w:szCs w:val="18"/>
        </w:rPr>
        <w:t>For reference</w:t>
      </w:r>
      <w:r w:rsidR="004F33FD">
        <w:rPr>
          <w:sz w:val="18"/>
          <w:szCs w:val="18"/>
        </w:rPr>
        <w:t>:</w:t>
      </w:r>
      <w:r w:rsidRPr="00E94B38">
        <w:rPr>
          <w:sz w:val="18"/>
          <w:szCs w:val="18"/>
        </w:rPr>
        <w:t xml:space="preserve"> </w:t>
      </w:r>
      <w:r w:rsidR="004F33FD" w:rsidRPr="00E94B38">
        <w:rPr>
          <w:sz w:val="18"/>
          <w:szCs w:val="18"/>
        </w:rPr>
        <w:t>see</w:t>
      </w:r>
      <w:r w:rsidRPr="00E94B38">
        <w:rPr>
          <w:sz w:val="18"/>
          <w:szCs w:val="18"/>
        </w:rPr>
        <w:t xml:space="preserve"> </w:t>
      </w:r>
      <w:hyperlink r:id="rId2" w:tooltip="DEAR SWD 2012 457 STAFF WORKING PAPER EN.pdf" w:history="1">
        <w:r w:rsidRPr="001402A5">
          <w:rPr>
            <w:rStyle w:val="Hyperlink"/>
            <w:bCs/>
            <w:sz w:val="18"/>
            <w:szCs w:val="18"/>
          </w:rPr>
          <w:t>Commission staff working document</w:t>
        </w:r>
      </w:hyperlink>
      <w:r w:rsidRPr="00E94B38">
        <w:rPr>
          <w:sz w:val="18"/>
          <w:szCs w:val="18"/>
        </w:rPr>
        <w:t xml:space="preserve"> of 2012. It will feed the forthcoming Commission proposal for a renewed DEAR strategy, to be developed in the framework of the Civil Society and Local Authorities Thematic Programme for 2014-2020.</w:t>
      </w:r>
    </w:p>
    <w:p w:rsidR="00E94B38" w:rsidRDefault="00E94B38" w:rsidP="001178D6">
      <w:pPr>
        <w:pStyle w:val="FootnoteText"/>
        <w:ind w:right="-731"/>
      </w:pPr>
    </w:p>
  </w:footnote>
  <w:footnote w:id="3">
    <w:p w:rsidR="00C164D6" w:rsidRPr="0071000C" w:rsidRDefault="00C164D6" w:rsidP="001178D6">
      <w:pPr>
        <w:pStyle w:val="FootnoteText"/>
        <w:ind w:left="142" w:right="-731" w:hanging="142"/>
        <w:jc w:val="both"/>
        <w:rPr>
          <w:sz w:val="18"/>
          <w:szCs w:val="18"/>
        </w:rPr>
      </w:pPr>
      <w:r>
        <w:rPr>
          <w:rStyle w:val="FootnoteReference"/>
        </w:rPr>
        <w:footnoteRef/>
      </w:r>
      <w:r w:rsidR="004F33FD">
        <w:t xml:space="preserve"> </w:t>
      </w:r>
      <w:r w:rsidR="003A1E24">
        <w:rPr>
          <w:sz w:val="18"/>
          <w:szCs w:val="18"/>
        </w:rPr>
        <w:t>F</w:t>
      </w:r>
      <w:r w:rsidR="003A1E24" w:rsidRPr="0071000C">
        <w:rPr>
          <w:sz w:val="18"/>
          <w:szCs w:val="18"/>
        </w:rPr>
        <w:t>or more details on the next call for proposal</w:t>
      </w:r>
      <w:r w:rsidR="003A1E24">
        <w:rPr>
          <w:sz w:val="18"/>
          <w:szCs w:val="18"/>
        </w:rPr>
        <w:t xml:space="preserve"> 2013,</w:t>
      </w:r>
      <w:r w:rsidR="003A1E24" w:rsidRPr="0071000C">
        <w:rPr>
          <w:sz w:val="18"/>
          <w:szCs w:val="18"/>
        </w:rPr>
        <w:t xml:space="preserve"> </w:t>
      </w:r>
      <w:r w:rsidR="003A1E24">
        <w:rPr>
          <w:sz w:val="18"/>
          <w:szCs w:val="18"/>
        </w:rPr>
        <w:t>s</w:t>
      </w:r>
      <w:r w:rsidRPr="0071000C">
        <w:rPr>
          <w:sz w:val="18"/>
          <w:szCs w:val="18"/>
        </w:rPr>
        <w:t>ee power point presentation of the EC</w:t>
      </w:r>
      <w:r w:rsidR="009E3D44" w:rsidRPr="0071000C">
        <w:rPr>
          <w:sz w:val="18"/>
          <w:szCs w:val="18"/>
        </w:rPr>
        <w:t>:</w:t>
      </w:r>
      <w:r w:rsidR="009E3D44">
        <w:t xml:space="preserve"> </w:t>
      </w:r>
      <w:hyperlink r:id="rId3" w:tooltip="WG C-DEAR Call for Proposals AB 1906.pdf" w:history="1">
        <w:r w:rsidR="009E3D44" w:rsidRPr="0071000C">
          <w:rPr>
            <w:rStyle w:val="Hyperlink"/>
            <w:sz w:val="18"/>
            <w:szCs w:val="18"/>
          </w:rPr>
          <w:t xml:space="preserve">WG C - DEAR Call for Proposals </w:t>
        </w:r>
      </w:hyperlink>
      <w:r w:rsidR="0071000C" w:rsidRPr="0071000C">
        <w:rPr>
          <w:rStyle w:val="Hyperlink"/>
          <w:color w:val="auto"/>
          <w:sz w:val="18"/>
          <w:szCs w:val="18"/>
          <w:u w:val="none"/>
        </w:rPr>
        <w:t>See also</w:t>
      </w:r>
      <w:r w:rsidR="0071000C" w:rsidRPr="0071000C">
        <w:rPr>
          <w:sz w:val="18"/>
          <w:szCs w:val="18"/>
        </w:rPr>
        <w:t xml:space="preserve">: </w:t>
      </w:r>
      <w:hyperlink r:id="rId4" w:history="1">
        <w:r w:rsidR="0071000C" w:rsidRPr="0071000C">
          <w:rPr>
            <w:rStyle w:val="Hyperlink"/>
            <w:sz w:val="18"/>
            <w:szCs w:val="18"/>
          </w:rPr>
          <w:t>Thematic Programme NSA-LA in Development - 2011-2013 Strategy paper</w:t>
        </w:r>
      </w:hyperlink>
      <w:r w:rsidR="0071000C" w:rsidRPr="0071000C">
        <w:rPr>
          <w:sz w:val="18"/>
          <w:szCs w:val="18"/>
        </w:rPr>
        <w:t xml:space="preserve"> </w:t>
      </w:r>
      <w:r w:rsidR="0071000C">
        <w:rPr>
          <w:sz w:val="18"/>
          <w:szCs w:val="18"/>
        </w:rPr>
        <w:t>(</w:t>
      </w:r>
      <w:r w:rsidR="003A1E24">
        <w:rPr>
          <w:sz w:val="18"/>
          <w:szCs w:val="18"/>
        </w:rPr>
        <w:t xml:space="preserve">read </w:t>
      </w:r>
      <w:r w:rsidR="0071000C">
        <w:rPr>
          <w:sz w:val="18"/>
          <w:szCs w:val="18"/>
        </w:rPr>
        <w:t>Objective 2)</w:t>
      </w:r>
      <w:r w:rsidR="0071000C" w:rsidRPr="0071000C">
        <w:rPr>
          <w:sz w:val="18"/>
          <w:szCs w:val="18"/>
        </w:rPr>
        <w:t xml:space="preserve">  </w:t>
      </w:r>
      <w:r w:rsidR="0071000C">
        <w:rPr>
          <w:sz w:val="18"/>
          <w:szCs w:val="18"/>
        </w:rPr>
        <w:t xml:space="preserve">and Annual Action Plan 2013 </w:t>
      </w:r>
      <w:hyperlink r:id="rId5" w:tooltip="Action Fiche" w:history="1">
        <w:r w:rsidR="003A1E24" w:rsidRPr="003A1E24">
          <w:rPr>
            <w:rStyle w:val="Hyperlink"/>
            <w:sz w:val="18"/>
            <w:szCs w:val="18"/>
          </w:rPr>
          <w:t>Action Fiche</w:t>
        </w:r>
      </w:hyperlink>
      <w:r w:rsidR="003A1E24">
        <w:rPr>
          <w:sz w:val="18"/>
          <w:szCs w:val="18"/>
        </w:rPr>
        <w:t xml:space="preserve"> </w:t>
      </w:r>
      <w:r w:rsidR="003A1E24" w:rsidRPr="003A1E24">
        <w:rPr>
          <w:sz w:val="18"/>
          <w:szCs w:val="18"/>
        </w:rPr>
        <w:t xml:space="preserve">(Action fiche </w:t>
      </w:r>
      <w:r w:rsidR="003A1E24">
        <w:rPr>
          <w:sz w:val="18"/>
          <w:szCs w:val="18"/>
        </w:rPr>
        <w:t xml:space="preserve">n. </w:t>
      </w:r>
      <w:r w:rsidR="003A1E24" w:rsidRPr="003A1E24">
        <w:rPr>
          <w:sz w:val="18"/>
          <w:szCs w:val="18"/>
        </w:rPr>
        <w:t xml:space="preserve">11 p.69-73)  </w:t>
      </w:r>
    </w:p>
    <w:p w:rsidR="0043173A" w:rsidRDefault="0043173A">
      <w:pPr>
        <w:pStyle w:val="FootnoteText"/>
      </w:pPr>
    </w:p>
    <w:p w:rsidR="00BD4DEE" w:rsidRDefault="00BD4DEE">
      <w:pPr>
        <w:pStyle w:val="FootnoteText"/>
      </w:pPr>
    </w:p>
    <w:p w:rsidR="00BD4DEE" w:rsidRDefault="00BD4DEE">
      <w:pPr>
        <w:pStyle w:val="FootnoteText"/>
      </w:pPr>
    </w:p>
    <w:p w:rsidR="00C164D6" w:rsidRDefault="00C164D6">
      <w:pPr>
        <w:pStyle w:val="FootnoteText"/>
      </w:pPr>
    </w:p>
  </w:footnote>
  <w:footnote w:id="4">
    <w:p w:rsidR="006E54D1" w:rsidRPr="00BD4DEE" w:rsidRDefault="006E54D1" w:rsidP="00BD4DEE">
      <w:pPr>
        <w:ind w:right="-731"/>
        <w:rPr>
          <w:bCs/>
          <w:sz w:val="18"/>
          <w:szCs w:val="18"/>
        </w:rPr>
      </w:pPr>
      <w:r w:rsidRPr="006E54D1">
        <w:rPr>
          <w:rStyle w:val="FootnoteReference"/>
          <w:sz w:val="20"/>
          <w:szCs w:val="20"/>
        </w:rPr>
        <w:footnoteRef/>
      </w:r>
      <w:r w:rsidRPr="006E54D1">
        <w:rPr>
          <w:sz w:val="20"/>
          <w:szCs w:val="20"/>
        </w:rPr>
        <w:t xml:space="preserve"> </w:t>
      </w:r>
      <w:hyperlink r:id="rId6" w:history="1">
        <w:r w:rsidRPr="00BD4DEE">
          <w:rPr>
            <w:rStyle w:val="Hyperlink"/>
            <w:bCs/>
            <w:sz w:val="18"/>
            <w:szCs w:val="18"/>
          </w:rPr>
          <w:t>Statement on fostering Trade Union Development Education and Awareness Raising</w:t>
        </w:r>
      </w:hyperlink>
    </w:p>
  </w:footnote>
  <w:footnote w:id="5">
    <w:p w:rsidR="006E54D1" w:rsidRPr="00923221" w:rsidRDefault="006E54D1" w:rsidP="006E54D1">
      <w:pPr>
        <w:pStyle w:val="FootnoteText"/>
        <w:rPr>
          <w:bCs/>
          <w:color w:val="0000FF" w:themeColor="hyperlink"/>
          <w:sz w:val="18"/>
          <w:szCs w:val="18"/>
          <w:u w:val="single"/>
        </w:rPr>
      </w:pPr>
      <w:r w:rsidRPr="00BD4DEE">
        <w:rPr>
          <w:rStyle w:val="FootnoteReference"/>
          <w:sz w:val="18"/>
          <w:szCs w:val="18"/>
        </w:rPr>
        <w:footnoteRef/>
      </w:r>
      <w:r w:rsidRPr="00BD4DEE">
        <w:rPr>
          <w:sz w:val="18"/>
          <w:szCs w:val="18"/>
        </w:rPr>
        <w:t xml:space="preserve"> </w:t>
      </w:r>
      <w:hyperlink r:id="rId7" w:history="1">
        <w:r w:rsidRPr="00BD4DEE">
          <w:rPr>
            <w:rStyle w:val="Hyperlink"/>
            <w:bCs/>
            <w:sz w:val="18"/>
            <w:szCs w:val="18"/>
          </w:rPr>
          <w:t>Statement on Fostering Development Education within the trade union movement</w:t>
        </w:r>
      </w:hyperlink>
    </w:p>
    <w:p w:rsidR="006E54D1" w:rsidRDefault="006E54D1">
      <w:pPr>
        <w:pStyle w:val="FootnoteText"/>
      </w:pPr>
    </w:p>
  </w:footnote>
  <w:footnote w:id="6">
    <w:p w:rsidR="00923221" w:rsidRDefault="00923221">
      <w:pPr>
        <w:pStyle w:val="FootnoteText"/>
        <w:rPr>
          <w:rStyle w:val="Hyperlink"/>
          <w:bCs/>
          <w:color w:val="auto"/>
          <w:sz w:val="18"/>
          <w:szCs w:val="18"/>
          <w:u w:val="none"/>
        </w:rPr>
      </w:pPr>
      <w:r>
        <w:rPr>
          <w:rStyle w:val="FootnoteReference"/>
        </w:rPr>
        <w:footnoteRef/>
      </w:r>
      <w:r>
        <w:t xml:space="preserve"> </w:t>
      </w:r>
      <w:r w:rsidRPr="00E94B38">
        <w:rPr>
          <w:sz w:val="18"/>
          <w:szCs w:val="18"/>
        </w:rPr>
        <w:t xml:space="preserve">see </w:t>
      </w:r>
      <w:hyperlink r:id="rId8" w:tooltip="DEAR SWD 2012 457 STAFF WORKING PAPER EN.pdf" w:history="1">
        <w:r w:rsidRPr="001402A5">
          <w:rPr>
            <w:rStyle w:val="Hyperlink"/>
            <w:bCs/>
            <w:sz w:val="18"/>
            <w:szCs w:val="18"/>
          </w:rPr>
          <w:t>Commission staff working document</w:t>
        </w:r>
      </w:hyperlink>
      <w:r>
        <w:rPr>
          <w:rStyle w:val="Hyperlink"/>
          <w:bCs/>
          <w:sz w:val="18"/>
          <w:szCs w:val="18"/>
        </w:rPr>
        <w:t xml:space="preserve"> </w:t>
      </w:r>
      <w:r>
        <w:rPr>
          <w:rStyle w:val="Hyperlink"/>
          <w:bCs/>
          <w:color w:val="auto"/>
          <w:sz w:val="18"/>
          <w:szCs w:val="18"/>
          <w:u w:val="none"/>
        </w:rPr>
        <w:t>p.17</w:t>
      </w:r>
    </w:p>
    <w:p w:rsidR="00923221" w:rsidRDefault="00923221">
      <w:pPr>
        <w:pStyle w:val="FootnoteText"/>
      </w:pPr>
      <w:r>
        <w:t xml:space="preserve"> </w:t>
      </w:r>
    </w:p>
  </w:footnote>
  <w:footnote w:id="7">
    <w:p w:rsidR="00E47874" w:rsidRPr="00B94DC1" w:rsidRDefault="00E47874">
      <w:pPr>
        <w:pStyle w:val="FootnoteText"/>
        <w:rPr>
          <w:sz w:val="18"/>
          <w:szCs w:val="18"/>
          <w:highlight w:val="yellow"/>
        </w:rPr>
      </w:pPr>
      <w:r>
        <w:rPr>
          <w:rStyle w:val="FootnoteReference"/>
        </w:rPr>
        <w:footnoteRef/>
      </w:r>
      <w:r>
        <w:t xml:space="preserve"> </w:t>
      </w:r>
      <w:r w:rsidR="00B94DC1">
        <w:t xml:space="preserve"> </w:t>
      </w:r>
      <w:hyperlink r:id="rId9" w:tgtFrame="_blank" w:tooltip="Proposal for a decision of the EP &amp; of the Council on the European Year of Development (2015)" w:history="1">
        <w:r w:rsidR="00B94DC1" w:rsidRPr="00B94DC1">
          <w:rPr>
            <w:rStyle w:val="Hyperlink"/>
            <w:sz w:val="18"/>
            <w:szCs w:val="18"/>
            <w:highlight w:val="yellow"/>
          </w:rPr>
          <w:t>Proposal for a decision of the EP &amp; of the Council on the European Year of Development (2015)</w:t>
        </w:r>
      </w:hyperlink>
      <w:r w:rsidR="00B94DC1">
        <w:rPr>
          <w:sz w:val="18"/>
          <w:szCs w:val="18"/>
        </w:rPr>
        <w:t xml:space="preserve"> and </w:t>
      </w:r>
      <w:bookmarkStart w:id="0" w:name="_GoBack"/>
      <w:bookmarkEnd w:id="0"/>
      <w:r w:rsidR="00B94DC1">
        <w:t xml:space="preserve">       </w:t>
      </w:r>
      <w:hyperlink r:id="rId10" w:tgtFrame="_blank" w:tooltip="Commission staff working document - European Year of Development 2015" w:history="1">
        <w:r w:rsidR="00B94DC1" w:rsidRPr="00B94DC1">
          <w:rPr>
            <w:rStyle w:val="Hyperlink"/>
            <w:sz w:val="18"/>
            <w:szCs w:val="18"/>
            <w:highlight w:val="yellow"/>
          </w:rPr>
          <w:t>Commission staff working document - European Year of Development 2015</w:t>
        </w:r>
      </w:hyperlink>
    </w:p>
    <w:p w:rsidR="00E47874" w:rsidRPr="009A26C0" w:rsidRDefault="00E47874">
      <w:pPr>
        <w:pStyle w:val="FootnoteText"/>
        <w:rPr>
          <w:highlight w:val="yellow"/>
        </w:rPr>
      </w:pPr>
    </w:p>
  </w:footnote>
  <w:footnote w:id="8">
    <w:p w:rsidR="00E47874" w:rsidRDefault="00E47874">
      <w:pPr>
        <w:pStyle w:val="FootnoteText"/>
      </w:pPr>
      <w:r w:rsidRPr="009A26C0">
        <w:rPr>
          <w:rStyle w:val="FootnoteReference"/>
          <w:highlight w:val="yellow"/>
        </w:rPr>
        <w:footnoteRef/>
      </w:r>
      <w:r w:rsidRPr="009A26C0">
        <w:rPr>
          <w:highlight w:val="yellow"/>
        </w:rPr>
        <w:t xml:space="preserve"> </w:t>
      </w:r>
      <w:hyperlink r:id="rId11" w:history="1">
        <w:r w:rsidRPr="009A26C0">
          <w:rPr>
            <w:rStyle w:val="Hyperlink"/>
            <w:sz w:val="18"/>
            <w:szCs w:val="18"/>
            <w:highlight w:val="yellow"/>
          </w:rPr>
          <w:t>http://europa.eu/rapid/press-release_IP-13-166_en.htm</w:t>
        </w:r>
      </w:hyperlink>
      <w:r>
        <w:rPr>
          <w:sz w:val="18"/>
          <w:szCs w:val="18"/>
        </w:rPr>
        <w:t xml:space="preserve"> </w:t>
      </w:r>
    </w:p>
    <w:p w:rsidR="00E47874" w:rsidRDefault="00E47874">
      <w:pPr>
        <w:pStyle w:val="FootnoteText"/>
      </w:pPr>
    </w:p>
    <w:p w:rsidR="00E47874" w:rsidRDefault="00E47874">
      <w:pPr>
        <w:pStyle w:val="FootnoteText"/>
      </w:pPr>
    </w:p>
    <w:p w:rsidR="00E47874" w:rsidRDefault="00E47874">
      <w:pPr>
        <w:pStyle w:val="FootnoteText"/>
      </w:pPr>
    </w:p>
    <w:p w:rsidR="00E47874" w:rsidRDefault="00E4787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D30"/>
    <w:multiLevelType w:val="hybridMultilevel"/>
    <w:tmpl w:val="828CA42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015575"/>
    <w:multiLevelType w:val="hybridMultilevel"/>
    <w:tmpl w:val="6292D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C392B"/>
    <w:multiLevelType w:val="hybridMultilevel"/>
    <w:tmpl w:val="B1881B7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4A570E"/>
    <w:multiLevelType w:val="hybridMultilevel"/>
    <w:tmpl w:val="EB02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7C25A9"/>
    <w:multiLevelType w:val="hybridMultilevel"/>
    <w:tmpl w:val="C8E6A1E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D27803"/>
    <w:multiLevelType w:val="hybridMultilevel"/>
    <w:tmpl w:val="AA5E5FB6"/>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6">
    <w:nsid w:val="2C5A3946"/>
    <w:multiLevelType w:val="hybridMultilevel"/>
    <w:tmpl w:val="F6F0ED9C"/>
    <w:lvl w:ilvl="0" w:tplc="0C0A000F">
      <w:start w:val="1"/>
      <w:numFmt w:val="decimal"/>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3162330C"/>
    <w:multiLevelType w:val="hybridMultilevel"/>
    <w:tmpl w:val="CD62B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2E69AF"/>
    <w:multiLevelType w:val="hybridMultilevel"/>
    <w:tmpl w:val="46ACA320"/>
    <w:lvl w:ilvl="0" w:tplc="0809000F">
      <w:start w:val="1"/>
      <w:numFmt w:val="decimal"/>
      <w:lvlText w:val="%1."/>
      <w:lvlJc w:val="left"/>
      <w:pPr>
        <w:ind w:left="1428" w:hanging="360"/>
      </w:pPr>
    </w:lvl>
    <w:lvl w:ilvl="1" w:tplc="08090019">
      <w:start w:val="1"/>
      <w:numFmt w:val="lowerLetter"/>
      <w:lvlText w:val="%2."/>
      <w:lvlJc w:val="left"/>
      <w:pPr>
        <w:ind w:left="2148" w:hanging="360"/>
      </w:pPr>
    </w:lvl>
    <w:lvl w:ilvl="2" w:tplc="0809001B">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9">
    <w:nsid w:val="5B702466"/>
    <w:multiLevelType w:val="hybridMultilevel"/>
    <w:tmpl w:val="15B89EEC"/>
    <w:lvl w:ilvl="0" w:tplc="08090001">
      <w:start w:val="1"/>
      <w:numFmt w:val="bullet"/>
      <w:lvlText w:val=""/>
      <w:lvlJc w:val="left"/>
      <w:pPr>
        <w:ind w:left="1776" w:hanging="360"/>
      </w:pPr>
      <w:rPr>
        <w:rFonts w:ascii="Symbol" w:hAnsi="Symbol" w:hint="default"/>
      </w:rPr>
    </w:lvl>
    <w:lvl w:ilvl="1" w:tplc="08090003">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0">
    <w:nsid w:val="611D5AE7"/>
    <w:multiLevelType w:val="hybridMultilevel"/>
    <w:tmpl w:val="6EFAF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601EC1"/>
    <w:multiLevelType w:val="hybridMultilevel"/>
    <w:tmpl w:val="5D02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EB4762"/>
    <w:multiLevelType w:val="hybridMultilevel"/>
    <w:tmpl w:val="728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A14A21"/>
    <w:multiLevelType w:val="hybridMultilevel"/>
    <w:tmpl w:val="2640E230"/>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num w:numId="1">
    <w:abstractNumId w:val="6"/>
  </w:num>
  <w:num w:numId="2">
    <w:abstractNumId w:val="8"/>
  </w:num>
  <w:num w:numId="3">
    <w:abstractNumId w:val="5"/>
  </w:num>
  <w:num w:numId="4">
    <w:abstractNumId w:val="9"/>
  </w:num>
  <w:num w:numId="5">
    <w:abstractNumId w:val="13"/>
  </w:num>
  <w:num w:numId="6">
    <w:abstractNumId w:val="7"/>
  </w:num>
  <w:num w:numId="7">
    <w:abstractNumId w:val="10"/>
  </w:num>
  <w:num w:numId="8">
    <w:abstractNumId w:val="11"/>
  </w:num>
  <w:num w:numId="9">
    <w:abstractNumId w:val="3"/>
  </w:num>
  <w:num w:numId="10">
    <w:abstractNumId w:val="12"/>
  </w:num>
  <w:num w:numId="11">
    <w:abstractNumId w:val="4"/>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2"/>
  </w:compat>
  <w:rsids>
    <w:rsidRoot w:val="0069704F"/>
    <w:rsid w:val="000349CE"/>
    <w:rsid w:val="00073EB6"/>
    <w:rsid w:val="00092BF1"/>
    <w:rsid w:val="000E5730"/>
    <w:rsid w:val="000F3EFF"/>
    <w:rsid w:val="00110D6B"/>
    <w:rsid w:val="00111268"/>
    <w:rsid w:val="001178D6"/>
    <w:rsid w:val="001402A5"/>
    <w:rsid w:val="001652BF"/>
    <w:rsid w:val="00167CF8"/>
    <w:rsid w:val="001C07E0"/>
    <w:rsid w:val="001D0D41"/>
    <w:rsid w:val="001D413E"/>
    <w:rsid w:val="001E5753"/>
    <w:rsid w:val="00202C7F"/>
    <w:rsid w:val="0020392E"/>
    <w:rsid w:val="00263FC6"/>
    <w:rsid w:val="00275F5C"/>
    <w:rsid w:val="0029421F"/>
    <w:rsid w:val="002A3EBB"/>
    <w:rsid w:val="002D7818"/>
    <w:rsid w:val="00312322"/>
    <w:rsid w:val="0031350D"/>
    <w:rsid w:val="0031667A"/>
    <w:rsid w:val="00333509"/>
    <w:rsid w:val="00381C4F"/>
    <w:rsid w:val="003A1E24"/>
    <w:rsid w:val="003A4D1A"/>
    <w:rsid w:val="003C3F91"/>
    <w:rsid w:val="003C4365"/>
    <w:rsid w:val="003E1A1D"/>
    <w:rsid w:val="003E7CB7"/>
    <w:rsid w:val="0040377D"/>
    <w:rsid w:val="0043173A"/>
    <w:rsid w:val="00466CC3"/>
    <w:rsid w:val="00467329"/>
    <w:rsid w:val="00477B06"/>
    <w:rsid w:val="00491AE4"/>
    <w:rsid w:val="004C02F7"/>
    <w:rsid w:val="004C1C05"/>
    <w:rsid w:val="004C5C4F"/>
    <w:rsid w:val="004C72D0"/>
    <w:rsid w:val="004F25B8"/>
    <w:rsid w:val="004F33FD"/>
    <w:rsid w:val="00512B3E"/>
    <w:rsid w:val="005202B9"/>
    <w:rsid w:val="0052269D"/>
    <w:rsid w:val="00536418"/>
    <w:rsid w:val="005502D8"/>
    <w:rsid w:val="00557966"/>
    <w:rsid w:val="00577428"/>
    <w:rsid w:val="00577E3A"/>
    <w:rsid w:val="00584B35"/>
    <w:rsid w:val="005A305C"/>
    <w:rsid w:val="005C061F"/>
    <w:rsid w:val="005C44A3"/>
    <w:rsid w:val="005E2256"/>
    <w:rsid w:val="006428AF"/>
    <w:rsid w:val="0065783B"/>
    <w:rsid w:val="00681EDC"/>
    <w:rsid w:val="0069704F"/>
    <w:rsid w:val="006A395B"/>
    <w:rsid w:val="006A3BEA"/>
    <w:rsid w:val="006D5428"/>
    <w:rsid w:val="006D5F60"/>
    <w:rsid w:val="006D778E"/>
    <w:rsid w:val="006E54D1"/>
    <w:rsid w:val="006F745D"/>
    <w:rsid w:val="0071000C"/>
    <w:rsid w:val="00752BD4"/>
    <w:rsid w:val="00762B75"/>
    <w:rsid w:val="00792841"/>
    <w:rsid w:val="007A65F6"/>
    <w:rsid w:val="007B71B7"/>
    <w:rsid w:val="007F5A00"/>
    <w:rsid w:val="0080425A"/>
    <w:rsid w:val="00804CA6"/>
    <w:rsid w:val="00807A2C"/>
    <w:rsid w:val="00826E25"/>
    <w:rsid w:val="00832E0A"/>
    <w:rsid w:val="008348CE"/>
    <w:rsid w:val="008473F4"/>
    <w:rsid w:val="00847421"/>
    <w:rsid w:val="008614F5"/>
    <w:rsid w:val="0086614A"/>
    <w:rsid w:val="008B08F6"/>
    <w:rsid w:val="008B0BFD"/>
    <w:rsid w:val="008C7CAE"/>
    <w:rsid w:val="008D37BC"/>
    <w:rsid w:val="008E0D0C"/>
    <w:rsid w:val="00923221"/>
    <w:rsid w:val="0092654F"/>
    <w:rsid w:val="009359ED"/>
    <w:rsid w:val="009A26C0"/>
    <w:rsid w:val="009B708D"/>
    <w:rsid w:val="009C352F"/>
    <w:rsid w:val="009D4B88"/>
    <w:rsid w:val="009E3D44"/>
    <w:rsid w:val="00A03A11"/>
    <w:rsid w:val="00A21A59"/>
    <w:rsid w:val="00A21BF1"/>
    <w:rsid w:val="00A22A51"/>
    <w:rsid w:val="00A57365"/>
    <w:rsid w:val="00A721A7"/>
    <w:rsid w:val="00AB5FC4"/>
    <w:rsid w:val="00AC79E3"/>
    <w:rsid w:val="00AF04F1"/>
    <w:rsid w:val="00B05F20"/>
    <w:rsid w:val="00B13FA6"/>
    <w:rsid w:val="00B338F3"/>
    <w:rsid w:val="00B37C6D"/>
    <w:rsid w:val="00B54951"/>
    <w:rsid w:val="00B7259F"/>
    <w:rsid w:val="00B923E7"/>
    <w:rsid w:val="00B94DC1"/>
    <w:rsid w:val="00BB629F"/>
    <w:rsid w:val="00BC34A0"/>
    <w:rsid w:val="00BD4DEE"/>
    <w:rsid w:val="00BE0452"/>
    <w:rsid w:val="00BE7C0C"/>
    <w:rsid w:val="00BF5D48"/>
    <w:rsid w:val="00C164D6"/>
    <w:rsid w:val="00C52302"/>
    <w:rsid w:val="00C842F9"/>
    <w:rsid w:val="00CC0AD2"/>
    <w:rsid w:val="00CC3D0C"/>
    <w:rsid w:val="00CD6BBF"/>
    <w:rsid w:val="00CE2738"/>
    <w:rsid w:val="00D0108B"/>
    <w:rsid w:val="00D200FD"/>
    <w:rsid w:val="00D20BEE"/>
    <w:rsid w:val="00D333E2"/>
    <w:rsid w:val="00D81327"/>
    <w:rsid w:val="00D93005"/>
    <w:rsid w:val="00DE6413"/>
    <w:rsid w:val="00E47874"/>
    <w:rsid w:val="00E56B42"/>
    <w:rsid w:val="00E66ABD"/>
    <w:rsid w:val="00E7336D"/>
    <w:rsid w:val="00E94B38"/>
    <w:rsid w:val="00EA566B"/>
    <w:rsid w:val="00EB361A"/>
    <w:rsid w:val="00ED7033"/>
    <w:rsid w:val="00ED7BB4"/>
    <w:rsid w:val="00F05BE2"/>
    <w:rsid w:val="00F53829"/>
    <w:rsid w:val="00F6515C"/>
    <w:rsid w:val="00F65A79"/>
    <w:rsid w:val="00F73A75"/>
    <w:rsid w:val="00F81B58"/>
    <w:rsid w:val="00FA17B2"/>
    <w:rsid w:val="00FA4312"/>
    <w:rsid w:val="00FA5EEC"/>
    <w:rsid w:val="00FC06E5"/>
    <w:rsid w:val="00FE7C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14A"/>
  </w:style>
  <w:style w:type="paragraph" w:styleId="Heading1">
    <w:name w:val="heading 1"/>
    <w:basedOn w:val="Normal"/>
    <w:next w:val="Normal"/>
    <w:link w:val="Heading1Char"/>
    <w:uiPriority w:val="9"/>
    <w:qFormat/>
    <w:rsid w:val="006970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04F"/>
    <w:rPr>
      <w:rFonts w:ascii="Tahoma" w:hAnsi="Tahoma" w:cs="Tahoma"/>
      <w:sz w:val="16"/>
      <w:szCs w:val="16"/>
    </w:rPr>
  </w:style>
  <w:style w:type="character" w:customStyle="1" w:styleId="Heading1Char">
    <w:name w:val="Heading 1 Char"/>
    <w:basedOn w:val="DefaultParagraphFont"/>
    <w:link w:val="Heading1"/>
    <w:uiPriority w:val="9"/>
    <w:rsid w:val="0069704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970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704F"/>
    <w:rPr>
      <w:rFonts w:asciiTheme="majorHAnsi" w:eastAsiaTheme="majorEastAsia" w:hAnsiTheme="majorHAnsi" w:cstheme="majorBidi"/>
      <w:color w:val="17365D" w:themeColor="text2" w:themeShade="BF"/>
      <w:spacing w:val="5"/>
      <w:kern w:val="28"/>
      <w:sz w:val="52"/>
      <w:szCs w:val="52"/>
    </w:rPr>
  </w:style>
  <w:style w:type="character" w:styleId="SubtleReference">
    <w:name w:val="Subtle Reference"/>
    <w:basedOn w:val="DefaultParagraphFont"/>
    <w:uiPriority w:val="31"/>
    <w:qFormat/>
    <w:rsid w:val="0069704F"/>
    <w:rPr>
      <w:smallCaps/>
      <w:color w:val="C0504D" w:themeColor="accent2"/>
      <w:u w:val="single"/>
    </w:rPr>
  </w:style>
  <w:style w:type="character" w:styleId="IntenseReference">
    <w:name w:val="Intense Reference"/>
    <w:basedOn w:val="DefaultParagraphFont"/>
    <w:uiPriority w:val="32"/>
    <w:qFormat/>
    <w:rsid w:val="0069704F"/>
    <w:rPr>
      <w:b/>
      <w:bCs/>
      <w:smallCaps/>
      <w:color w:val="C0504D" w:themeColor="accent2"/>
      <w:spacing w:val="5"/>
      <w:u w:val="single"/>
    </w:rPr>
  </w:style>
  <w:style w:type="character" w:styleId="Strong">
    <w:name w:val="Strong"/>
    <w:basedOn w:val="DefaultParagraphFont"/>
    <w:uiPriority w:val="22"/>
    <w:qFormat/>
    <w:rsid w:val="0069704F"/>
    <w:rPr>
      <w:b/>
      <w:bCs/>
    </w:rPr>
  </w:style>
  <w:style w:type="paragraph" w:styleId="ListParagraph">
    <w:name w:val="List Paragraph"/>
    <w:basedOn w:val="Normal"/>
    <w:uiPriority w:val="34"/>
    <w:qFormat/>
    <w:rsid w:val="0069704F"/>
    <w:pPr>
      <w:ind w:left="720"/>
      <w:contextualSpacing/>
    </w:pPr>
  </w:style>
  <w:style w:type="paragraph" w:styleId="Header">
    <w:name w:val="header"/>
    <w:basedOn w:val="Normal"/>
    <w:link w:val="HeaderChar"/>
    <w:uiPriority w:val="99"/>
    <w:unhideWhenUsed/>
    <w:rsid w:val="00D010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08B"/>
  </w:style>
  <w:style w:type="paragraph" w:styleId="Footer">
    <w:name w:val="footer"/>
    <w:basedOn w:val="Normal"/>
    <w:link w:val="FooterChar"/>
    <w:uiPriority w:val="99"/>
    <w:unhideWhenUsed/>
    <w:rsid w:val="00D010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08B"/>
  </w:style>
  <w:style w:type="character" w:styleId="Hyperlink">
    <w:name w:val="Hyperlink"/>
    <w:basedOn w:val="DefaultParagraphFont"/>
    <w:uiPriority w:val="99"/>
    <w:unhideWhenUsed/>
    <w:rsid w:val="008B08F6"/>
    <w:rPr>
      <w:color w:val="0000FF" w:themeColor="hyperlink"/>
      <w:u w:val="single"/>
    </w:rPr>
  </w:style>
  <w:style w:type="character" w:styleId="FollowedHyperlink">
    <w:name w:val="FollowedHyperlink"/>
    <w:basedOn w:val="DefaultParagraphFont"/>
    <w:uiPriority w:val="99"/>
    <w:semiHidden/>
    <w:unhideWhenUsed/>
    <w:rsid w:val="00D20BEE"/>
    <w:rPr>
      <w:color w:val="800080" w:themeColor="followedHyperlink"/>
      <w:u w:val="single"/>
    </w:rPr>
  </w:style>
  <w:style w:type="paragraph" w:styleId="FootnoteText">
    <w:name w:val="footnote text"/>
    <w:basedOn w:val="Normal"/>
    <w:link w:val="FootnoteTextChar"/>
    <w:uiPriority w:val="99"/>
    <w:semiHidden/>
    <w:unhideWhenUsed/>
    <w:rsid w:val="00E66A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6ABD"/>
    <w:rPr>
      <w:sz w:val="20"/>
      <w:szCs w:val="20"/>
    </w:rPr>
  </w:style>
  <w:style w:type="character" w:styleId="FootnoteReference">
    <w:name w:val="footnote reference"/>
    <w:basedOn w:val="DefaultParagraphFont"/>
    <w:uiPriority w:val="99"/>
    <w:semiHidden/>
    <w:unhideWhenUsed/>
    <w:rsid w:val="00E66ABD"/>
    <w:rPr>
      <w:vertAlign w:val="superscript"/>
    </w:rPr>
  </w:style>
  <w:style w:type="table" w:styleId="TableGrid">
    <w:name w:val="Table Grid"/>
    <w:basedOn w:val="TableNormal"/>
    <w:uiPriority w:val="59"/>
    <w:rsid w:val="006F745D"/>
    <w:pPr>
      <w:spacing w:after="0" w:line="240" w:lineRule="auto"/>
    </w:pPr>
    <w:rPr>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03A11"/>
    <w:rPr>
      <w:sz w:val="16"/>
      <w:szCs w:val="16"/>
    </w:rPr>
  </w:style>
  <w:style w:type="paragraph" w:styleId="CommentText">
    <w:name w:val="annotation text"/>
    <w:basedOn w:val="Normal"/>
    <w:link w:val="CommentTextChar"/>
    <w:uiPriority w:val="99"/>
    <w:semiHidden/>
    <w:unhideWhenUsed/>
    <w:rsid w:val="00A03A11"/>
    <w:pPr>
      <w:spacing w:line="240" w:lineRule="auto"/>
    </w:pPr>
    <w:rPr>
      <w:sz w:val="20"/>
      <w:szCs w:val="20"/>
    </w:rPr>
  </w:style>
  <w:style w:type="character" w:customStyle="1" w:styleId="CommentTextChar">
    <w:name w:val="Comment Text Char"/>
    <w:basedOn w:val="DefaultParagraphFont"/>
    <w:link w:val="CommentText"/>
    <w:uiPriority w:val="99"/>
    <w:semiHidden/>
    <w:rsid w:val="00A03A11"/>
    <w:rPr>
      <w:sz w:val="20"/>
      <w:szCs w:val="20"/>
    </w:rPr>
  </w:style>
  <w:style w:type="paragraph" w:styleId="CommentSubject">
    <w:name w:val="annotation subject"/>
    <w:basedOn w:val="CommentText"/>
    <w:next w:val="CommentText"/>
    <w:link w:val="CommentSubjectChar"/>
    <w:uiPriority w:val="99"/>
    <w:semiHidden/>
    <w:unhideWhenUsed/>
    <w:rsid w:val="00A03A11"/>
    <w:rPr>
      <w:b/>
      <w:bCs/>
    </w:rPr>
  </w:style>
  <w:style w:type="character" w:customStyle="1" w:styleId="CommentSubjectChar">
    <w:name w:val="Comment Subject Char"/>
    <w:basedOn w:val="CommentTextChar"/>
    <w:link w:val="CommentSubject"/>
    <w:uiPriority w:val="99"/>
    <w:semiHidden/>
    <w:rsid w:val="00A03A1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70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04F"/>
    <w:rPr>
      <w:rFonts w:ascii="Tahoma" w:hAnsi="Tahoma" w:cs="Tahoma"/>
      <w:sz w:val="16"/>
      <w:szCs w:val="16"/>
    </w:rPr>
  </w:style>
  <w:style w:type="character" w:customStyle="1" w:styleId="Heading1Char">
    <w:name w:val="Heading 1 Char"/>
    <w:basedOn w:val="DefaultParagraphFont"/>
    <w:link w:val="Heading1"/>
    <w:uiPriority w:val="9"/>
    <w:rsid w:val="0069704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970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704F"/>
    <w:rPr>
      <w:rFonts w:asciiTheme="majorHAnsi" w:eastAsiaTheme="majorEastAsia" w:hAnsiTheme="majorHAnsi" w:cstheme="majorBidi"/>
      <w:color w:val="17365D" w:themeColor="text2" w:themeShade="BF"/>
      <w:spacing w:val="5"/>
      <w:kern w:val="28"/>
      <w:sz w:val="52"/>
      <w:szCs w:val="52"/>
    </w:rPr>
  </w:style>
  <w:style w:type="character" w:styleId="SubtleReference">
    <w:name w:val="Subtle Reference"/>
    <w:basedOn w:val="DefaultParagraphFont"/>
    <w:uiPriority w:val="31"/>
    <w:qFormat/>
    <w:rsid w:val="0069704F"/>
    <w:rPr>
      <w:smallCaps/>
      <w:color w:val="C0504D" w:themeColor="accent2"/>
      <w:u w:val="single"/>
    </w:rPr>
  </w:style>
  <w:style w:type="character" w:styleId="IntenseReference">
    <w:name w:val="Intense Reference"/>
    <w:basedOn w:val="DefaultParagraphFont"/>
    <w:uiPriority w:val="32"/>
    <w:qFormat/>
    <w:rsid w:val="0069704F"/>
    <w:rPr>
      <w:b/>
      <w:bCs/>
      <w:smallCaps/>
      <w:color w:val="C0504D" w:themeColor="accent2"/>
      <w:spacing w:val="5"/>
      <w:u w:val="single"/>
    </w:rPr>
  </w:style>
  <w:style w:type="character" w:styleId="Strong">
    <w:name w:val="Strong"/>
    <w:basedOn w:val="DefaultParagraphFont"/>
    <w:uiPriority w:val="22"/>
    <w:qFormat/>
    <w:rsid w:val="0069704F"/>
    <w:rPr>
      <w:b/>
      <w:bCs/>
    </w:rPr>
  </w:style>
  <w:style w:type="paragraph" w:styleId="ListParagraph">
    <w:name w:val="List Paragraph"/>
    <w:basedOn w:val="Normal"/>
    <w:uiPriority w:val="34"/>
    <w:qFormat/>
    <w:rsid w:val="0069704F"/>
    <w:pPr>
      <w:ind w:left="720"/>
      <w:contextualSpacing/>
    </w:pPr>
  </w:style>
  <w:style w:type="paragraph" w:styleId="Header">
    <w:name w:val="header"/>
    <w:basedOn w:val="Normal"/>
    <w:link w:val="HeaderChar"/>
    <w:uiPriority w:val="99"/>
    <w:unhideWhenUsed/>
    <w:rsid w:val="00D010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08B"/>
  </w:style>
  <w:style w:type="paragraph" w:styleId="Footer">
    <w:name w:val="footer"/>
    <w:basedOn w:val="Normal"/>
    <w:link w:val="FooterChar"/>
    <w:uiPriority w:val="99"/>
    <w:unhideWhenUsed/>
    <w:rsid w:val="00D010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08B"/>
  </w:style>
  <w:style w:type="character" w:styleId="Hyperlink">
    <w:name w:val="Hyperlink"/>
    <w:basedOn w:val="DefaultParagraphFont"/>
    <w:uiPriority w:val="99"/>
    <w:unhideWhenUsed/>
    <w:rsid w:val="008B08F6"/>
    <w:rPr>
      <w:color w:val="0000FF" w:themeColor="hyperlink"/>
      <w:u w:val="single"/>
    </w:rPr>
  </w:style>
  <w:style w:type="character" w:styleId="FollowedHyperlink">
    <w:name w:val="FollowedHyperlink"/>
    <w:basedOn w:val="DefaultParagraphFont"/>
    <w:uiPriority w:val="99"/>
    <w:semiHidden/>
    <w:unhideWhenUsed/>
    <w:rsid w:val="00D20BEE"/>
    <w:rPr>
      <w:color w:val="800080" w:themeColor="followedHyperlink"/>
      <w:u w:val="single"/>
    </w:rPr>
  </w:style>
  <w:style w:type="paragraph" w:styleId="FootnoteText">
    <w:name w:val="footnote text"/>
    <w:basedOn w:val="Normal"/>
    <w:link w:val="FootnoteTextChar"/>
    <w:uiPriority w:val="99"/>
    <w:semiHidden/>
    <w:unhideWhenUsed/>
    <w:rsid w:val="00E66A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6ABD"/>
    <w:rPr>
      <w:sz w:val="20"/>
      <w:szCs w:val="20"/>
    </w:rPr>
  </w:style>
  <w:style w:type="character" w:styleId="FootnoteReference">
    <w:name w:val="footnote reference"/>
    <w:basedOn w:val="DefaultParagraphFont"/>
    <w:uiPriority w:val="99"/>
    <w:semiHidden/>
    <w:unhideWhenUsed/>
    <w:rsid w:val="00E66ABD"/>
    <w:rPr>
      <w:vertAlign w:val="superscript"/>
    </w:rPr>
  </w:style>
  <w:style w:type="table" w:styleId="TableGrid">
    <w:name w:val="Table Grid"/>
    <w:basedOn w:val="TableNormal"/>
    <w:uiPriority w:val="59"/>
    <w:rsid w:val="006F745D"/>
    <w:pPr>
      <w:spacing w:after="0" w:line="240" w:lineRule="auto"/>
    </w:pPr>
    <w:rPr>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69742">
      <w:bodyDiv w:val="1"/>
      <w:marLeft w:val="0"/>
      <w:marRight w:val="0"/>
      <w:marTop w:val="0"/>
      <w:marBottom w:val="0"/>
      <w:divBdr>
        <w:top w:val="none" w:sz="0" w:space="0" w:color="auto"/>
        <w:left w:val="none" w:sz="0" w:space="0" w:color="auto"/>
        <w:bottom w:val="none" w:sz="0" w:space="0" w:color="auto"/>
        <w:right w:val="none" w:sz="0" w:space="0" w:color="auto"/>
      </w:divBdr>
    </w:div>
    <w:div w:id="210846551">
      <w:bodyDiv w:val="1"/>
      <w:marLeft w:val="0"/>
      <w:marRight w:val="0"/>
      <w:marTop w:val="0"/>
      <w:marBottom w:val="0"/>
      <w:divBdr>
        <w:top w:val="none" w:sz="0" w:space="0" w:color="auto"/>
        <w:left w:val="none" w:sz="0" w:space="0" w:color="auto"/>
        <w:bottom w:val="none" w:sz="0" w:space="0" w:color="auto"/>
        <w:right w:val="none" w:sz="0" w:space="0" w:color="auto"/>
      </w:divBdr>
    </w:div>
    <w:div w:id="486168046">
      <w:bodyDiv w:val="1"/>
      <w:marLeft w:val="0"/>
      <w:marRight w:val="0"/>
      <w:marTop w:val="0"/>
      <w:marBottom w:val="0"/>
      <w:divBdr>
        <w:top w:val="none" w:sz="0" w:space="0" w:color="auto"/>
        <w:left w:val="none" w:sz="0" w:space="0" w:color="auto"/>
        <w:bottom w:val="none" w:sz="0" w:space="0" w:color="auto"/>
        <w:right w:val="none" w:sz="0" w:space="0" w:color="auto"/>
      </w:divBdr>
    </w:div>
    <w:div w:id="590309853">
      <w:bodyDiv w:val="1"/>
      <w:marLeft w:val="0"/>
      <w:marRight w:val="0"/>
      <w:marTop w:val="0"/>
      <w:marBottom w:val="0"/>
      <w:divBdr>
        <w:top w:val="none" w:sz="0" w:space="0" w:color="auto"/>
        <w:left w:val="none" w:sz="0" w:space="0" w:color="auto"/>
        <w:bottom w:val="none" w:sz="0" w:space="0" w:color="auto"/>
        <w:right w:val="none" w:sz="0" w:space="0" w:color="auto"/>
      </w:divBdr>
    </w:div>
    <w:div w:id="1317997232">
      <w:bodyDiv w:val="1"/>
      <w:marLeft w:val="0"/>
      <w:marRight w:val="0"/>
      <w:marTop w:val="0"/>
      <w:marBottom w:val="0"/>
      <w:divBdr>
        <w:top w:val="none" w:sz="0" w:space="0" w:color="auto"/>
        <w:left w:val="none" w:sz="0" w:space="0" w:color="auto"/>
        <w:bottom w:val="none" w:sz="0" w:space="0" w:color="auto"/>
        <w:right w:val="none" w:sz="0" w:space="0" w:color="auto"/>
      </w:divBdr>
    </w:div>
    <w:div w:id="1788769687">
      <w:bodyDiv w:val="1"/>
      <w:marLeft w:val="0"/>
      <w:marRight w:val="0"/>
      <w:marTop w:val="0"/>
      <w:marBottom w:val="0"/>
      <w:divBdr>
        <w:top w:val="none" w:sz="0" w:space="0" w:color="auto"/>
        <w:left w:val="none" w:sz="0" w:space="0" w:color="auto"/>
        <w:bottom w:val="none" w:sz="0" w:space="0" w:color="auto"/>
        <w:right w:val="none" w:sz="0" w:space="0" w:color="auto"/>
      </w:divBdr>
    </w:div>
    <w:div w:id="189742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entrostudi.cisl.it/"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webgate.ec.europa.eu/fpfis/mwikis/aidco/images/b/b4/DEAR_SWD_2012_457_STAFF_WORKING_PAPER_EN.pdf" TargetMode="External"/><Relationship Id="rId3" Type="http://schemas.openxmlformats.org/officeDocument/2006/relationships/hyperlink" Target="https://webgate.ec.europa.eu/fpfis/mwikis/aidco/images/4/48/WG_C-DEAR_Call_for_Proposals_AB_1906.pdf" TargetMode="External"/><Relationship Id="rId7" Type="http://schemas.openxmlformats.org/officeDocument/2006/relationships/hyperlink" Target="http://www.ituc-csi.org/statement-on-fostering-development" TargetMode="External"/><Relationship Id="rId2" Type="http://schemas.openxmlformats.org/officeDocument/2006/relationships/hyperlink" Target="https://webgate.ec.europa.eu/fpfis/mwikis/aidco/images/b/b4/DEAR_SWD_2012_457_STAFF_WORKING_PAPER_EN.pdf" TargetMode="External"/><Relationship Id="rId1" Type="http://schemas.openxmlformats.org/officeDocument/2006/relationships/hyperlink" Target="https://webgate.ec.europa.eu/fpfis/mwikis/aidco/index.php/DEAR:_Development_education_and_awareness_raising:_concept" TargetMode="External"/><Relationship Id="rId6" Type="http://schemas.openxmlformats.org/officeDocument/2006/relationships/hyperlink" Target="http://www.ituc-csi.org/statement-on-fostering-trade-union" TargetMode="External"/><Relationship Id="rId11" Type="http://schemas.openxmlformats.org/officeDocument/2006/relationships/hyperlink" Target="http://europa.eu/rapid/press-release_IP-13-166_en.htm" TargetMode="External"/><Relationship Id="rId5" Type="http://schemas.openxmlformats.org/officeDocument/2006/relationships/hyperlink" Target="http://ec.europa.eu/europeaid/documents/aap/2013/af_aap_2013_dci-nsa.pdf" TargetMode="External"/><Relationship Id="rId10" Type="http://schemas.openxmlformats.org/officeDocument/2006/relationships/hyperlink" Target="http://ec.europa.eu/europeaid/news/documents/eyd2015-swd_en.pdf" TargetMode="External"/><Relationship Id="rId4" Type="http://schemas.openxmlformats.org/officeDocument/2006/relationships/hyperlink" Target="http://ec.europa.eu/europeaid/how/finance/dci/documents/nsa-la_strategy_2011-2013_-_en.pdf" TargetMode="External"/><Relationship Id="rId9" Type="http://schemas.openxmlformats.org/officeDocument/2006/relationships/hyperlink" Target="http://ec.europa.eu/europeaid/news/documents/eyd2015-proposal-ep-counc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F86B9-460D-4A29-B055-D94966358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1038</Words>
  <Characters>5920</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International Trade Union Confederation</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Dereymaeker</dc:creator>
  <cp:lastModifiedBy>Paola Simonetti</cp:lastModifiedBy>
  <cp:revision>6</cp:revision>
  <cp:lastPrinted>2012-01-11T15:20:00Z</cp:lastPrinted>
  <dcterms:created xsi:type="dcterms:W3CDTF">2013-09-02T14:17:00Z</dcterms:created>
  <dcterms:modified xsi:type="dcterms:W3CDTF">2013-09-03T15:26:00Z</dcterms:modified>
</cp:coreProperties>
</file>