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29" w:rsidRPr="00E63C96" w:rsidRDefault="00CF0E3E" w:rsidP="00CF0E3E">
      <w:pPr>
        <w:spacing w:after="0"/>
        <w:jc w:val="center"/>
        <w:rPr>
          <w:b/>
          <w:i/>
          <w:color w:val="104777"/>
          <w:sz w:val="32"/>
          <w:szCs w:val="32"/>
        </w:rPr>
      </w:pPr>
      <w:r w:rsidRPr="00E63C96">
        <w:rPr>
          <w:b/>
          <w:i/>
          <w:color w:val="104777"/>
          <w:sz w:val="32"/>
          <w:szCs w:val="32"/>
        </w:rPr>
        <w:t xml:space="preserve">Trade Unions as </w:t>
      </w:r>
      <w:r w:rsidR="00342329" w:rsidRPr="00E63C96">
        <w:rPr>
          <w:b/>
          <w:i/>
          <w:color w:val="104777"/>
          <w:sz w:val="32"/>
          <w:szCs w:val="32"/>
        </w:rPr>
        <w:t xml:space="preserve">actors of </w:t>
      </w:r>
    </w:p>
    <w:p w:rsidR="00CF0E3E" w:rsidRPr="00E63C96" w:rsidRDefault="0000771E" w:rsidP="00CF0E3E">
      <w:pPr>
        <w:spacing w:after="0"/>
        <w:jc w:val="center"/>
        <w:rPr>
          <w:b/>
          <w:i/>
          <w:color w:val="104777"/>
          <w:sz w:val="32"/>
          <w:szCs w:val="32"/>
        </w:rPr>
      </w:pPr>
      <w:r w:rsidRPr="00E63C96">
        <w:rPr>
          <w:b/>
          <w:i/>
          <w:color w:val="104777"/>
          <w:sz w:val="32"/>
          <w:szCs w:val="32"/>
        </w:rPr>
        <w:t>D</w:t>
      </w:r>
      <w:r w:rsidR="00CF0E3E" w:rsidRPr="00E63C96">
        <w:rPr>
          <w:b/>
          <w:i/>
          <w:color w:val="104777"/>
          <w:sz w:val="32"/>
          <w:szCs w:val="32"/>
        </w:rPr>
        <w:t xml:space="preserve">evelopment </w:t>
      </w:r>
      <w:r w:rsidRPr="00E63C96">
        <w:rPr>
          <w:b/>
          <w:i/>
          <w:color w:val="104777"/>
          <w:sz w:val="32"/>
          <w:szCs w:val="32"/>
        </w:rPr>
        <w:t>E</w:t>
      </w:r>
      <w:r w:rsidR="00CF0E3E" w:rsidRPr="00E63C96">
        <w:rPr>
          <w:b/>
          <w:i/>
          <w:color w:val="104777"/>
          <w:sz w:val="32"/>
          <w:szCs w:val="32"/>
        </w:rPr>
        <w:t xml:space="preserve">ducation </w:t>
      </w:r>
      <w:r w:rsidR="00342329" w:rsidRPr="00E63C96">
        <w:rPr>
          <w:b/>
          <w:i/>
          <w:color w:val="104777"/>
          <w:sz w:val="32"/>
          <w:szCs w:val="32"/>
        </w:rPr>
        <w:t xml:space="preserve">and </w:t>
      </w:r>
      <w:r w:rsidRPr="00E63C96">
        <w:rPr>
          <w:b/>
          <w:i/>
          <w:color w:val="104777"/>
          <w:sz w:val="32"/>
          <w:szCs w:val="32"/>
        </w:rPr>
        <w:t>A</w:t>
      </w:r>
      <w:r w:rsidR="00342329" w:rsidRPr="00E63C96">
        <w:rPr>
          <w:b/>
          <w:i/>
          <w:color w:val="104777"/>
          <w:sz w:val="32"/>
          <w:szCs w:val="32"/>
        </w:rPr>
        <w:t xml:space="preserve">wareness </w:t>
      </w:r>
      <w:r w:rsidRPr="00E63C96">
        <w:rPr>
          <w:b/>
          <w:i/>
          <w:color w:val="104777"/>
          <w:sz w:val="32"/>
          <w:szCs w:val="32"/>
        </w:rPr>
        <w:t>R</w:t>
      </w:r>
      <w:r w:rsidR="00342329" w:rsidRPr="00E63C96">
        <w:rPr>
          <w:b/>
          <w:i/>
          <w:color w:val="104777"/>
          <w:sz w:val="32"/>
          <w:szCs w:val="32"/>
        </w:rPr>
        <w:t>aising (DEAR)</w:t>
      </w:r>
    </w:p>
    <w:p w:rsidR="00554302" w:rsidRPr="00E63C96" w:rsidRDefault="00554302" w:rsidP="00554302">
      <w:pPr>
        <w:jc w:val="center"/>
        <w:rPr>
          <w:sz w:val="28"/>
          <w:szCs w:val="28"/>
        </w:rPr>
      </w:pPr>
      <w:r w:rsidRPr="00E63C96">
        <w:rPr>
          <w:sz w:val="28"/>
          <w:szCs w:val="28"/>
        </w:rPr>
        <w:t>TUDCN General Meeting, Florence, 27-29 April 2015</w:t>
      </w:r>
    </w:p>
    <w:p w:rsidR="00342329" w:rsidRPr="00E63C96" w:rsidRDefault="00342329" w:rsidP="00CF0E3E">
      <w:pPr>
        <w:jc w:val="center"/>
        <w:rPr>
          <w:sz w:val="28"/>
          <w:szCs w:val="28"/>
        </w:rPr>
      </w:pPr>
    </w:p>
    <w:p w:rsidR="00CF0E3E" w:rsidRPr="00E63C96" w:rsidRDefault="00385F9F" w:rsidP="00702B8B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E63C96">
        <w:rPr>
          <w:szCs w:val="24"/>
        </w:rPr>
        <w:t>R</w:t>
      </w:r>
      <w:r w:rsidR="0085245F" w:rsidRPr="00E63C96">
        <w:rPr>
          <w:szCs w:val="24"/>
        </w:rPr>
        <w:t xml:space="preserve">easons why </w:t>
      </w:r>
      <w:r w:rsidR="00554302" w:rsidRPr="00E63C96">
        <w:rPr>
          <w:szCs w:val="24"/>
        </w:rPr>
        <w:t>Trade Unions (</w:t>
      </w:r>
      <w:r w:rsidR="0085245F" w:rsidRPr="00E63C96">
        <w:rPr>
          <w:szCs w:val="24"/>
        </w:rPr>
        <w:t>TUs</w:t>
      </w:r>
      <w:r w:rsidR="00554302" w:rsidRPr="00E63C96">
        <w:rPr>
          <w:szCs w:val="24"/>
        </w:rPr>
        <w:t>)</w:t>
      </w:r>
      <w:r w:rsidR="0085245F" w:rsidRPr="00E63C96">
        <w:rPr>
          <w:szCs w:val="24"/>
        </w:rPr>
        <w:t xml:space="preserve"> are important DEAR actors: what’s its added value?</w:t>
      </w:r>
    </w:p>
    <w:p w:rsidR="00A5390A" w:rsidRPr="00E63C96" w:rsidRDefault="007F726A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>TUs are already actors of development and DEAR! There is a long history of TUs working on development cooperation, and most particularly on DEAR.</w:t>
      </w:r>
    </w:p>
    <w:p w:rsidR="00E96E17" w:rsidRPr="00E63C96" w:rsidRDefault="00D518DC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>TUDCN</w:t>
      </w:r>
      <w:r w:rsidR="00E96E17" w:rsidRPr="00E63C96">
        <w:rPr>
          <w:szCs w:val="24"/>
        </w:rPr>
        <w:t xml:space="preserve"> operate</w:t>
      </w:r>
      <w:r w:rsidRPr="00E63C96">
        <w:rPr>
          <w:szCs w:val="24"/>
        </w:rPr>
        <w:t>s</w:t>
      </w:r>
      <w:r w:rsidR="00E96E17" w:rsidRPr="00E63C96">
        <w:rPr>
          <w:szCs w:val="24"/>
        </w:rPr>
        <w:t xml:space="preserve"> at EU and global level (f</w:t>
      </w:r>
      <w:r w:rsidR="00E96E17" w:rsidRPr="00E63C96">
        <w:rPr>
          <w:i/>
          <w:szCs w:val="24"/>
        </w:rPr>
        <w:t>or DEAR programme purposes</w:t>
      </w:r>
      <w:r w:rsidR="00E96E17" w:rsidRPr="00E63C96">
        <w:rPr>
          <w:szCs w:val="24"/>
        </w:rPr>
        <w:t>)</w:t>
      </w:r>
    </w:p>
    <w:p w:rsidR="00385F9F" w:rsidRPr="00E63C96" w:rsidRDefault="00385F9F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 xml:space="preserve">Development </w:t>
      </w:r>
      <w:r w:rsidR="00D518DC" w:rsidRPr="00E63C96">
        <w:rPr>
          <w:szCs w:val="24"/>
        </w:rPr>
        <w:t xml:space="preserve">education and awareness </w:t>
      </w:r>
      <w:proofErr w:type="gramStart"/>
      <w:r w:rsidR="00D518DC" w:rsidRPr="00E63C96">
        <w:rPr>
          <w:szCs w:val="24"/>
        </w:rPr>
        <w:t>raising</w:t>
      </w:r>
      <w:proofErr w:type="gramEnd"/>
      <w:r w:rsidR="00D518DC" w:rsidRPr="00E63C96">
        <w:rPr>
          <w:szCs w:val="24"/>
        </w:rPr>
        <w:t xml:space="preserve"> </w:t>
      </w:r>
      <w:r w:rsidRPr="00E63C96">
        <w:rPr>
          <w:szCs w:val="24"/>
        </w:rPr>
        <w:t xml:space="preserve">is also about decent work, though is quite often unnoticed next to </w:t>
      </w:r>
      <w:r w:rsidR="007F726A" w:rsidRPr="00E63C96">
        <w:rPr>
          <w:szCs w:val="24"/>
        </w:rPr>
        <w:t xml:space="preserve">other issues like </w:t>
      </w:r>
      <w:r w:rsidRPr="00E63C96">
        <w:rPr>
          <w:szCs w:val="24"/>
        </w:rPr>
        <w:t>health, climate</w:t>
      </w:r>
      <w:r w:rsidR="007F726A" w:rsidRPr="00E63C96">
        <w:rPr>
          <w:szCs w:val="24"/>
        </w:rPr>
        <w:t xml:space="preserve">, food, debt and trade. Decent work is a </w:t>
      </w:r>
      <w:r w:rsidR="00425C0B" w:rsidRPr="00E63C96">
        <w:rPr>
          <w:szCs w:val="24"/>
        </w:rPr>
        <w:t xml:space="preserve">cross-cutting </w:t>
      </w:r>
      <w:r w:rsidR="007F726A" w:rsidRPr="00E63C96">
        <w:rPr>
          <w:szCs w:val="24"/>
        </w:rPr>
        <w:t>issue.</w:t>
      </w:r>
    </w:p>
    <w:p w:rsidR="00702B8B" w:rsidRPr="00E63C96" w:rsidRDefault="0085245F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 xml:space="preserve">Awareness </w:t>
      </w:r>
      <w:proofErr w:type="gramStart"/>
      <w:r w:rsidRPr="00E63C96">
        <w:rPr>
          <w:szCs w:val="24"/>
        </w:rPr>
        <w:t>raising</w:t>
      </w:r>
      <w:proofErr w:type="gramEnd"/>
      <w:r w:rsidRPr="00E63C96">
        <w:rPr>
          <w:szCs w:val="24"/>
        </w:rPr>
        <w:t xml:space="preserve"> on development issues at the workplace, giving TUs a role not replicated by NGOs.</w:t>
      </w:r>
    </w:p>
    <w:p w:rsidR="00702B8B" w:rsidRPr="00E63C96" w:rsidRDefault="00A5390A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 xml:space="preserve">ITUC/ETUC </w:t>
      </w:r>
      <w:r w:rsidR="0085245F" w:rsidRPr="00E63C96">
        <w:rPr>
          <w:szCs w:val="24"/>
        </w:rPr>
        <w:t xml:space="preserve">can reach out to millions of affiliated working people through internal communication channels, </w:t>
      </w:r>
      <w:r w:rsidR="00385F9F" w:rsidRPr="00E63C96">
        <w:rPr>
          <w:szCs w:val="24"/>
        </w:rPr>
        <w:t xml:space="preserve">including awareness </w:t>
      </w:r>
      <w:proofErr w:type="gramStart"/>
      <w:r w:rsidR="00385F9F" w:rsidRPr="00E63C96">
        <w:rPr>
          <w:szCs w:val="24"/>
        </w:rPr>
        <w:t>raising</w:t>
      </w:r>
      <w:proofErr w:type="gramEnd"/>
      <w:r w:rsidR="00385F9F" w:rsidRPr="00E63C96">
        <w:rPr>
          <w:szCs w:val="24"/>
        </w:rPr>
        <w:t xml:space="preserve"> of people not directly acquainted with development. They can exponentially act as multipliers of DEAR issues and campaigns.</w:t>
      </w:r>
    </w:p>
    <w:p w:rsidR="00385F9F" w:rsidRPr="00E63C96" w:rsidRDefault="00385F9F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>Teachers’ unions in several European countries can reach all levels of education and include DEAR as a subject in many curricula and educational programmes</w:t>
      </w:r>
      <w:r w:rsidR="007F726A" w:rsidRPr="00E63C96">
        <w:rPr>
          <w:szCs w:val="24"/>
        </w:rPr>
        <w:t>.</w:t>
      </w:r>
      <w:r w:rsidR="00E96E17" w:rsidRPr="00E63C96">
        <w:rPr>
          <w:szCs w:val="24"/>
        </w:rPr>
        <w:t xml:space="preserve"> This is a less rigid process compared to traditional curricula setting by ministries and responsible education authorities.</w:t>
      </w:r>
    </w:p>
    <w:p w:rsidR="00702B8B" w:rsidRPr="00E63C96" w:rsidRDefault="00B117C1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 xml:space="preserve">TUs </w:t>
      </w:r>
      <w:r w:rsidR="00702B8B" w:rsidRPr="00E63C96">
        <w:rPr>
          <w:szCs w:val="24"/>
        </w:rPr>
        <w:t>can influence other societal sectors</w:t>
      </w:r>
      <w:r w:rsidR="007F726A" w:rsidRPr="00E63C96">
        <w:rPr>
          <w:szCs w:val="24"/>
        </w:rPr>
        <w:t>. Moreover the TU mo</w:t>
      </w:r>
      <w:r w:rsidRPr="00E63C96">
        <w:rPr>
          <w:szCs w:val="24"/>
        </w:rPr>
        <w:t>vement is actively mobilised on a wide social agenda</w:t>
      </w:r>
      <w:r w:rsidR="007F726A" w:rsidRPr="00E63C96">
        <w:rPr>
          <w:szCs w:val="24"/>
        </w:rPr>
        <w:t>: human rights, equality and non-discrimination, corporate social responsibility, sustainable development, migration, etc.</w:t>
      </w:r>
    </w:p>
    <w:p w:rsidR="00385F9F" w:rsidRPr="00E63C96" w:rsidRDefault="00702B8B" w:rsidP="00385F9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 xml:space="preserve">Momentum of decent work issues worldwide </w:t>
      </w:r>
      <w:r w:rsidR="00385F9F" w:rsidRPr="00E63C96">
        <w:rPr>
          <w:szCs w:val="24"/>
        </w:rPr>
        <w:t>+ global economic and financial crisis also hits hard developing countries</w:t>
      </w:r>
      <w:r w:rsidR="007F726A" w:rsidRPr="00E63C96">
        <w:rPr>
          <w:szCs w:val="24"/>
        </w:rPr>
        <w:t>.</w:t>
      </w:r>
      <w:r w:rsidR="00554302" w:rsidRPr="00E63C96">
        <w:rPr>
          <w:szCs w:val="24"/>
        </w:rPr>
        <w:t xml:space="preserve"> Moreover, the c</w:t>
      </w:r>
      <w:r w:rsidR="00385F9F" w:rsidRPr="00E63C96">
        <w:rPr>
          <w:szCs w:val="24"/>
        </w:rPr>
        <w:t xml:space="preserve">hanging nature of development cooperation </w:t>
      </w:r>
      <w:r w:rsidR="00554302" w:rsidRPr="00E63C96">
        <w:rPr>
          <w:szCs w:val="24"/>
        </w:rPr>
        <w:t>means</w:t>
      </w:r>
      <w:r w:rsidR="00385F9F" w:rsidRPr="00E63C96">
        <w:rPr>
          <w:szCs w:val="24"/>
        </w:rPr>
        <w:t xml:space="preserve"> shrinking ODA</w:t>
      </w:r>
      <w:r w:rsidR="00554302" w:rsidRPr="00E63C96">
        <w:rPr>
          <w:szCs w:val="24"/>
        </w:rPr>
        <w:t xml:space="preserve"> and</w:t>
      </w:r>
      <w:r w:rsidR="00385F9F" w:rsidRPr="00E63C96">
        <w:rPr>
          <w:szCs w:val="24"/>
        </w:rPr>
        <w:t xml:space="preserve"> new donors</w:t>
      </w:r>
      <w:r w:rsidR="007F726A" w:rsidRPr="00E63C96">
        <w:rPr>
          <w:szCs w:val="24"/>
        </w:rPr>
        <w:t>.</w:t>
      </w:r>
    </w:p>
    <w:p w:rsidR="00CF0E3E" w:rsidRPr="00E63C96" w:rsidRDefault="00B33464" w:rsidP="002E130B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63C96">
        <w:rPr>
          <w:szCs w:val="24"/>
        </w:rPr>
        <w:t>Steady a</w:t>
      </w:r>
      <w:r w:rsidR="00CF0E3E" w:rsidRPr="00E63C96">
        <w:rPr>
          <w:szCs w:val="24"/>
        </w:rPr>
        <w:t>ctivism and campaigns (demonstration</w:t>
      </w:r>
      <w:r w:rsidRPr="00E63C96">
        <w:rPr>
          <w:szCs w:val="24"/>
        </w:rPr>
        <w:t>s</w:t>
      </w:r>
      <w:r w:rsidR="00CF0E3E" w:rsidRPr="00E63C96">
        <w:rPr>
          <w:szCs w:val="24"/>
        </w:rPr>
        <w:t>, solidarity, etc.)</w:t>
      </w:r>
      <w:r w:rsidR="007F726A" w:rsidRPr="00E63C96">
        <w:rPr>
          <w:szCs w:val="24"/>
        </w:rPr>
        <w:t>.</w:t>
      </w:r>
      <w:r w:rsidR="002E130B" w:rsidRPr="00E63C96">
        <w:rPr>
          <w:szCs w:val="24"/>
        </w:rPr>
        <w:t xml:space="preserve"> Deepening the relationship between the global north and the global south.</w:t>
      </w:r>
    </w:p>
    <w:p w:rsidR="0015124A" w:rsidRPr="00E63C96" w:rsidRDefault="0015124A" w:rsidP="0015124A">
      <w:pPr>
        <w:pStyle w:val="ListParagraph"/>
        <w:ind w:left="360"/>
        <w:jc w:val="both"/>
        <w:rPr>
          <w:szCs w:val="24"/>
        </w:rPr>
      </w:pPr>
    </w:p>
    <w:p w:rsidR="002E130B" w:rsidRPr="00E63C96" w:rsidRDefault="002E130B" w:rsidP="0085245F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E63C96">
        <w:rPr>
          <w:szCs w:val="24"/>
        </w:rPr>
        <w:t>Topics that TU take on in DEAR (extracted from TUDCN 2012 Seminar report on Development Education)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Decent Work</w:t>
      </w:r>
    </w:p>
    <w:p w:rsidR="002E130B" w:rsidRPr="00E63C96" w:rsidRDefault="008D4539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Human and t</w:t>
      </w:r>
      <w:r w:rsidR="002E130B" w:rsidRPr="00E63C96">
        <w:rPr>
          <w:szCs w:val="24"/>
        </w:rPr>
        <w:t>rade union rights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ILO core labour standards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lastRenderedPageBreak/>
        <w:t>Global competition and the ‘race to the bottom’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International Framework Agreements - Global Supply Chains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Social partnership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Social protection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 xml:space="preserve">Informal </w:t>
      </w:r>
      <w:r w:rsidR="008D4539" w:rsidRPr="00E63C96">
        <w:rPr>
          <w:szCs w:val="24"/>
        </w:rPr>
        <w:t>economy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Gender issues (including salary gap)</w:t>
      </w:r>
    </w:p>
    <w:p w:rsidR="00D518DC" w:rsidRPr="00E63C96" w:rsidRDefault="00D518DC" w:rsidP="00D518DC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Sustainable development + climate change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Migration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Democracy and the role of the trade unions and civil society in peace and democracy building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Fair trade and CSR</w:t>
      </w:r>
    </w:p>
    <w:p w:rsidR="002E130B" w:rsidRPr="00E63C96" w:rsidRDefault="002E130B" w:rsidP="002E130B">
      <w:pPr>
        <w:pStyle w:val="ListParagraph"/>
        <w:numPr>
          <w:ilvl w:val="1"/>
          <w:numId w:val="2"/>
        </w:numPr>
        <w:jc w:val="both"/>
        <w:rPr>
          <w:szCs w:val="24"/>
        </w:rPr>
      </w:pPr>
      <w:r w:rsidRPr="00E63C96">
        <w:rPr>
          <w:szCs w:val="24"/>
        </w:rPr>
        <w:t>Organising</w:t>
      </w:r>
    </w:p>
    <w:p w:rsidR="0015124A" w:rsidRPr="00E63C96" w:rsidRDefault="0015124A" w:rsidP="0015124A">
      <w:pPr>
        <w:pStyle w:val="ListParagraph"/>
        <w:ind w:left="360"/>
        <w:jc w:val="both"/>
        <w:rPr>
          <w:szCs w:val="24"/>
        </w:rPr>
      </w:pPr>
    </w:p>
    <w:p w:rsidR="00CF0E3E" w:rsidRPr="00E63C96" w:rsidRDefault="00CF0E3E" w:rsidP="0085245F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E63C96">
        <w:rPr>
          <w:szCs w:val="24"/>
        </w:rPr>
        <w:t>Goals T</w:t>
      </w:r>
      <w:r w:rsidR="00E96E17" w:rsidRPr="00E63C96">
        <w:rPr>
          <w:szCs w:val="24"/>
        </w:rPr>
        <w:t>U</w:t>
      </w:r>
      <w:r w:rsidRPr="00E63C96">
        <w:rPr>
          <w:szCs w:val="24"/>
        </w:rPr>
        <w:t xml:space="preserve">s </w:t>
      </w:r>
      <w:r w:rsidR="00E63C96" w:rsidRPr="00E63C96">
        <w:rPr>
          <w:szCs w:val="24"/>
        </w:rPr>
        <w:t xml:space="preserve">vis-à-vis </w:t>
      </w:r>
      <w:r w:rsidR="00E96E17" w:rsidRPr="00E63C96">
        <w:rPr>
          <w:szCs w:val="24"/>
        </w:rPr>
        <w:t>DEAR</w:t>
      </w:r>
    </w:p>
    <w:p w:rsidR="00CF0E3E" w:rsidRPr="00E63C96" w:rsidRDefault="00CF0E3E" w:rsidP="0085245F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E63C96">
        <w:rPr>
          <w:szCs w:val="24"/>
        </w:rPr>
        <w:t>Increase recognition of T</w:t>
      </w:r>
      <w:r w:rsidR="00E96E17" w:rsidRPr="00E63C96">
        <w:rPr>
          <w:szCs w:val="24"/>
        </w:rPr>
        <w:t>U</w:t>
      </w:r>
      <w:r w:rsidRPr="00E63C96">
        <w:rPr>
          <w:szCs w:val="24"/>
        </w:rPr>
        <w:t>s as actors of DEAR</w:t>
      </w:r>
      <w:r w:rsidR="00E63C96" w:rsidRPr="00E63C96">
        <w:rPr>
          <w:szCs w:val="24"/>
        </w:rPr>
        <w:t>.</w:t>
      </w:r>
    </w:p>
    <w:p w:rsidR="00E96E17" w:rsidRPr="00E63C96" w:rsidRDefault="00E96E17" w:rsidP="0085245F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E63C96">
        <w:rPr>
          <w:szCs w:val="24"/>
        </w:rPr>
        <w:t>Use it as a promotional tool at local, regional, national, EU and global level</w:t>
      </w:r>
      <w:r w:rsidR="00E63C96" w:rsidRPr="00E63C96">
        <w:rPr>
          <w:szCs w:val="24"/>
        </w:rPr>
        <w:t>.</w:t>
      </w:r>
    </w:p>
    <w:p w:rsidR="00E96E17" w:rsidRPr="00E63C96" w:rsidRDefault="008D4539" w:rsidP="0085245F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E63C96">
        <w:rPr>
          <w:szCs w:val="24"/>
        </w:rPr>
        <w:t xml:space="preserve">Promote </w:t>
      </w:r>
      <w:r w:rsidR="00E96E17" w:rsidRPr="00E63C96">
        <w:rPr>
          <w:szCs w:val="24"/>
        </w:rPr>
        <w:t xml:space="preserve">decent work </w:t>
      </w:r>
      <w:r w:rsidRPr="00E63C96">
        <w:rPr>
          <w:szCs w:val="24"/>
        </w:rPr>
        <w:t xml:space="preserve">as </w:t>
      </w:r>
      <w:r w:rsidR="00E96E17" w:rsidRPr="00E63C96">
        <w:rPr>
          <w:szCs w:val="24"/>
        </w:rPr>
        <w:t>a key global issue when it comes to DEAR</w:t>
      </w:r>
      <w:r w:rsidR="00E63C96" w:rsidRPr="00E63C96">
        <w:rPr>
          <w:szCs w:val="24"/>
        </w:rPr>
        <w:t>.</w:t>
      </w:r>
    </w:p>
    <w:p w:rsidR="00CF0E3E" w:rsidRPr="00E63C96" w:rsidRDefault="00E96E17" w:rsidP="0085245F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E63C96">
        <w:rPr>
          <w:szCs w:val="24"/>
        </w:rPr>
        <w:t xml:space="preserve">That TUs are </w:t>
      </w:r>
      <w:r w:rsidR="00CF0E3E" w:rsidRPr="00E63C96">
        <w:rPr>
          <w:szCs w:val="24"/>
        </w:rPr>
        <w:t>consulted at decision-making level</w:t>
      </w:r>
      <w:r w:rsidRPr="00E63C96">
        <w:rPr>
          <w:szCs w:val="24"/>
        </w:rPr>
        <w:t xml:space="preserve"> (national and EU) on DEAR issues</w:t>
      </w:r>
      <w:r w:rsidR="00E63C96" w:rsidRPr="00E63C96">
        <w:rPr>
          <w:szCs w:val="24"/>
        </w:rPr>
        <w:t>.</w:t>
      </w:r>
    </w:p>
    <w:p w:rsidR="00CF0E3E" w:rsidRPr="00E63C96" w:rsidRDefault="00CF0E3E" w:rsidP="0085245F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E63C96">
        <w:rPr>
          <w:szCs w:val="24"/>
        </w:rPr>
        <w:t>Explain that there’s more than NGOs when it comes to DEAR</w:t>
      </w:r>
      <w:r w:rsidR="00B117C1" w:rsidRPr="00E63C96">
        <w:rPr>
          <w:szCs w:val="24"/>
        </w:rPr>
        <w:t xml:space="preserve"> (though NGOs can be a partner in some TU DEAR projects)</w:t>
      </w:r>
      <w:r w:rsidR="00E63C96" w:rsidRPr="00E63C96">
        <w:rPr>
          <w:szCs w:val="24"/>
        </w:rPr>
        <w:t>.</w:t>
      </w:r>
    </w:p>
    <w:p w:rsidR="00CF0E3E" w:rsidRPr="00E63C96" w:rsidRDefault="00CF0E3E" w:rsidP="0085245F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E63C96">
        <w:rPr>
          <w:szCs w:val="24"/>
        </w:rPr>
        <w:t>Facilitate the participatio</w:t>
      </w:r>
      <w:bookmarkStart w:id="0" w:name="_GoBack"/>
      <w:bookmarkEnd w:id="0"/>
      <w:r w:rsidRPr="00E63C96">
        <w:rPr>
          <w:szCs w:val="24"/>
        </w:rPr>
        <w:t>n of TUs in EU, global and national DEAR programmes</w:t>
      </w:r>
      <w:r w:rsidR="00E96E17" w:rsidRPr="00E63C96">
        <w:rPr>
          <w:szCs w:val="24"/>
        </w:rPr>
        <w:t xml:space="preserve"> (e.g. EU CSO-LA thematic programme</w:t>
      </w:r>
      <w:r w:rsidR="008D4539" w:rsidRPr="00E63C96">
        <w:rPr>
          <w:szCs w:val="24"/>
        </w:rPr>
        <w:t>)</w:t>
      </w:r>
      <w:r w:rsidR="00E63C96" w:rsidRPr="00E63C96">
        <w:rPr>
          <w:szCs w:val="24"/>
        </w:rPr>
        <w:t>.</w:t>
      </w:r>
    </w:p>
    <w:p w:rsidR="00E96E17" w:rsidRPr="00E63C96" w:rsidRDefault="00E96E17" w:rsidP="0085245F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E63C96">
        <w:rPr>
          <w:szCs w:val="24"/>
        </w:rPr>
        <w:t xml:space="preserve">Promote the share of best practices </w:t>
      </w:r>
      <w:r w:rsidR="002E06C9" w:rsidRPr="00E63C96">
        <w:rPr>
          <w:szCs w:val="24"/>
        </w:rPr>
        <w:t xml:space="preserve">in </w:t>
      </w:r>
      <w:r w:rsidRPr="00E63C96">
        <w:rPr>
          <w:szCs w:val="24"/>
        </w:rPr>
        <w:t xml:space="preserve">DEAR </w:t>
      </w:r>
      <w:r w:rsidR="0015124A" w:rsidRPr="00E63C96">
        <w:rPr>
          <w:szCs w:val="24"/>
        </w:rPr>
        <w:t>for TUs</w:t>
      </w:r>
      <w:r w:rsidR="00E63C96" w:rsidRPr="00E63C96">
        <w:rPr>
          <w:szCs w:val="24"/>
        </w:rPr>
        <w:t>.</w:t>
      </w:r>
    </w:p>
    <w:p w:rsidR="0015124A" w:rsidRPr="00E63C96" w:rsidRDefault="0015124A" w:rsidP="0015124A">
      <w:pPr>
        <w:pStyle w:val="ListParagraph"/>
        <w:ind w:left="360"/>
        <w:jc w:val="both"/>
        <w:rPr>
          <w:szCs w:val="24"/>
        </w:rPr>
      </w:pPr>
    </w:p>
    <w:sectPr w:rsidR="0015124A" w:rsidRPr="00E63C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93" w:rsidRDefault="00D05093" w:rsidP="00CF0E3E">
      <w:pPr>
        <w:spacing w:after="0" w:line="240" w:lineRule="auto"/>
      </w:pPr>
      <w:r>
        <w:separator/>
      </w:r>
    </w:p>
  </w:endnote>
  <w:endnote w:type="continuationSeparator" w:id="0">
    <w:p w:rsidR="00D05093" w:rsidRDefault="00D05093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5BA" w:rsidRDefault="00141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5BA" w:rsidRDefault="00141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93" w:rsidRDefault="00D05093" w:rsidP="00CF0E3E">
      <w:pPr>
        <w:spacing w:after="0" w:line="240" w:lineRule="auto"/>
      </w:pPr>
      <w:r>
        <w:separator/>
      </w:r>
    </w:p>
  </w:footnote>
  <w:footnote w:type="continuationSeparator" w:id="0">
    <w:p w:rsidR="00D05093" w:rsidRDefault="00D05093" w:rsidP="00CF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E" w:rsidRDefault="00CF0E3E" w:rsidP="00CF0E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811A48" wp14:editId="34DA158C">
          <wp:extent cx="1595887" cy="109192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411" cy="109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E3E" w:rsidRDefault="00CF0E3E" w:rsidP="00CF0E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9EA"/>
    <w:multiLevelType w:val="multilevel"/>
    <w:tmpl w:val="82BA9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D231F23"/>
    <w:multiLevelType w:val="multilevel"/>
    <w:tmpl w:val="BE4A9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91911"/>
    <w:multiLevelType w:val="multilevel"/>
    <w:tmpl w:val="15AE34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D0328A"/>
    <w:multiLevelType w:val="hybridMultilevel"/>
    <w:tmpl w:val="22662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1417D"/>
    <w:multiLevelType w:val="multilevel"/>
    <w:tmpl w:val="0B46D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BFB13AE"/>
    <w:multiLevelType w:val="multilevel"/>
    <w:tmpl w:val="82BA9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2771495A"/>
    <w:multiLevelType w:val="multilevel"/>
    <w:tmpl w:val="96A0E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0DF7F3B"/>
    <w:multiLevelType w:val="multilevel"/>
    <w:tmpl w:val="B9EE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2E21F77"/>
    <w:multiLevelType w:val="multilevel"/>
    <w:tmpl w:val="96A0E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533862"/>
    <w:multiLevelType w:val="multilevel"/>
    <w:tmpl w:val="82BA9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C050CB"/>
    <w:multiLevelType w:val="multilevel"/>
    <w:tmpl w:val="96A0E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D71317"/>
    <w:multiLevelType w:val="multilevel"/>
    <w:tmpl w:val="96A0E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17341B"/>
    <w:multiLevelType w:val="multilevel"/>
    <w:tmpl w:val="71540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7BB94203"/>
    <w:multiLevelType w:val="multilevel"/>
    <w:tmpl w:val="B9EE9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E"/>
    <w:rsid w:val="0000771E"/>
    <w:rsid w:val="000126F0"/>
    <w:rsid w:val="001415BA"/>
    <w:rsid w:val="0015124A"/>
    <w:rsid w:val="00282314"/>
    <w:rsid w:val="002E06C9"/>
    <w:rsid w:val="002E130B"/>
    <w:rsid w:val="00312B3F"/>
    <w:rsid w:val="00342329"/>
    <w:rsid w:val="00385F9F"/>
    <w:rsid w:val="00425C0B"/>
    <w:rsid w:val="00430F6E"/>
    <w:rsid w:val="00461D08"/>
    <w:rsid w:val="00554302"/>
    <w:rsid w:val="00702B8B"/>
    <w:rsid w:val="007E0C45"/>
    <w:rsid w:val="007F726A"/>
    <w:rsid w:val="0085245F"/>
    <w:rsid w:val="008D4539"/>
    <w:rsid w:val="00A5390A"/>
    <w:rsid w:val="00AE557C"/>
    <w:rsid w:val="00B117C1"/>
    <w:rsid w:val="00B33464"/>
    <w:rsid w:val="00BC1951"/>
    <w:rsid w:val="00CF0E3E"/>
    <w:rsid w:val="00D05093"/>
    <w:rsid w:val="00D518DC"/>
    <w:rsid w:val="00DF1E26"/>
    <w:rsid w:val="00E63C96"/>
    <w:rsid w:val="00E96E17"/>
    <w:rsid w:val="00F3412F"/>
    <w:rsid w:val="00FB26D3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3E"/>
  </w:style>
  <w:style w:type="paragraph" w:styleId="Footer">
    <w:name w:val="footer"/>
    <w:basedOn w:val="Normal"/>
    <w:link w:val="Foot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3E"/>
  </w:style>
  <w:style w:type="paragraph" w:styleId="BalloonText">
    <w:name w:val="Balloon Text"/>
    <w:basedOn w:val="Normal"/>
    <w:link w:val="BalloonTextChar"/>
    <w:uiPriority w:val="99"/>
    <w:semiHidden/>
    <w:unhideWhenUsed/>
    <w:rsid w:val="00C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E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3E"/>
  </w:style>
  <w:style w:type="paragraph" w:styleId="Footer">
    <w:name w:val="footer"/>
    <w:basedOn w:val="Normal"/>
    <w:link w:val="FooterChar"/>
    <w:uiPriority w:val="99"/>
    <w:unhideWhenUsed/>
    <w:rsid w:val="00CF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3E"/>
  </w:style>
  <w:style w:type="paragraph" w:styleId="BalloonText">
    <w:name w:val="Balloon Text"/>
    <w:basedOn w:val="Normal"/>
    <w:link w:val="BalloonTextChar"/>
    <w:uiPriority w:val="99"/>
    <w:semiHidden/>
    <w:unhideWhenUsed/>
    <w:rsid w:val="00CF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E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F637-E0D2-480F-B8AA-618A30C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150424 document to programme focus during 2014-2020</vt:lpstr>
    </vt:vector>
  </TitlesOfParts>
  <Company>International Trade Union Confederation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150424 document to programme focus during 2014-2020</dc:title>
  <dc:creator>Lanfranco, Joan</dc:creator>
  <cp:lastModifiedBy>Lanfranco, Joan</cp:lastModifiedBy>
  <cp:revision>4</cp:revision>
  <cp:lastPrinted>2015-04-22T16:04:00Z</cp:lastPrinted>
  <dcterms:created xsi:type="dcterms:W3CDTF">2015-04-24T09:33:00Z</dcterms:created>
  <dcterms:modified xsi:type="dcterms:W3CDTF">2015-04-24T12:43:00Z</dcterms:modified>
</cp:coreProperties>
</file>