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D7" w:rsidRDefault="005E79D7" w:rsidP="00872116">
      <w:pPr>
        <w:jc w:val="center"/>
        <w:rPr>
          <w:rFonts w:ascii="Arial" w:hAnsi="Arial" w:cs="Arial"/>
          <w:b/>
          <w:bCs/>
          <w:spacing w:val="20"/>
          <w:sz w:val="24"/>
          <w:szCs w:val="24"/>
          <w:lang w:val="es-ES"/>
        </w:rPr>
      </w:pPr>
      <w:bookmarkStart w:id="0" w:name="_GoBack"/>
      <w:bookmarkEnd w:id="0"/>
      <w:r>
        <w:rPr>
          <w:rFonts w:ascii="Arial" w:hAnsi="Arial" w:cs="Arial"/>
          <w:b/>
          <w:bCs/>
          <w:noProof/>
          <w:spacing w:val="20"/>
          <w:sz w:val="24"/>
          <w:szCs w:val="24"/>
          <w:lang w:val="fr-BE" w:eastAsia="fr-BE"/>
        </w:rPr>
        <w:drawing>
          <wp:inline distT="0" distB="0" distL="0" distR="0" wp14:anchorId="45461D8D" wp14:editId="2DE88EED">
            <wp:extent cx="1249680" cy="102412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union_Geral_Cor_ING.jpg"/>
                    <pic:cNvPicPr/>
                  </pic:nvPicPr>
                  <pic:blipFill>
                    <a:blip r:embed="rId8">
                      <a:extLst>
                        <a:ext uri="{28A0092B-C50C-407E-A947-70E740481C1C}">
                          <a14:useLocalDpi xmlns:a14="http://schemas.microsoft.com/office/drawing/2010/main" val="0"/>
                        </a:ext>
                      </a:extLst>
                    </a:blip>
                    <a:stretch>
                      <a:fillRect/>
                    </a:stretch>
                  </pic:blipFill>
                  <pic:spPr>
                    <a:xfrm>
                      <a:off x="0" y="0"/>
                      <a:ext cx="1249680" cy="1024128"/>
                    </a:xfrm>
                    <a:prstGeom prst="rect">
                      <a:avLst/>
                    </a:prstGeom>
                  </pic:spPr>
                </pic:pic>
              </a:graphicData>
            </a:graphic>
          </wp:inline>
        </w:drawing>
      </w:r>
    </w:p>
    <w:p w:rsidR="00FA4040" w:rsidRPr="005E79D7" w:rsidRDefault="00FA4040" w:rsidP="00872116">
      <w:pPr>
        <w:jc w:val="center"/>
        <w:rPr>
          <w:rFonts w:ascii="Arial" w:hAnsi="Arial" w:cs="Arial"/>
          <w:b/>
          <w:bCs/>
          <w:color w:val="CC0000"/>
          <w:spacing w:val="20"/>
          <w:sz w:val="24"/>
          <w:szCs w:val="24"/>
          <w:lang w:val="es-ES"/>
        </w:rPr>
      </w:pPr>
      <w:r w:rsidRPr="005E79D7">
        <w:rPr>
          <w:rFonts w:ascii="Arial" w:hAnsi="Arial" w:cs="Arial"/>
          <w:b/>
          <w:bCs/>
          <w:color w:val="CC0000"/>
          <w:spacing w:val="20"/>
          <w:sz w:val="24"/>
          <w:szCs w:val="24"/>
          <w:lang w:val="es-ES"/>
        </w:rPr>
        <w:t>FUTURO MANDATO/FUNCIONAMIENTO Y COMPOSICIÓN DEL GFC</w:t>
      </w:r>
    </w:p>
    <w:p w:rsidR="00FA4040" w:rsidRPr="00F66895" w:rsidRDefault="00FA4040" w:rsidP="00872116">
      <w:pPr>
        <w:jc w:val="both"/>
        <w:rPr>
          <w:rFonts w:ascii="Arial" w:hAnsi="Arial" w:cs="Arial"/>
          <w:lang w:val="es-ES"/>
        </w:rPr>
      </w:pPr>
      <w:r>
        <w:rPr>
          <w:rFonts w:ascii="Arial" w:hAnsi="Arial" w:cs="Arial"/>
          <w:lang w:val="es-ES"/>
        </w:rPr>
        <w:t>La naturaleza misma de la Red como una coalición de voluntades que reúne a confederaciones, FSI, OS y otros asociados sindicales de manera voluntaria, necesita un sistema de gobernanza adecuado que nos permita mantener el impulso que precisamos para avanzar en la promoción de un desarrollo sostenible basado en el trabajo decente y de unas asociaciones más efectivas para mejorar el ámbito y el impacto de nuestras acciones y programas de solidaridad.</w:t>
      </w:r>
    </w:p>
    <w:p w:rsidR="00FA4040" w:rsidRPr="00F66895" w:rsidRDefault="00FA4040" w:rsidP="009247B8">
      <w:pPr>
        <w:spacing w:after="0"/>
        <w:jc w:val="both"/>
        <w:rPr>
          <w:rFonts w:ascii="Arial" w:hAnsi="Arial" w:cs="Arial"/>
          <w:lang w:val="es-ES"/>
        </w:rPr>
      </w:pPr>
      <w:r>
        <w:rPr>
          <w:rFonts w:ascii="Arial" w:hAnsi="Arial" w:cs="Arial"/>
          <w:lang w:val="es-ES"/>
        </w:rPr>
        <w:t>Sobre la base de experiencias anteriores y de las conclusiones de las evaluaciones del trabajo de la RSCD realizado hasta ahora, debería considerarse especialmente:</w:t>
      </w:r>
      <w:r w:rsidRPr="00F66895">
        <w:rPr>
          <w:rFonts w:ascii="Arial" w:hAnsi="Arial" w:cs="Arial"/>
          <w:lang w:val="es-ES"/>
        </w:rPr>
        <w:t xml:space="preserve"> </w:t>
      </w:r>
    </w:p>
    <w:p w:rsidR="00FA4040" w:rsidRPr="00F66895" w:rsidRDefault="00FA4040" w:rsidP="00872116">
      <w:pPr>
        <w:pStyle w:val="ListParagraph"/>
        <w:numPr>
          <w:ilvl w:val="0"/>
          <w:numId w:val="1"/>
        </w:numPr>
        <w:jc w:val="both"/>
        <w:rPr>
          <w:rFonts w:ascii="Arial" w:hAnsi="Arial" w:cs="Arial"/>
          <w:lang w:val="es-ES"/>
        </w:rPr>
      </w:pPr>
      <w:r>
        <w:rPr>
          <w:rFonts w:ascii="Arial" w:hAnsi="Arial" w:cs="Arial"/>
          <w:lang w:val="es-ES"/>
        </w:rPr>
        <w:t>aumentar el liderazgo de las personas implicadas para asistir al secretariado es su coordinación y gestión política de la red;</w:t>
      </w:r>
      <w:r w:rsidRPr="00F66895">
        <w:rPr>
          <w:rFonts w:ascii="Arial" w:hAnsi="Arial" w:cs="Arial"/>
          <w:lang w:val="es-ES"/>
        </w:rPr>
        <w:t xml:space="preserve"> </w:t>
      </w:r>
    </w:p>
    <w:p w:rsidR="00FA4040" w:rsidRPr="00F66895" w:rsidRDefault="00FA4040" w:rsidP="00872116">
      <w:pPr>
        <w:pStyle w:val="ListParagraph"/>
        <w:numPr>
          <w:ilvl w:val="0"/>
          <w:numId w:val="1"/>
        </w:numPr>
        <w:jc w:val="both"/>
        <w:rPr>
          <w:rFonts w:ascii="Arial" w:hAnsi="Arial" w:cs="Arial"/>
          <w:lang w:val="es-ES"/>
        </w:rPr>
      </w:pPr>
      <w:r>
        <w:rPr>
          <w:rFonts w:ascii="Arial" w:hAnsi="Arial" w:cs="Arial"/>
          <w:lang w:val="es-ES"/>
        </w:rPr>
        <w:t>garantizar una integración más efectiva de todos los asociados comprometidos, en especial las organizaciones de los países del Sur y las FSI;</w:t>
      </w:r>
      <w:r w:rsidRPr="00F66895">
        <w:rPr>
          <w:rFonts w:ascii="Arial" w:hAnsi="Arial" w:cs="Arial"/>
          <w:lang w:val="es-ES"/>
        </w:rPr>
        <w:t xml:space="preserve"> </w:t>
      </w:r>
    </w:p>
    <w:p w:rsidR="00FA4040" w:rsidRPr="00F66895" w:rsidRDefault="00FA4040" w:rsidP="00872116">
      <w:pPr>
        <w:pStyle w:val="ListParagraph"/>
        <w:numPr>
          <w:ilvl w:val="0"/>
          <w:numId w:val="1"/>
        </w:numPr>
        <w:jc w:val="both"/>
        <w:rPr>
          <w:rFonts w:ascii="Arial" w:hAnsi="Arial" w:cs="Arial"/>
          <w:lang w:val="es-ES"/>
        </w:rPr>
      </w:pPr>
      <w:r>
        <w:rPr>
          <w:rFonts w:ascii="Arial" w:hAnsi="Arial" w:cs="Arial"/>
          <w:lang w:val="es-ES"/>
        </w:rPr>
        <w:t xml:space="preserve">gestionar programas y recursos de manera más centrada, dando prioridad a las actividades en las regiones y a las iniciativas comunes para el establecimiento de políticas y unas asociaciones mejores. </w:t>
      </w:r>
    </w:p>
    <w:p w:rsidR="00FA4040" w:rsidRPr="00F66895" w:rsidRDefault="00FA4040" w:rsidP="00872116">
      <w:pPr>
        <w:jc w:val="both"/>
        <w:rPr>
          <w:rFonts w:ascii="Arial" w:hAnsi="Arial" w:cs="Arial"/>
          <w:lang w:val="es-ES"/>
        </w:rPr>
      </w:pPr>
      <w:r>
        <w:rPr>
          <w:rFonts w:ascii="Arial" w:hAnsi="Arial" w:cs="Arial"/>
          <w:lang w:val="es-ES"/>
        </w:rPr>
        <w:t>Proponemos por tanto limitar la Reunión General a una por año, optimizando la participación y descentralizando la reunión hacia las regiones (reunión en</w:t>
      </w:r>
      <w:r w:rsidRPr="00F66895">
        <w:rPr>
          <w:rFonts w:ascii="Arial" w:hAnsi="Arial" w:cs="Arial"/>
          <w:lang w:val="es-ES"/>
        </w:rPr>
        <w:t xml:space="preserve"> Sao Paulo </w:t>
      </w:r>
      <w:r>
        <w:rPr>
          <w:rFonts w:ascii="Arial" w:hAnsi="Arial" w:cs="Arial"/>
          <w:lang w:val="es-ES"/>
        </w:rPr>
        <w:t>y</w:t>
      </w:r>
      <w:r w:rsidRPr="00F66895">
        <w:rPr>
          <w:rFonts w:ascii="Arial" w:hAnsi="Arial" w:cs="Arial"/>
          <w:lang w:val="es-ES"/>
        </w:rPr>
        <w:t xml:space="preserve"> Lomé-2015…)</w:t>
      </w:r>
      <w:r>
        <w:rPr>
          <w:rFonts w:ascii="Arial" w:hAnsi="Arial" w:cs="Arial"/>
          <w:lang w:val="es-ES"/>
        </w:rPr>
        <w:t>.</w:t>
      </w:r>
    </w:p>
    <w:p w:rsidR="00FA4040" w:rsidRPr="00F66895" w:rsidRDefault="00FA4040" w:rsidP="00872116">
      <w:pPr>
        <w:jc w:val="both"/>
        <w:rPr>
          <w:rFonts w:ascii="Arial" w:hAnsi="Arial" w:cs="Arial"/>
          <w:lang w:val="es-ES"/>
        </w:rPr>
      </w:pPr>
      <w:r>
        <w:rPr>
          <w:rFonts w:ascii="Arial" w:hAnsi="Arial" w:cs="Arial"/>
          <w:lang w:val="es-ES"/>
        </w:rPr>
        <w:t>Sin embargo, esto aumentaría la necesidad y la importancia de la coordinación y el seguimiento en los períodos entre reuniones. En la Reunión General en Dinamarca el año pasado y el Grupo de Facilitación y Coordinación (GFC) en noviembre se discutieron diferentes escenarios sobre cómo facilitar una gestión y orientación efectiva de la agenda a lo largo del año, sobre todo en lo que respecta a las respuestas de políticas y a la labor de los diferentes grupos de trabajo</w:t>
      </w:r>
      <w:r w:rsidRPr="00F66895">
        <w:rPr>
          <w:rStyle w:val="FootnoteReference"/>
          <w:rFonts w:ascii="Arial" w:hAnsi="Arial" w:cs="Arial"/>
          <w:lang w:val="es-ES"/>
        </w:rPr>
        <w:footnoteReference w:id="1"/>
      </w:r>
      <w:r w:rsidRPr="00F66895">
        <w:rPr>
          <w:rFonts w:ascii="Arial" w:hAnsi="Arial" w:cs="Arial"/>
          <w:lang w:val="es-ES"/>
        </w:rPr>
        <w:t xml:space="preserve">. </w:t>
      </w:r>
      <w:r>
        <w:rPr>
          <w:rFonts w:ascii="Arial" w:hAnsi="Arial" w:cs="Arial"/>
          <w:lang w:val="es-ES"/>
        </w:rPr>
        <w:t>Tras el lanzamiento del actual programa de 4 años, nos gustaría proponer un enfoque a dos cubiertas</w:t>
      </w:r>
      <w:r w:rsidRPr="00F66895">
        <w:rPr>
          <w:rFonts w:ascii="Arial" w:hAnsi="Arial" w:cs="Arial"/>
          <w:lang w:val="es-ES"/>
        </w:rPr>
        <w:t xml:space="preserve"> </w:t>
      </w:r>
      <w:r>
        <w:rPr>
          <w:rFonts w:ascii="Arial" w:hAnsi="Arial" w:cs="Arial"/>
          <w:lang w:val="es-ES"/>
        </w:rPr>
        <w:t>que tenga en cuenta la limitación de una Reunión General anual.</w:t>
      </w:r>
    </w:p>
    <w:p w:rsidR="00FA4040" w:rsidRPr="00F66895" w:rsidRDefault="00FA4040" w:rsidP="00872116">
      <w:pPr>
        <w:pStyle w:val="ListParagraph"/>
        <w:numPr>
          <w:ilvl w:val="0"/>
          <w:numId w:val="2"/>
        </w:numPr>
        <w:jc w:val="both"/>
        <w:rPr>
          <w:rFonts w:ascii="Arial" w:hAnsi="Arial" w:cs="Arial"/>
          <w:lang w:val="es-ES"/>
        </w:rPr>
      </w:pPr>
      <w:r>
        <w:rPr>
          <w:rFonts w:ascii="Arial" w:hAnsi="Arial" w:cs="Arial"/>
          <w:lang w:val="es-ES"/>
        </w:rPr>
        <w:t xml:space="preserve">Una </w:t>
      </w:r>
      <w:r>
        <w:rPr>
          <w:rFonts w:ascii="Arial" w:hAnsi="Arial" w:cs="Arial"/>
          <w:b/>
          <w:bCs/>
          <w:u w:val="single"/>
          <w:lang w:val="es-ES"/>
        </w:rPr>
        <w:t>Reunión de Coordinación Abierta</w:t>
      </w:r>
      <w:r w:rsidRPr="00F66895">
        <w:rPr>
          <w:rFonts w:ascii="Arial" w:hAnsi="Arial" w:cs="Arial"/>
          <w:b/>
          <w:bCs/>
          <w:u w:val="single"/>
          <w:lang w:val="es-ES"/>
        </w:rPr>
        <w:t xml:space="preserve"> (</w:t>
      </w:r>
      <w:r>
        <w:rPr>
          <w:rFonts w:ascii="Arial" w:hAnsi="Arial" w:cs="Arial"/>
          <w:b/>
          <w:bCs/>
          <w:u w:val="single"/>
          <w:lang w:val="es-ES"/>
        </w:rPr>
        <w:t>RCA</w:t>
      </w:r>
      <w:r w:rsidRPr="00F66895">
        <w:rPr>
          <w:rFonts w:ascii="Arial" w:hAnsi="Arial" w:cs="Arial"/>
          <w:b/>
          <w:bCs/>
          <w:u w:val="single"/>
          <w:lang w:val="es-ES"/>
        </w:rPr>
        <w:t>)</w:t>
      </w:r>
      <w:r w:rsidRPr="00F66895">
        <w:rPr>
          <w:rFonts w:ascii="Arial" w:hAnsi="Arial" w:cs="Arial"/>
          <w:lang w:val="es-ES"/>
        </w:rPr>
        <w:t xml:space="preserve"> </w:t>
      </w:r>
      <w:r>
        <w:rPr>
          <w:rFonts w:ascii="Arial" w:hAnsi="Arial" w:cs="Arial"/>
          <w:lang w:val="es-ES"/>
        </w:rPr>
        <w:t>anual que reúna a tres personas por región tal y como se propuso en noviembre, de la que se encargará la RSCD y que estará abierta a todas las personas interesadas, debiendo correr cada persona con sus propios gastos</w:t>
      </w:r>
      <w:r w:rsidRPr="00F66895">
        <w:rPr>
          <w:rFonts w:ascii="Arial" w:hAnsi="Arial" w:cs="Arial"/>
          <w:lang w:val="es-ES"/>
        </w:rPr>
        <w:t xml:space="preserve">. </w:t>
      </w:r>
      <w:r>
        <w:rPr>
          <w:rFonts w:ascii="Arial" w:hAnsi="Arial" w:cs="Arial"/>
          <w:lang w:val="es-ES"/>
        </w:rPr>
        <w:t>La reunión podría celebrarse en Bruselas en combinación con</w:t>
      </w:r>
      <w:r w:rsidRPr="00F66895">
        <w:rPr>
          <w:rFonts w:ascii="Arial" w:hAnsi="Arial" w:cs="Arial"/>
          <w:lang w:val="es-ES"/>
        </w:rPr>
        <w:t xml:space="preserve"> </w:t>
      </w:r>
      <w:r>
        <w:rPr>
          <w:rFonts w:ascii="Arial" w:hAnsi="Arial" w:cs="Arial"/>
          <w:lang w:val="es-ES"/>
        </w:rPr>
        <w:t xml:space="preserve">el </w:t>
      </w:r>
      <w:r w:rsidRPr="003C1F7E">
        <w:rPr>
          <w:rFonts w:ascii="Arial" w:hAnsi="Arial" w:cs="Arial"/>
          <w:lang w:val="es-ES"/>
        </w:rPr>
        <w:t>FPD-UE (</w:t>
      </w:r>
      <w:r w:rsidRPr="00F66895">
        <w:rPr>
          <w:rFonts w:ascii="Arial" w:hAnsi="Arial" w:cs="Arial"/>
          <w:lang w:val="es-ES"/>
        </w:rPr>
        <w:t xml:space="preserve">30/09-2/10 </w:t>
      </w:r>
      <w:r>
        <w:rPr>
          <w:rFonts w:ascii="Arial" w:hAnsi="Arial" w:cs="Arial"/>
          <w:lang w:val="es-ES"/>
        </w:rPr>
        <w:t>para</w:t>
      </w:r>
      <w:r w:rsidRPr="00F66895">
        <w:rPr>
          <w:rFonts w:ascii="Arial" w:hAnsi="Arial" w:cs="Arial"/>
          <w:lang w:val="es-ES"/>
        </w:rPr>
        <w:t xml:space="preserve"> 2014).</w:t>
      </w:r>
    </w:p>
    <w:p w:rsidR="00FA4040" w:rsidRPr="00F66895" w:rsidRDefault="00FA4040" w:rsidP="00872116">
      <w:pPr>
        <w:pStyle w:val="ListParagraph"/>
        <w:numPr>
          <w:ilvl w:val="0"/>
          <w:numId w:val="2"/>
        </w:numPr>
        <w:jc w:val="both"/>
        <w:rPr>
          <w:rFonts w:ascii="Arial" w:hAnsi="Arial" w:cs="Arial"/>
          <w:lang w:val="es-ES"/>
        </w:rPr>
      </w:pPr>
      <w:r>
        <w:rPr>
          <w:rFonts w:ascii="Arial" w:hAnsi="Arial" w:cs="Arial"/>
          <w:lang w:val="es-ES"/>
        </w:rPr>
        <w:lastRenderedPageBreak/>
        <w:t>Un pequeño</w:t>
      </w:r>
      <w:r w:rsidRPr="00F66895">
        <w:rPr>
          <w:rFonts w:ascii="Arial" w:hAnsi="Arial" w:cs="Arial"/>
          <w:lang w:val="es-ES"/>
        </w:rPr>
        <w:t xml:space="preserve"> </w:t>
      </w:r>
      <w:r w:rsidRPr="00F66895">
        <w:rPr>
          <w:rFonts w:ascii="Arial" w:hAnsi="Arial" w:cs="Arial"/>
          <w:b/>
          <w:bCs/>
          <w:u w:val="single"/>
          <w:lang w:val="es-ES"/>
        </w:rPr>
        <w:t>G</w:t>
      </w:r>
      <w:r>
        <w:rPr>
          <w:rFonts w:ascii="Arial" w:hAnsi="Arial" w:cs="Arial"/>
          <w:b/>
          <w:bCs/>
          <w:u w:val="single"/>
          <w:lang w:val="es-ES"/>
        </w:rPr>
        <w:t>rupo de Gobernanza</w:t>
      </w:r>
      <w:r w:rsidRPr="00F66895">
        <w:rPr>
          <w:rFonts w:ascii="Arial" w:hAnsi="Arial" w:cs="Arial"/>
          <w:b/>
          <w:bCs/>
          <w:u w:val="single"/>
          <w:lang w:val="es-ES"/>
        </w:rPr>
        <w:t xml:space="preserve"> (GG)</w:t>
      </w:r>
      <w:r>
        <w:rPr>
          <w:rFonts w:ascii="Arial" w:hAnsi="Arial" w:cs="Arial"/>
          <w:lang w:val="es-ES"/>
        </w:rPr>
        <w:t xml:space="preserve"> de cinco personas</w:t>
      </w:r>
      <w:r w:rsidRPr="00F66895">
        <w:rPr>
          <w:rFonts w:ascii="Arial" w:hAnsi="Arial" w:cs="Arial"/>
          <w:lang w:val="es-ES"/>
        </w:rPr>
        <w:t xml:space="preserve"> (region</w:t>
      </w:r>
      <w:r>
        <w:rPr>
          <w:rFonts w:ascii="Arial" w:hAnsi="Arial" w:cs="Arial"/>
          <w:lang w:val="es-ES"/>
        </w:rPr>
        <w:t>e</w:t>
      </w:r>
      <w:r w:rsidRPr="00F66895">
        <w:rPr>
          <w:rFonts w:ascii="Arial" w:hAnsi="Arial" w:cs="Arial"/>
          <w:lang w:val="es-ES"/>
        </w:rPr>
        <w:t xml:space="preserve">s </w:t>
      </w:r>
      <w:r>
        <w:rPr>
          <w:rFonts w:ascii="Arial" w:hAnsi="Arial" w:cs="Arial"/>
          <w:lang w:val="es-ES"/>
        </w:rPr>
        <w:t xml:space="preserve">África, </w:t>
      </w:r>
      <w:r w:rsidRPr="00F66895">
        <w:rPr>
          <w:rFonts w:ascii="Arial" w:hAnsi="Arial" w:cs="Arial"/>
          <w:lang w:val="es-ES"/>
        </w:rPr>
        <w:t xml:space="preserve">AP, </w:t>
      </w:r>
      <w:r>
        <w:rPr>
          <w:rFonts w:ascii="Arial" w:hAnsi="Arial" w:cs="Arial"/>
          <w:lang w:val="es-ES"/>
        </w:rPr>
        <w:t>AL</w:t>
      </w:r>
      <w:r w:rsidRPr="00F66895">
        <w:rPr>
          <w:rFonts w:ascii="Arial" w:hAnsi="Arial" w:cs="Arial"/>
          <w:lang w:val="es-ES"/>
        </w:rPr>
        <w:t xml:space="preserve"> </w:t>
      </w:r>
      <w:r>
        <w:rPr>
          <w:rFonts w:ascii="Arial" w:hAnsi="Arial" w:cs="Arial"/>
          <w:lang w:val="es-ES"/>
        </w:rPr>
        <w:t>y</w:t>
      </w:r>
      <w:r w:rsidRPr="00F66895">
        <w:rPr>
          <w:rFonts w:ascii="Arial" w:hAnsi="Arial" w:cs="Arial"/>
          <w:lang w:val="es-ES"/>
        </w:rPr>
        <w:t xml:space="preserve"> </w:t>
      </w:r>
      <w:r>
        <w:rPr>
          <w:rFonts w:ascii="Arial" w:hAnsi="Arial" w:cs="Arial"/>
          <w:lang w:val="es-ES"/>
        </w:rPr>
        <w:t xml:space="preserve">UE/OCDE </w:t>
      </w:r>
      <w:r w:rsidRPr="00F66895">
        <w:rPr>
          <w:rFonts w:ascii="Arial" w:hAnsi="Arial" w:cs="Arial"/>
          <w:lang w:val="es-ES"/>
        </w:rPr>
        <w:t xml:space="preserve">+ </w:t>
      </w:r>
      <w:r>
        <w:rPr>
          <w:rFonts w:ascii="Arial" w:hAnsi="Arial" w:cs="Arial"/>
          <w:lang w:val="es-ES"/>
        </w:rPr>
        <w:t>FSI</w:t>
      </w:r>
      <w:r w:rsidRPr="00F66895">
        <w:rPr>
          <w:rFonts w:ascii="Arial" w:hAnsi="Arial" w:cs="Arial"/>
          <w:lang w:val="es-ES"/>
        </w:rPr>
        <w:t xml:space="preserve">) </w:t>
      </w:r>
      <w:r>
        <w:rPr>
          <w:rFonts w:ascii="Arial" w:hAnsi="Arial" w:cs="Arial"/>
          <w:lang w:val="es-ES"/>
        </w:rPr>
        <w:t>que pueda reunirse con el secretariado por videoconferencia o cara a cara, fácilmente y con un costo reducido.</w:t>
      </w:r>
    </w:p>
    <w:p w:rsidR="00FA4040" w:rsidRPr="00F66895" w:rsidRDefault="00FA4040" w:rsidP="00872116">
      <w:pPr>
        <w:jc w:val="both"/>
        <w:rPr>
          <w:rFonts w:ascii="Arial" w:hAnsi="Arial" w:cs="Arial"/>
          <w:lang w:val="es-ES"/>
        </w:rPr>
      </w:pPr>
      <w:r>
        <w:rPr>
          <w:rFonts w:ascii="Arial" w:hAnsi="Arial" w:cs="Arial"/>
          <w:lang w:val="es-ES"/>
        </w:rPr>
        <w:t xml:space="preserve">El mandato </w:t>
      </w:r>
      <w:r w:rsidRPr="00F66895">
        <w:rPr>
          <w:rFonts w:ascii="Arial" w:hAnsi="Arial" w:cs="Arial"/>
          <w:lang w:val="es-ES"/>
        </w:rPr>
        <w:t>(</w:t>
      </w:r>
      <w:r>
        <w:rPr>
          <w:rFonts w:ascii="Arial" w:hAnsi="Arial" w:cs="Arial"/>
          <w:lang w:val="es-ES"/>
        </w:rPr>
        <w:t xml:space="preserve">de la RCA y el </w:t>
      </w:r>
      <w:r w:rsidRPr="00F66895">
        <w:rPr>
          <w:rFonts w:ascii="Arial" w:hAnsi="Arial" w:cs="Arial"/>
          <w:lang w:val="es-ES"/>
        </w:rPr>
        <w:t xml:space="preserve">GG) </w:t>
      </w:r>
      <w:r>
        <w:rPr>
          <w:rFonts w:ascii="Arial" w:hAnsi="Arial" w:cs="Arial"/>
          <w:lang w:val="es-ES"/>
        </w:rPr>
        <w:t>sería parecido a las tareas actuales de asistir al secretariado en la organización del programa de la RSCD sobre asociaciones y apoyar el trabajo de promoción</w:t>
      </w:r>
      <w:r w:rsidRPr="00F66895">
        <w:rPr>
          <w:rStyle w:val="FootnoteReference"/>
          <w:rFonts w:ascii="Arial" w:hAnsi="Arial" w:cs="Arial"/>
          <w:lang w:val="es-ES"/>
        </w:rPr>
        <w:footnoteReference w:id="2"/>
      </w:r>
      <w:r w:rsidRPr="00F66895">
        <w:rPr>
          <w:rFonts w:ascii="Arial" w:hAnsi="Arial" w:cs="Arial"/>
          <w:lang w:val="es-ES"/>
        </w:rPr>
        <w:t>.</w:t>
      </w:r>
      <w:r>
        <w:rPr>
          <w:rFonts w:ascii="Arial" w:hAnsi="Arial" w:cs="Arial"/>
          <w:lang w:val="es-ES"/>
        </w:rPr>
        <w:t xml:space="preserve"> </w:t>
      </w:r>
    </w:p>
    <w:p w:rsidR="00FA4040" w:rsidRPr="00F66895" w:rsidRDefault="00FA4040" w:rsidP="00872116">
      <w:pPr>
        <w:jc w:val="both"/>
        <w:rPr>
          <w:rFonts w:ascii="Arial" w:hAnsi="Arial" w:cs="Arial"/>
          <w:lang w:val="es-ES"/>
        </w:rPr>
      </w:pPr>
      <w:r>
        <w:rPr>
          <w:rFonts w:ascii="Arial" w:hAnsi="Arial" w:cs="Arial"/>
          <w:lang w:val="es-ES"/>
        </w:rPr>
        <w:t>Una cuestión clave para el funcionamiento de la Red es el uso efectivo y el trabajo de cooperación que se tiene que realizar en línea (y, en casos imitados</w:t>
      </w:r>
      <w:r w:rsidRPr="00F66895">
        <w:rPr>
          <w:rFonts w:ascii="Arial" w:hAnsi="Arial" w:cs="Arial"/>
          <w:lang w:val="es-ES"/>
        </w:rPr>
        <w:t xml:space="preserve">, </w:t>
      </w:r>
      <w:r>
        <w:rPr>
          <w:rFonts w:ascii="Arial" w:hAnsi="Arial" w:cs="Arial"/>
          <w:lang w:val="es-ES"/>
        </w:rPr>
        <w:t>cara a cara</w:t>
      </w:r>
      <w:r w:rsidRPr="00F66895">
        <w:rPr>
          <w:rFonts w:ascii="Arial" w:hAnsi="Arial" w:cs="Arial"/>
          <w:lang w:val="es-ES"/>
        </w:rPr>
        <w:t xml:space="preserve">). </w:t>
      </w:r>
      <w:r>
        <w:rPr>
          <w:rFonts w:ascii="Arial" w:hAnsi="Arial" w:cs="Arial"/>
          <w:lang w:val="es-ES"/>
        </w:rPr>
        <w:t>Es por tanto crucial que todas las personas comprometidas con la Red y la Cooperación Sindical al Desarrollo participen en la labor de los grupos de trabajo en línea y garanticen aportes e intercambio de información a través de los canales en línea. El secretariado se asegurará de que las traducciones y las síntesis estén disponibles para facilitar la cooperación en los tres idiomas de trabajo.</w:t>
      </w:r>
      <w:r w:rsidRPr="00F66895">
        <w:rPr>
          <w:rFonts w:ascii="Arial" w:hAnsi="Arial" w:cs="Arial"/>
          <w:lang w:val="es-ES"/>
        </w:rPr>
        <w:t xml:space="preserve"> </w:t>
      </w:r>
    </w:p>
    <w:sectPr w:rsidR="00FA4040" w:rsidRPr="00F66895" w:rsidSect="009247B8">
      <w:footerReference w:type="default" r:id="rId9"/>
      <w:pgSz w:w="11906" w:h="16838"/>
      <w:pgMar w:top="1417"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0A" w:rsidRDefault="00B05E0A" w:rsidP="000711D1">
      <w:pPr>
        <w:spacing w:after="0" w:line="240" w:lineRule="auto"/>
      </w:pPr>
      <w:r>
        <w:separator/>
      </w:r>
    </w:p>
  </w:endnote>
  <w:endnote w:type="continuationSeparator" w:id="0">
    <w:p w:rsidR="00B05E0A" w:rsidRDefault="00B05E0A" w:rsidP="0007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D7" w:rsidRPr="005E79D7" w:rsidRDefault="005E79D7">
    <w:pPr>
      <w:pStyle w:val="Footer"/>
      <w:rPr>
        <w:color w:val="CC0000"/>
        <w:lang w:val="es-ES_tradnl"/>
      </w:rPr>
    </w:pPr>
    <w:r w:rsidRPr="005E79D7">
      <w:rPr>
        <w:color w:val="CC0000"/>
        <w:lang w:val="es-ES_tradnl"/>
      </w:rPr>
      <w:t>Documento de trabajo – Reunión General de la RSCD – Sao Paulo 18-20/03/14</w:t>
    </w:r>
  </w:p>
  <w:p w:rsidR="005E79D7" w:rsidRPr="005E79D7" w:rsidRDefault="005E79D7">
    <w:pPr>
      <w:pStyle w:val="Foo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0A" w:rsidRDefault="00B05E0A" w:rsidP="000711D1">
      <w:pPr>
        <w:spacing w:after="0" w:line="240" w:lineRule="auto"/>
      </w:pPr>
      <w:r>
        <w:separator/>
      </w:r>
    </w:p>
  </w:footnote>
  <w:footnote w:type="continuationSeparator" w:id="0">
    <w:p w:rsidR="00B05E0A" w:rsidRDefault="00B05E0A" w:rsidP="000711D1">
      <w:pPr>
        <w:spacing w:after="0" w:line="240" w:lineRule="auto"/>
      </w:pPr>
      <w:r>
        <w:continuationSeparator/>
      </w:r>
    </w:p>
  </w:footnote>
  <w:footnote w:id="1">
    <w:p w:rsidR="00FA4040" w:rsidRPr="000753E1" w:rsidRDefault="00FA4040">
      <w:pPr>
        <w:pStyle w:val="FootnoteText"/>
        <w:rPr>
          <w:lang w:val="es-ES_tradnl"/>
        </w:rPr>
      </w:pPr>
      <w:r w:rsidRPr="006B7FAB">
        <w:rPr>
          <w:rStyle w:val="FootnoteReference"/>
          <w:lang w:val="es-ES"/>
        </w:rPr>
        <w:footnoteRef/>
      </w:r>
      <w:r w:rsidRPr="006B7FAB">
        <w:rPr>
          <w:lang w:val="es-ES"/>
        </w:rPr>
        <w:t xml:space="preserve"> Ver documentos sobre estrategia de promoción incluyendo los grupos de trabajo </w:t>
      </w:r>
      <w:hyperlink r:id="rId1" w:history="1">
        <w:r w:rsidRPr="00BE5D96">
          <w:rPr>
            <w:rStyle w:val="Hyperlink"/>
            <w:lang w:val="es-ES"/>
          </w:rPr>
          <w:t>http://www.ituc-csi.org/documentos-de-referencia-13024?lang=es</w:t>
        </w:r>
      </w:hyperlink>
      <w:r>
        <w:rPr>
          <w:lang w:val="es-ES"/>
        </w:rPr>
        <w:t xml:space="preserve"> </w:t>
      </w:r>
    </w:p>
  </w:footnote>
  <w:footnote w:id="2">
    <w:p w:rsidR="00FA4040" w:rsidRPr="000753E1" w:rsidRDefault="00FA4040">
      <w:pPr>
        <w:pStyle w:val="FootnoteText"/>
        <w:rPr>
          <w:lang w:val="es-ES_tradnl"/>
        </w:rPr>
      </w:pPr>
      <w:r w:rsidRPr="006B7FAB">
        <w:rPr>
          <w:rStyle w:val="FootnoteReference"/>
          <w:lang w:val="es-ES"/>
        </w:rPr>
        <w:footnoteRef/>
      </w:r>
      <w:r w:rsidRPr="006B7FAB">
        <w:rPr>
          <w:lang w:val="es-ES"/>
        </w:rPr>
        <w:t xml:space="preserve"> </w:t>
      </w:r>
      <w:r>
        <w:rPr>
          <w:lang w:val="es-ES"/>
        </w:rPr>
        <w:t>La responsabilidad de la gestión administrativa de cara a la UE sigue residiendo en la CSI como parte contratante de la Comisión de la UE</w:t>
      </w:r>
      <w:r w:rsidRPr="006B7FAB">
        <w:rPr>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96F52"/>
    <w:multiLevelType w:val="hybridMultilevel"/>
    <w:tmpl w:val="BEDEF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726B357E"/>
    <w:multiLevelType w:val="hybridMultilevel"/>
    <w:tmpl w:val="A63E34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49"/>
    <w:rsid w:val="0003081A"/>
    <w:rsid w:val="000711D1"/>
    <w:rsid w:val="000753E1"/>
    <w:rsid w:val="000B73BC"/>
    <w:rsid w:val="00143686"/>
    <w:rsid w:val="001541DD"/>
    <w:rsid w:val="00165EB1"/>
    <w:rsid w:val="00183355"/>
    <w:rsid w:val="001E46B1"/>
    <w:rsid w:val="0024262F"/>
    <w:rsid w:val="00292885"/>
    <w:rsid w:val="002C2213"/>
    <w:rsid w:val="002E1249"/>
    <w:rsid w:val="00312EB3"/>
    <w:rsid w:val="00325D64"/>
    <w:rsid w:val="003273AC"/>
    <w:rsid w:val="00352A33"/>
    <w:rsid w:val="003C1F7E"/>
    <w:rsid w:val="00410783"/>
    <w:rsid w:val="004A4641"/>
    <w:rsid w:val="005E79D7"/>
    <w:rsid w:val="005F725B"/>
    <w:rsid w:val="00656AD6"/>
    <w:rsid w:val="006B6A22"/>
    <w:rsid w:val="006B7FAB"/>
    <w:rsid w:val="006F46F8"/>
    <w:rsid w:val="00795918"/>
    <w:rsid w:val="007E699B"/>
    <w:rsid w:val="008622AA"/>
    <w:rsid w:val="00872116"/>
    <w:rsid w:val="00873E9A"/>
    <w:rsid w:val="0087639A"/>
    <w:rsid w:val="008B6CB0"/>
    <w:rsid w:val="009247B8"/>
    <w:rsid w:val="00925514"/>
    <w:rsid w:val="009467E9"/>
    <w:rsid w:val="00947CD2"/>
    <w:rsid w:val="00981B2B"/>
    <w:rsid w:val="009B7B55"/>
    <w:rsid w:val="00A50805"/>
    <w:rsid w:val="00A75F57"/>
    <w:rsid w:val="00AD0501"/>
    <w:rsid w:val="00AE4D2F"/>
    <w:rsid w:val="00B02685"/>
    <w:rsid w:val="00B05E0A"/>
    <w:rsid w:val="00BC5AE6"/>
    <w:rsid w:val="00BE5D96"/>
    <w:rsid w:val="00C11EDA"/>
    <w:rsid w:val="00CD3D96"/>
    <w:rsid w:val="00D42F62"/>
    <w:rsid w:val="00D87CC9"/>
    <w:rsid w:val="00DE66ED"/>
    <w:rsid w:val="00DF4D5D"/>
    <w:rsid w:val="00E02296"/>
    <w:rsid w:val="00E937B9"/>
    <w:rsid w:val="00F37E93"/>
    <w:rsid w:val="00F65D6D"/>
    <w:rsid w:val="00F66895"/>
    <w:rsid w:val="00FA40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33"/>
    <w:pPr>
      <w:spacing w:after="200" w:line="276"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249"/>
    <w:pPr>
      <w:ind w:left="720"/>
    </w:pPr>
  </w:style>
  <w:style w:type="paragraph" w:styleId="FootnoteText">
    <w:name w:val="footnote text"/>
    <w:basedOn w:val="Normal"/>
    <w:link w:val="FootnoteTextChar"/>
    <w:uiPriority w:val="99"/>
    <w:semiHidden/>
    <w:rsid w:val="00071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1D1"/>
    <w:rPr>
      <w:sz w:val="20"/>
      <w:szCs w:val="20"/>
    </w:rPr>
  </w:style>
  <w:style w:type="character" w:styleId="FootnoteReference">
    <w:name w:val="footnote reference"/>
    <w:basedOn w:val="DefaultParagraphFont"/>
    <w:uiPriority w:val="99"/>
    <w:semiHidden/>
    <w:rsid w:val="000711D1"/>
    <w:rPr>
      <w:vertAlign w:val="superscript"/>
    </w:rPr>
  </w:style>
  <w:style w:type="character" w:styleId="Hyperlink">
    <w:name w:val="Hyperlink"/>
    <w:basedOn w:val="DefaultParagraphFont"/>
    <w:uiPriority w:val="99"/>
    <w:rsid w:val="000711D1"/>
    <w:rPr>
      <w:color w:val="0000FF"/>
      <w:u w:val="single"/>
    </w:rPr>
  </w:style>
  <w:style w:type="character" w:styleId="FollowedHyperlink">
    <w:name w:val="FollowedHyperlink"/>
    <w:basedOn w:val="DefaultParagraphFont"/>
    <w:uiPriority w:val="99"/>
    <w:rsid w:val="00A50805"/>
    <w:rPr>
      <w:color w:val="800080"/>
      <w:u w:val="single"/>
    </w:rPr>
  </w:style>
  <w:style w:type="paragraph" w:styleId="Header">
    <w:name w:val="header"/>
    <w:basedOn w:val="Normal"/>
    <w:link w:val="HeaderChar"/>
    <w:uiPriority w:val="99"/>
    <w:unhideWhenUsed/>
    <w:rsid w:val="005E7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9D7"/>
    <w:rPr>
      <w:rFonts w:cs="Calibri"/>
      <w:lang w:val="en-GB" w:eastAsia="en-US"/>
    </w:rPr>
  </w:style>
  <w:style w:type="paragraph" w:styleId="Footer">
    <w:name w:val="footer"/>
    <w:basedOn w:val="Normal"/>
    <w:link w:val="FooterChar"/>
    <w:uiPriority w:val="99"/>
    <w:unhideWhenUsed/>
    <w:rsid w:val="005E7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9D7"/>
    <w:rPr>
      <w:rFonts w:cs="Calibri"/>
      <w:lang w:val="en-GB" w:eastAsia="en-US"/>
    </w:rPr>
  </w:style>
  <w:style w:type="paragraph" w:styleId="BalloonText">
    <w:name w:val="Balloon Text"/>
    <w:basedOn w:val="Normal"/>
    <w:link w:val="BalloonTextChar"/>
    <w:uiPriority w:val="99"/>
    <w:semiHidden/>
    <w:unhideWhenUsed/>
    <w:rsid w:val="005E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9D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33"/>
    <w:pPr>
      <w:spacing w:after="200" w:line="276"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249"/>
    <w:pPr>
      <w:ind w:left="720"/>
    </w:pPr>
  </w:style>
  <w:style w:type="paragraph" w:styleId="FootnoteText">
    <w:name w:val="footnote text"/>
    <w:basedOn w:val="Normal"/>
    <w:link w:val="FootnoteTextChar"/>
    <w:uiPriority w:val="99"/>
    <w:semiHidden/>
    <w:rsid w:val="00071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1D1"/>
    <w:rPr>
      <w:sz w:val="20"/>
      <w:szCs w:val="20"/>
    </w:rPr>
  </w:style>
  <w:style w:type="character" w:styleId="FootnoteReference">
    <w:name w:val="footnote reference"/>
    <w:basedOn w:val="DefaultParagraphFont"/>
    <w:uiPriority w:val="99"/>
    <w:semiHidden/>
    <w:rsid w:val="000711D1"/>
    <w:rPr>
      <w:vertAlign w:val="superscript"/>
    </w:rPr>
  </w:style>
  <w:style w:type="character" w:styleId="Hyperlink">
    <w:name w:val="Hyperlink"/>
    <w:basedOn w:val="DefaultParagraphFont"/>
    <w:uiPriority w:val="99"/>
    <w:rsid w:val="000711D1"/>
    <w:rPr>
      <w:color w:val="0000FF"/>
      <w:u w:val="single"/>
    </w:rPr>
  </w:style>
  <w:style w:type="character" w:styleId="FollowedHyperlink">
    <w:name w:val="FollowedHyperlink"/>
    <w:basedOn w:val="DefaultParagraphFont"/>
    <w:uiPriority w:val="99"/>
    <w:rsid w:val="00A50805"/>
    <w:rPr>
      <w:color w:val="800080"/>
      <w:u w:val="single"/>
    </w:rPr>
  </w:style>
  <w:style w:type="paragraph" w:styleId="Header">
    <w:name w:val="header"/>
    <w:basedOn w:val="Normal"/>
    <w:link w:val="HeaderChar"/>
    <w:uiPriority w:val="99"/>
    <w:unhideWhenUsed/>
    <w:rsid w:val="005E7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9D7"/>
    <w:rPr>
      <w:rFonts w:cs="Calibri"/>
      <w:lang w:val="en-GB" w:eastAsia="en-US"/>
    </w:rPr>
  </w:style>
  <w:style w:type="paragraph" w:styleId="Footer">
    <w:name w:val="footer"/>
    <w:basedOn w:val="Normal"/>
    <w:link w:val="FooterChar"/>
    <w:uiPriority w:val="99"/>
    <w:unhideWhenUsed/>
    <w:rsid w:val="005E7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9D7"/>
    <w:rPr>
      <w:rFonts w:cs="Calibri"/>
      <w:lang w:val="en-GB" w:eastAsia="en-US"/>
    </w:rPr>
  </w:style>
  <w:style w:type="paragraph" w:styleId="BalloonText">
    <w:name w:val="Balloon Text"/>
    <w:basedOn w:val="Normal"/>
    <w:link w:val="BalloonTextChar"/>
    <w:uiPriority w:val="99"/>
    <w:semiHidden/>
    <w:unhideWhenUsed/>
    <w:rsid w:val="005E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9D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documentos-de-referencia-13024?l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2780</Characters>
  <Application>Microsoft Office Word</Application>
  <DocSecurity>0</DocSecurity>
  <Lines>23</Lines>
  <Paragraphs>6</Paragraphs>
  <ScaleCrop>false</ScaleCrop>
  <Company>International Trade Union Confederation</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MANDATE/FUNCTIONING AND COMPOSITION OF THE FSG</dc:title>
  <dc:creator>Dereymaeker, Jan</dc:creator>
  <cp:lastModifiedBy>Marion Levillain</cp:lastModifiedBy>
  <cp:revision>3</cp:revision>
  <dcterms:created xsi:type="dcterms:W3CDTF">2014-03-14T12:10:00Z</dcterms:created>
  <dcterms:modified xsi:type="dcterms:W3CDTF">2014-03-14T12:11:00Z</dcterms:modified>
</cp:coreProperties>
</file>