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0F" w:rsidRPr="00A71C0F" w:rsidRDefault="00ED1856" w:rsidP="00A635A2">
      <w:pPr>
        <w:spacing w:after="0" w:line="280" w:lineRule="auto"/>
        <w:rPr>
          <w:color w:val="104777"/>
          <w:sz w:val="24"/>
          <w:lang w:val="en-GB"/>
        </w:rPr>
      </w:pPr>
      <w:r w:rsidRPr="00A635A2">
        <w:rPr>
          <w:color w:val="104777"/>
          <w:sz w:val="24"/>
          <w:lang w:val="fr-BE"/>
        </w:rPr>
        <w:t>OCM septembre 2014</w:t>
      </w:r>
      <w:r w:rsidR="00A71C0F" w:rsidRPr="00A71C0F">
        <w:rPr>
          <w:color w:val="104777"/>
          <w:sz w:val="24"/>
          <w:lang w:val="en-GB"/>
        </w:rPr>
        <w:t xml:space="preserve"> </w:t>
      </w:r>
    </w:p>
    <w:p w:rsidR="00A71C0F" w:rsidRPr="00A71C0F" w:rsidRDefault="00ED1856" w:rsidP="00A635A2">
      <w:pPr>
        <w:spacing w:after="0" w:line="280" w:lineRule="auto"/>
        <w:rPr>
          <w:color w:val="104777"/>
          <w:sz w:val="24"/>
          <w:lang w:val="en-GB"/>
        </w:rPr>
      </w:pPr>
      <w:r w:rsidRPr="00A635A2">
        <w:rPr>
          <w:color w:val="104777"/>
          <w:sz w:val="24"/>
          <w:lang w:val="fr-BE"/>
        </w:rPr>
        <w:t>Document de discussion</w:t>
      </w:r>
    </w:p>
    <w:p w:rsidR="00A71C0F" w:rsidRDefault="00A71C0F" w:rsidP="00A71C0F">
      <w:pPr>
        <w:spacing w:after="0"/>
        <w:rPr>
          <w:b/>
          <w:color w:val="A70336"/>
          <w:sz w:val="32"/>
          <w:lang w:val="en-GB"/>
        </w:rPr>
      </w:pPr>
    </w:p>
    <w:p w:rsidR="00A71C0F" w:rsidRDefault="00A71C0F" w:rsidP="00A71C0F">
      <w:pPr>
        <w:spacing w:after="0"/>
        <w:jc w:val="center"/>
        <w:rPr>
          <w:b/>
          <w:color w:val="A70336"/>
          <w:sz w:val="32"/>
          <w:lang w:val="en-GB"/>
        </w:rPr>
      </w:pPr>
    </w:p>
    <w:p w:rsidR="00A71C0F" w:rsidRPr="00A71C0F" w:rsidRDefault="00ED1856" w:rsidP="00325660">
      <w:pPr>
        <w:spacing w:after="0" w:line="280" w:lineRule="auto"/>
        <w:jc w:val="center"/>
        <w:rPr>
          <w:b/>
          <w:color w:val="A70336"/>
          <w:sz w:val="32"/>
          <w:lang w:val="en-GB"/>
        </w:rPr>
      </w:pPr>
      <w:r w:rsidRPr="00325660">
        <w:rPr>
          <w:b/>
          <w:color w:val="A70336"/>
          <w:sz w:val="32"/>
          <w:lang w:val="fr-BE"/>
        </w:rPr>
        <w:t xml:space="preserve">LE DIALOGUE SOCIAL </w:t>
      </w:r>
      <w:r w:rsidR="00325660" w:rsidRPr="00325660">
        <w:rPr>
          <w:b/>
          <w:color w:val="A70336"/>
          <w:sz w:val="32"/>
          <w:lang w:val="fr-BE"/>
        </w:rPr>
        <w:t>POUR LE</w:t>
      </w:r>
      <w:r w:rsidRPr="00325660">
        <w:rPr>
          <w:b/>
          <w:color w:val="A70336"/>
          <w:sz w:val="32"/>
          <w:lang w:val="fr-BE"/>
        </w:rPr>
        <w:t xml:space="preserve"> DÉVELOPPEMENT</w:t>
      </w:r>
    </w:p>
    <w:p w:rsidR="00A71C0F" w:rsidRPr="00A71C0F" w:rsidRDefault="00A635A2" w:rsidP="00325660">
      <w:pPr>
        <w:spacing w:after="120" w:line="280" w:lineRule="auto"/>
        <w:jc w:val="center"/>
        <w:rPr>
          <w:color w:val="A70336"/>
          <w:sz w:val="28"/>
          <w:lang w:val="en-GB"/>
        </w:rPr>
      </w:pPr>
      <w:r w:rsidRPr="00325660">
        <w:rPr>
          <w:color w:val="A70336"/>
          <w:sz w:val="28"/>
          <w:lang w:val="fr-BE"/>
        </w:rPr>
        <w:t>T</w:t>
      </w:r>
      <w:r w:rsidR="00ED1856" w:rsidRPr="00325660">
        <w:rPr>
          <w:color w:val="A70336"/>
          <w:sz w:val="28"/>
          <w:lang w:val="fr-BE"/>
        </w:rPr>
        <w:t xml:space="preserve">R pour une recherche </w:t>
      </w:r>
      <w:r w:rsidRPr="00325660">
        <w:rPr>
          <w:color w:val="A70336"/>
          <w:sz w:val="28"/>
          <w:lang w:val="fr-BE"/>
        </w:rPr>
        <w:t>axée</w:t>
      </w:r>
      <w:r w:rsidR="00325660">
        <w:rPr>
          <w:color w:val="A70336"/>
          <w:sz w:val="28"/>
          <w:lang w:val="fr-BE"/>
        </w:rPr>
        <w:t xml:space="preserve"> sur d</w:t>
      </w:r>
      <w:r w:rsidR="00ED1856" w:rsidRPr="00325660">
        <w:rPr>
          <w:color w:val="A70336"/>
          <w:sz w:val="28"/>
          <w:lang w:val="fr-BE"/>
        </w:rPr>
        <w:t>es preuves</w:t>
      </w:r>
    </w:p>
    <w:p w:rsidR="00A71C0F" w:rsidRPr="00E65C42" w:rsidRDefault="00B55C5F" w:rsidP="00D734A7">
      <w:pPr>
        <w:spacing w:after="120" w:line="280" w:lineRule="auto"/>
        <w:jc w:val="center"/>
        <w:rPr>
          <w:b/>
          <w:sz w:val="40"/>
          <w:u w:val="single"/>
          <w:lang w:val="en-GB"/>
        </w:rPr>
      </w:pPr>
      <w:r>
        <w:rPr>
          <w:b/>
          <w:sz w:val="44"/>
          <w:szCs w:val="44"/>
        </w:rPr>
        <w:br/>
      </w:r>
      <w:r>
        <w:rPr>
          <w:rFonts w:ascii="KlavikaRegular-OSF" w:hAnsi="KlavikaRegular-OSF"/>
        </w:rPr>
        <w:br/>
      </w:r>
      <w:r w:rsidR="00ED1856" w:rsidRPr="00D734A7">
        <w:rPr>
          <w:b/>
          <w:sz w:val="40"/>
          <w:u w:val="single"/>
          <w:lang w:val="fr-BE"/>
        </w:rPr>
        <w:t xml:space="preserve">La pertinence du dialogue social </w:t>
      </w:r>
      <w:r w:rsidR="00D734A7">
        <w:rPr>
          <w:b/>
          <w:sz w:val="40"/>
          <w:u w:val="single"/>
          <w:lang w:val="fr-BE"/>
        </w:rPr>
        <w:t>pour le</w:t>
      </w:r>
      <w:r w:rsidR="00ED1856" w:rsidRPr="00D734A7">
        <w:rPr>
          <w:b/>
          <w:sz w:val="40"/>
          <w:u w:val="single"/>
          <w:lang w:val="fr-BE"/>
        </w:rPr>
        <w:t xml:space="preserve"> développement</w:t>
      </w:r>
    </w:p>
    <w:p w:rsidR="00A71C0F" w:rsidRPr="00A42EEF" w:rsidRDefault="00ED1856" w:rsidP="00D734A7">
      <w:pPr>
        <w:spacing w:after="120" w:line="280" w:lineRule="auto"/>
        <w:rPr>
          <w:b/>
          <w:sz w:val="24"/>
          <w:u w:val="single"/>
          <w:lang w:val="en-GB"/>
        </w:rPr>
      </w:pPr>
      <w:r w:rsidRPr="00D734A7">
        <w:rPr>
          <w:b/>
          <w:sz w:val="24"/>
          <w:u w:val="single"/>
          <w:lang w:val="fr-BE"/>
        </w:rPr>
        <w:t>CONTEXTE</w:t>
      </w:r>
    </w:p>
    <w:p w:rsidR="00A71C0F" w:rsidRDefault="00ED1856" w:rsidP="00D734A7">
      <w:pPr>
        <w:pStyle w:val="Prrafodelista"/>
        <w:numPr>
          <w:ilvl w:val="0"/>
          <w:numId w:val="3"/>
        </w:numPr>
        <w:spacing w:after="120" w:line="280" w:lineRule="auto"/>
        <w:rPr>
          <w:lang w:val="en-GB"/>
        </w:rPr>
      </w:pPr>
      <w:r w:rsidRPr="00D734A7">
        <w:rPr>
          <w:lang w:val="fr-BE"/>
        </w:rPr>
        <w:t xml:space="preserve">L’objectif permanent du mouvement syndical d’intégrer l’AFD aux politiques et stratégies de développement, pour accroître l’inclusion sociale et économique et combattre les inégalités </w:t>
      </w:r>
    </w:p>
    <w:p w:rsidR="00A71C0F" w:rsidRDefault="005551A7" w:rsidP="00D734A7">
      <w:pPr>
        <w:pStyle w:val="Prrafodelista"/>
        <w:numPr>
          <w:ilvl w:val="0"/>
          <w:numId w:val="3"/>
        </w:numPr>
        <w:spacing w:after="120" w:line="280" w:lineRule="auto"/>
        <w:rPr>
          <w:lang w:val="en-GB"/>
        </w:rPr>
      </w:pPr>
      <w:r w:rsidRPr="00D734A7">
        <w:rPr>
          <w:lang w:val="fr-BE"/>
        </w:rPr>
        <w:t>La priorité croissante/unanime accordée au « secteur privé » dans les enjeux du développement par les gouvernements et les institutions internationales</w:t>
      </w:r>
      <w:r w:rsidR="002E6E54">
        <w:rPr>
          <w:lang w:val="fr-BE"/>
        </w:rPr>
        <w:t xml:space="preserve"> </w:t>
      </w:r>
    </w:p>
    <w:p w:rsidR="00A71C0F" w:rsidRDefault="005551A7" w:rsidP="00D734A7">
      <w:pPr>
        <w:pStyle w:val="Prrafodelista"/>
        <w:numPr>
          <w:ilvl w:val="0"/>
          <w:numId w:val="3"/>
        </w:numPr>
        <w:spacing w:after="120" w:line="280" w:lineRule="auto"/>
        <w:rPr>
          <w:lang w:val="en-GB"/>
        </w:rPr>
      </w:pPr>
      <w:r w:rsidRPr="00D734A7">
        <w:rPr>
          <w:lang w:val="fr-BE"/>
        </w:rPr>
        <w:t>L’importance du DD en tant qu’enjeu de « gouvernance » (au même titre que la politique économique et l’inspection du travail)</w:t>
      </w:r>
    </w:p>
    <w:p w:rsidR="00A71C0F" w:rsidRPr="00A42EEF" w:rsidRDefault="005551A7" w:rsidP="00D734A7">
      <w:pPr>
        <w:pStyle w:val="Prrafodelista"/>
        <w:numPr>
          <w:ilvl w:val="0"/>
          <w:numId w:val="3"/>
        </w:numPr>
        <w:spacing w:after="120" w:line="280" w:lineRule="auto"/>
        <w:rPr>
          <w:lang w:val="en-GB"/>
        </w:rPr>
      </w:pPr>
      <w:r w:rsidRPr="00D734A7">
        <w:rPr>
          <w:lang w:val="fr-BE"/>
        </w:rPr>
        <w:t>La Commission européenne élabore des mesures dans ce domaine (voir document de la CE)</w:t>
      </w:r>
    </w:p>
    <w:p w:rsidR="00A71C0F" w:rsidRPr="002B5120" w:rsidRDefault="005551A7" w:rsidP="00D734A7">
      <w:pPr>
        <w:spacing w:after="120" w:line="280" w:lineRule="auto"/>
        <w:rPr>
          <w:b/>
          <w:sz w:val="24"/>
          <w:u w:val="single"/>
          <w:lang w:val="en-GB"/>
        </w:rPr>
      </w:pPr>
      <w:r w:rsidRPr="00D734A7">
        <w:rPr>
          <w:b/>
          <w:sz w:val="24"/>
          <w:u w:val="single"/>
          <w:lang w:val="fr-BE"/>
        </w:rPr>
        <w:t xml:space="preserve">LA PERTINENCE DU DIALOGUE SOCIAL POUR L’AGENDA DE DÉVELOPPEMENT AU SENS LARGE </w:t>
      </w:r>
    </w:p>
    <w:p w:rsidR="00A71C0F" w:rsidRPr="00FF2515" w:rsidRDefault="005551A7" w:rsidP="00D734A7">
      <w:pPr>
        <w:pStyle w:val="Prrafodelista"/>
        <w:numPr>
          <w:ilvl w:val="0"/>
          <w:numId w:val="4"/>
        </w:numPr>
        <w:spacing w:line="280" w:lineRule="auto"/>
        <w:ind w:left="360"/>
        <w:rPr>
          <w:lang w:val="en-GB"/>
        </w:rPr>
      </w:pPr>
      <w:r w:rsidRPr="00D734A7">
        <w:rPr>
          <w:lang w:val="fr-BE"/>
        </w:rPr>
        <w:t>L’</w:t>
      </w:r>
      <w:r w:rsidRPr="00D734A7">
        <w:rPr>
          <w:b/>
          <w:lang w:val="fr-BE"/>
        </w:rPr>
        <w:t>agenda de la gouvernance et l’appropriation démocratique</w:t>
      </w:r>
    </w:p>
    <w:p w:rsidR="00A71C0F" w:rsidRDefault="005551A7" w:rsidP="00D734A7">
      <w:pPr>
        <w:pStyle w:val="Prrafodelista"/>
        <w:spacing w:line="280" w:lineRule="auto"/>
        <w:ind w:left="360"/>
        <w:rPr>
          <w:i/>
          <w:lang w:val="en-GB"/>
        </w:rPr>
      </w:pPr>
      <w:r w:rsidRPr="00D734A7">
        <w:rPr>
          <w:i/>
          <w:lang w:val="fr-BE"/>
        </w:rPr>
        <w:t>L’OIT souligne l’importance des instruments de « gouvernance » pour la mise en œuvre des politiques (de développement) économiques et sociales</w:t>
      </w:r>
      <w:r w:rsidRPr="00D734A7">
        <w:rPr>
          <w:rStyle w:val="Refdenotaalpie"/>
          <w:i/>
          <w:lang w:val="fr-BE"/>
        </w:rPr>
        <w:footnoteReference w:id="1"/>
      </w:r>
      <w:r w:rsidRPr="00D734A7">
        <w:rPr>
          <w:i/>
          <w:lang w:val="fr-BE"/>
        </w:rPr>
        <w:t>.</w:t>
      </w:r>
      <w:r w:rsidR="002E6E54">
        <w:rPr>
          <w:i/>
          <w:lang w:val="en-GB"/>
        </w:rPr>
        <w:t xml:space="preserve"> </w:t>
      </w:r>
      <w:r w:rsidRPr="00D734A7">
        <w:rPr>
          <w:i/>
          <w:lang w:val="fr-BE"/>
        </w:rPr>
        <w:t xml:space="preserve">Le dialogue social </w:t>
      </w:r>
      <w:r w:rsidR="005A21D0" w:rsidRPr="00D734A7">
        <w:rPr>
          <w:i/>
          <w:lang w:val="fr-BE"/>
        </w:rPr>
        <w:t>fait partie des</w:t>
      </w:r>
      <w:r w:rsidRPr="00D734A7">
        <w:rPr>
          <w:i/>
          <w:lang w:val="fr-BE"/>
        </w:rPr>
        <w:t xml:space="preserve"> </w:t>
      </w:r>
      <w:r w:rsidR="005A21D0" w:rsidRPr="00D734A7">
        <w:rPr>
          <w:i/>
          <w:lang w:val="fr-BE"/>
        </w:rPr>
        <w:t>trois</w:t>
      </w:r>
      <w:r w:rsidRPr="00D734A7">
        <w:rPr>
          <w:i/>
          <w:lang w:val="fr-BE"/>
        </w:rPr>
        <w:t xml:space="preserve"> instruments-clés (</w:t>
      </w:r>
      <w:r w:rsidR="005A21D0" w:rsidRPr="00D734A7">
        <w:rPr>
          <w:i/>
          <w:lang w:val="fr-BE"/>
        </w:rPr>
        <w:t>les deux autres étant</w:t>
      </w:r>
      <w:r w:rsidRPr="00D734A7">
        <w:rPr>
          <w:i/>
          <w:lang w:val="fr-BE"/>
        </w:rPr>
        <w:t xml:space="preserve"> l’inspection du travail et la politique économique).</w:t>
      </w:r>
      <w:r w:rsidR="00A71C0F" w:rsidRPr="004152F4">
        <w:rPr>
          <w:i/>
          <w:lang w:val="en-GB"/>
        </w:rPr>
        <w:t xml:space="preserve"> </w:t>
      </w:r>
      <w:r w:rsidR="005A21D0" w:rsidRPr="00D734A7">
        <w:rPr>
          <w:i/>
          <w:lang w:val="fr-BE"/>
        </w:rPr>
        <w:t>Dans le cadre des débats sur la politique en matière de développement, la gouvernance tend souvent à être confinée aux enjeux « gouvernementaux » traditionnels comme l’état de droit, les élections et la démocratie formelle, le contrôle budgétaire, la lutte contre la corruption ou les droits politiques, notamment.</w:t>
      </w:r>
      <w:r w:rsidR="002E6E54">
        <w:rPr>
          <w:i/>
          <w:lang w:val="fr-BE"/>
        </w:rPr>
        <w:t xml:space="preserve"> </w:t>
      </w:r>
      <w:r w:rsidR="005A21D0" w:rsidRPr="00D734A7">
        <w:rPr>
          <w:i/>
          <w:lang w:val="fr-BE"/>
        </w:rPr>
        <w:t>Pour être viables, les stratégies de développement devraient aussi s’attaquer à la gouvernance sociale et économique et, à cette fin, inclure l’ensemble des acteurs économiques et sociaux.</w:t>
      </w:r>
      <w:r w:rsidR="00A71C0F" w:rsidRPr="004152F4">
        <w:rPr>
          <w:i/>
          <w:lang w:val="en-GB"/>
        </w:rPr>
        <w:t xml:space="preserve"> </w:t>
      </w:r>
      <w:r w:rsidR="005A21D0" w:rsidRPr="00D734A7">
        <w:rPr>
          <w:i/>
          <w:lang w:val="fr-BE"/>
        </w:rPr>
        <w:t>Les politiques de développement devraient se fonder sur l’appropriation démocratique effective (déclarations de Paris, Accra et Busan).</w:t>
      </w:r>
      <w:r w:rsidR="002E6E54">
        <w:rPr>
          <w:i/>
          <w:lang w:val="fr-BE"/>
        </w:rPr>
        <w:t xml:space="preserve"> </w:t>
      </w:r>
      <w:r w:rsidR="005A21D0" w:rsidRPr="00D734A7">
        <w:rPr>
          <w:i/>
          <w:lang w:val="fr-BE"/>
        </w:rPr>
        <w:t xml:space="preserve">Le dialogue social est l’un des instruments les plus </w:t>
      </w:r>
      <w:r w:rsidR="00A635A2" w:rsidRPr="00D734A7">
        <w:rPr>
          <w:i/>
          <w:lang w:val="fr-BE"/>
        </w:rPr>
        <w:t>efficaces</w:t>
      </w:r>
      <w:r w:rsidR="005A21D0" w:rsidRPr="00D734A7">
        <w:rPr>
          <w:i/>
          <w:lang w:val="fr-BE"/>
        </w:rPr>
        <w:t xml:space="preserve"> pour garantir l’appropriation du développement économique et social par les protagonistes économiques et sociaux eux-mêmes.</w:t>
      </w:r>
      <w:r w:rsidR="002E6E54">
        <w:rPr>
          <w:i/>
          <w:lang w:val="fr-BE"/>
        </w:rPr>
        <w:t xml:space="preserve"> </w:t>
      </w:r>
    </w:p>
    <w:p w:rsidR="00A71C0F" w:rsidRPr="007C05DC" w:rsidRDefault="005A21D0" w:rsidP="00D734A7">
      <w:pPr>
        <w:pStyle w:val="Prrafodelista"/>
        <w:numPr>
          <w:ilvl w:val="0"/>
          <w:numId w:val="4"/>
        </w:numPr>
        <w:spacing w:line="280" w:lineRule="auto"/>
        <w:ind w:left="360"/>
        <w:rPr>
          <w:lang w:val="en-GB"/>
        </w:rPr>
      </w:pPr>
      <w:r w:rsidRPr="00D734A7">
        <w:rPr>
          <w:b/>
          <w:lang w:val="fr-BE"/>
        </w:rPr>
        <w:t>L’ « agenda de la croissance » :</w:t>
      </w:r>
      <w:r w:rsidR="00A71C0F" w:rsidRPr="00DC4542">
        <w:rPr>
          <w:b/>
          <w:lang w:val="en-GB"/>
        </w:rPr>
        <w:t xml:space="preserve"> </w:t>
      </w:r>
      <w:r w:rsidRPr="00D734A7">
        <w:rPr>
          <w:b/>
          <w:lang w:val="fr-BE"/>
        </w:rPr>
        <w:t>Consolidation des politiques de l’emploi, sociales et économiques :</w:t>
      </w:r>
      <w:r w:rsidR="002E6E54">
        <w:rPr>
          <w:b/>
          <w:lang w:val="fr-BE"/>
        </w:rPr>
        <w:t xml:space="preserve"> </w:t>
      </w:r>
    </w:p>
    <w:p w:rsidR="00A71C0F" w:rsidRDefault="005A21D0" w:rsidP="00D734A7">
      <w:pPr>
        <w:pStyle w:val="Prrafodelista"/>
        <w:spacing w:line="280" w:lineRule="auto"/>
        <w:ind w:left="360"/>
        <w:rPr>
          <w:i/>
          <w:lang w:val="en-GB"/>
        </w:rPr>
      </w:pPr>
      <w:r w:rsidRPr="00D734A7">
        <w:rPr>
          <w:i/>
          <w:lang w:val="fr-BE"/>
        </w:rPr>
        <w:t>La prééminence actuellement accordée au secteur « privé » fait que la gouvernance économique soit perçue comme une « main invisible » ou, au mieux, comme une question relevant de l’autorégulation du secteur privé lui-même.</w:t>
      </w:r>
      <w:r w:rsidR="002E6E54">
        <w:rPr>
          <w:i/>
          <w:lang w:val="fr-BE"/>
        </w:rPr>
        <w:t xml:space="preserve"> </w:t>
      </w:r>
      <w:r w:rsidRPr="00D734A7">
        <w:rPr>
          <w:i/>
          <w:lang w:val="fr-BE"/>
        </w:rPr>
        <w:t xml:space="preserve">Comme il est reconnu dans la déclaration de Busan (art 32 a) ff), le processus </w:t>
      </w:r>
      <w:r w:rsidR="00A635A2" w:rsidRPr="00D734A7">
        <w:rPr>
          <w:i/>
          <w:lang w:val="fr-BE"/>
        </w:rPr>
        <w:t>renferme</w:t>
      </w:r>
      <w:r w:rsidR="003E54C1" w:rsidRPr="00D734A7">
        <w:rPr>
          <w:i/>
          <w:lang w:val="fr-BE"/>
        </w:rPr>
        <w:t xml:space="preserve"> </w:t>
      </w:r>
      <w:r w:rsidR="004E7CDD" w:rsidRPr="00D734A7">
        <w:rPr>
          <w:i/>
          <w:lang w:val="fr-BE"/>
        </w:rPr>
        <w:t>un important cadre</w:t>
      </w:r>
      <w:r w:rsidRPr="00D734A7">
        <w:rPr>
          <w:i/>
          <w:lang w:val="fr-BE"/>
        </w:rPr>
        <w:t xml:space="preserve"> « </w:t>
      </w:r>
      <w:r w:rsidR="004E7CDD" w:rsidRPr="00D734A7">
        <w:rPr>
          <w:i/>
          <w:lang w:val="fr-BE"/>
        </w:rPr>
        <w:t>propice</w:t>
      </w:r>
      <w:r w:rsidRPr="00D734A7">
        <w:rPr>
          <w:i/>
          <w:lang w:val="fr-BE"/>
        </w:rPr>
        <w:t xml:space="preserve"> » </w:t>
      </w:r>
      <w:r w:rsidR="003E54C1" w:rsidRPr="00D734A7">
        <w:rPr>
          <w:i/>
          <w:lang w:val="fr-BE"/>
        </w:rPr>
        <w:t>ciblé sur les conditions pour un développement économique et social fructueux à travers une approche multi</w:t>
      </w:r>
      <w:r w:rsidR="00A635A2" w:rsidRPr="00D734A7">
        <w:rPr>
          <w:i/>
          <w:lang w:val="fr-BE"/>
        </w:rPr>
        <w:t>latérale</w:t>
      </w:r>
      <w:r w:rsidRPr="00D734A7">
        <w:rPr>
          <w:i/>
          <w:lang w:val="fr-BE"/>
        </w:rPr>
        <w:t>.</w:t>
      </w:r>
      <w:r w:rsidR="002E6E54">
        <w:rPr>
          <w:i/>
          <w:lang w:val="en-GB"/>
        </w:rPr>
        <w:t xml:space="preserve"> </w:t>
      </w:r>
      <w:r w:rsidR="003E54C1" w:rsidRPr="00D734A7">
        <w:rPr>
          <w:i/>
          <w:lang w:val="fr-BE"/>
        </w:rPr>
        <w:t>Des marchés du travail performants et des politiques sociales et économiques progressistes requièrent, comme il a maintes fois été démontré, un cadre de gouvernance multi</w:t>
      </w:r>
      <w:r w:rsidR="00A635A2" w:rsidRPr="00D734A7">
        <w:rPr>
          <w:i/>
          <w:lang w:val="fr-BE"/>
        </w:rPr>
        <w:t>latéral</w:t>
      </w:r>
      <w:r w:rsidR="003E54C1" w:rsidRPr="00D734A7">
        <w:rPr>
          <w:i/>
          <w:lang w:val="fr-BE"/>
        </w:rPr>
        <w:t xml:space="preserve"> fondé sur la participation des interlocuteurs sociaux.</w:t>
      </w:r>
      <w:r w:rsidR="002E6E54">
        <w:rPr>
          <w:i/>
          <w:lang w:val="fr-BE"/>
        </w:rPr>
        <w:t xml:space="preserve"> </w:t>
      </w:r>
    </w:p>
    <w:p w:rsidR="00A71C0F" w:rsidRPr="002B5120" w:rsidRDefault="00A71C0F" w:rsidP="00A71C0F">
      <w:pPr>
        <w:pStyle w:val="Prrafodelista"/>
        <w:ind w:left="360"/>
        <w:rPr>
          <w:i/>
          <w:lang w:val="en-GB"/>
        </w:rPr>
      </w:pPr>
    </w:p>
    <w:p w:rsidR="00A71C0F" w:rsidRDefault="003E54C1" w:rsidP="00D734A7">
      <w:pPr>
        <w:pStyle w:val="Prrafodelista"/>
        <w:numPr>
          <w:ilvl w:val="0"/>
          <w:numId w:val="4"/>
        </w:numPr>
        <w:spacing w:line="280" w:lineRule="auto"/>
        <w:ind w:left="360"/>
        <w:rPr>
          <w:lang w:val="en-GB"/>
        </w:rPr>
      </w:pPr>
      <w:r w:rsidRPr="00D734A7">
        <w:rPr>
          <w:b/>
          <w:lang w:val="fr-BE"/>
        </w:rPr>
        <w:t>Renforce</w:t>
      </w:r>
      <w:r w:rsidR="002924CC" w:rsidRPr="00D734A7">
        <w:rPr>
          <w:b/>
          <w:lang w:val="fr-BE"/>
        </w:rPr>
        <w:t>ment de la démocratie et d</w:t>
      </w:r>
      <w:r w:rsidRPr="00D734A7">
        <w:rPr>
          <w:b/>
          <w:lang w:val="fr-BE"/>
        </w:rPr>
        <w:t>es institutions au niveau de l’entreprise et de la société.</w:t>
      </w:r>
      <w:r w:rsidR="002E6E54">
        <w:rPr>
          <w:lang w:val="en-GB"/>
        </w:rPr>
        <w:t xml:space="preserve"> </w:t>
      </w:r>
    </w:p>
    <w:p w:rsidR="00A71C0F" w:rsidRDefault="003E54C1" w:rsidP="00D734A7">
      <w:pPr>
        <w:pStyle w:val="Prrafodelista"/>
        <w:spacing w:line="280" w:lineRule="auto"/>
        <w:ind w:left="360"/>
        <w:rPr>
          <w:i/>
          <w:lang w:val="en-GB"/>
        </w:rPr>
      </w:pPr>
      <w:r w:rsidRPr="00D734A7">
        <w:rPr>
          <w:i/>
          <w:lang w:val="fr-BE"/>
        </w:rPr>
        <w:t>Le dialogue social requiert des « organismes », tel que stipulé dans la Convention 98 de l’OIT</w:t>
      </w:r>
      <w:r w:rsidRPr="00D734A7">
        <w:rPr>
          <w:rStyle w:val="Refdenotaalpie"/>
          <w:i/>
          <w:lang w:val="fr-BE"/>
        </w:rPr>
        <w:footnoteReference w:id="2"/>
      </w:r>
      <w:r w:rsidRPr="00D734A7">
        <w:rPr>
          <w:i/>
          <w:lang w:val="fr-BE"/>
        </w:rPr>
        <w:t> ; beaucoup de pays sont dépourvus d’un cadre institutionnel propice au dialogue social et à une participation effective et efficace des partenaires sociaux.</w:t>
      </w:r>
      <w:r w:rsidR="002E6E54">
        <w:rPr>
          <w:i/>
          <w:lang w:val="fr-BE"/>
        </w:rPr>
        <w:t xml:space="preserve"> </w:t>
      </w:r>
      <w:r w:rsidRPr="00D734A7">
        <w:rPr>
          <w:i/>
          <w:lang w:val="fr-BE"/>
        </w:rPr>
        <w:t>Le dialogue social institutionnalisé constitue un atout important pour la prévention et la résolution de conflits et un facteur de résilience économique et sociale aux échelons micro (entreprise) et macro (gouvernance économique et sociale nationale).</w:t>
      </w:r>
      <w:r w:rsidR="00A71C0F" w:rsidRPr="00782022">
        <w:rPr>
          <w:i/>
          <w:lang w:val="en-GB"/>
        </w:rPr>
        <w:t xml:space="preserve"> </w:t>
      </w:r>
    </w:p>
    <w:p w:rsidR="00A71C0F" w:rsidRPr="00782022" w:rsidRDefault="003E54C1" w:rsidP="00D734A7">
      <w:pPr>
        <w:pStyle w:val="Prrafodelista"/>
        <w:numPr>
          <w:ilvl w:val="0"/>
          <w:numId w:val="4"/>
        </w:numPr>
        <w:spacing w:line="280" w:lineRule="auto"/>
        <w:ind w:left="360"/>
        <w:rPr>
          <w:b/>
          <w:lang w:val="en-GB"/>
        </w:rPr>
      </w:pPr>
      <w:r w:rsidRPr="00D734A7">
        <w:rPr>
          <w:b/>
          <w:lang w:val="fr-BE"/>
        </w:rPr>
        <w:t xml:space="preserve">Transition pacifique et renforcement de l’État/de la communauté, résilience </w:t>
      </w:r>
    </w:p>
    <w:p w:rsidR="00A71C0F" w:rsidRDefault="003E54C1" w:rsidP="00D734A7">
      <w:pPr>
        <w:pStyle w:val="Prrafodelista"/>
        <w:spacing w:line="280" w:lineRule="auto"/>
        <w:ind w:left="360"/>
        <w:rPr>
          <w:i/>
          <w:lang w:val="en-GB"/>
        </w:rPr>
      </w:pPr>
      <w:r w:rsidRPr="00D734A7">
        <w:rPr>
          <w:i/>
          <w:lang w:val="fr-BE"/>
        </w:rPr>
        <w:t>Dans beaucoup de pays et régions en conflit, la reconstruction et la réconciliation revêtent une importance cruciale pour le renforcement de la communauté et de l’État.</w:t>
      </w:r>
      <w:r w:rsidR="002E6E54">
        <w:rPr>
          <w:i/>
          <w:lang w:val="en-GB"/>
        </w:rPr>
        <w:t xml:space="preserve"> </w:t>
      </w:r>
      <w:r w:rsidRPr="00D734A7">
        <w:rPr>
          <w:i/>
          <w:lang w:val="fr-BE"/>
        </w:rPr>
        <w:t>Le dialogue social représente un outil puissant pour la stabilité des rapports sociaux et pour définir la voie à suivre, comme on a pu le constater dans de nombreuses situations de sortie de conflits et de pays en transition après une dictature</w:t>
      </w:r>
      <w:r w:rsidR="00A635A2" w:rsidRPr="00D734A7">
        <w:rPr>
          <w:i/>
          <w:lang w:val="fr-BE"/>
        </w:rPr>
        <w:t>.</w:t>
      </w:r>
      <w:r w:rsidR="002E6E54">
        <w:rPr>
          <w:i/>
          <w:lang w:val="fr-BE"/>
        </w:rPr>
        <w:t xml:space="preserve"> </w:t>
      </w:r>
      <w:r w:rsidRPr="00D734A7">
        <w:rPr>
          <w:i/>
          <w:lang w:val="fr-BE"/>
        </w:rPr>
        <w:t>(Pologne, Tunisie, Afrique du Sud,…)</w:t>
      </w:r>
      <w:r w:rsidR="009766A3" w:rsidRPr="00D734A7">
        <w:rPr>
          <w:i/>
          <w:lang w:val="fr-BE"/>
        </w:rPr>
        <w:t>,</w:t>
      </w:r>
      <w:r w:rsidR="00A71C0F">
        <w:rPr>
          <w:i/>
          <w:lang w:val="en-GB"/>
        </w:rPr>
        <w:t xml:space="preserve"> </w:t>
      </w:r>
      <w:r w:rsidRPr="00D734A7">
        <w:rPr>
          <w:i/>
          <w:lang w:val="fr-BE"/>
        </w:rPr>
        <w:t>en ce qu’il réunit autour d’une même table les différents acteurs de la vie économique.</w:t>
      </w:r>
      <w:r w:rsidR="002E6E54">
        <w:rPr>
          <w:i/>
          <w:lang w:val="fr-BE"/>
        </w:rPr>
        <w:t xml:space="preserve"> </w:t>
      </w:r>
    </w:p>
    <w:p w:rsidR="00A71C0F" w:rsidRPr="005F0288" w:rsidRDefault="006F0D56" w:rsidP="00D943CF">
      <w:pPr>
        <w:pStyle w:val="Prrafodelista"/>
        <w:numPr>
          <w:ilvl w:val="0"/>
          <w:numId w:val="4"/>
        </w:numPr>
        <w:spacing w:line="280" w:lineRule="auto"/>
        <w:ind w:left="360"/>
        <w:rPr>
          <w:b/>
          <w:lang w:val="en-GB"/>
        </w:rPr>
      </w:pPr>
      <w:r w:rsidRPr="00D943CF">
        <w:rPr>
          <w:b/>
          <w:lang w:val="fr-BE"/>
        </w:rPr>
        <w:t>Facilitation de</w:t>
      </w:r>
      <w:r w:rsidR="009766A3" w:rsidRPr="00D943CF">
        <w:rPr>
          <w:b/>
          <w:lang w:val="fr-BE"/>
        </w:rPr>
        <w:t xml:space="preserve"> la responsabilité au niveau des entreprises et autres </w:t>
      </w:r>
    </w:p>
    <w:p w:rsidR="00A71C0F" w:rsidRDefault="009766A3" w:rsidP="00D943CF">
      <w:pPr>
        <w:pStyle w:val="Prrafodelista"/>
        <w:spacing w:line="280" w:lineRule="auto"/>
        <w:ind w:left="360"/>
        <w:rPr>
          <w:i/>
          <w:lang w:val="en-GB"/>
        </w:rPr>
      </w:pPr>
      <w:r w:rsidRPr="00D943CF">
        <w:rPr>
          <w:i/>
          <w:lang w:val="fr-BE"/>
        </w:rPr>
        <w:t>Les droits, la législation et les politiques ne conduisent pas</w:t>
      </w:r>
      <w:r w:rsidR="00A635A2" w:rsidRPr="00D943CF">
        <w:rPr>
          <w:i/>
          <w:lang w:val="fr-BE"/>
        </w:rPr>
        <w:t>,</w:t>
      </w:r>
      <w:r w:rsidRPr="00D943CF">
        <w:rPr>
          <w:i/>
          <w:lang w:val="fr-BE"/>
        </w:rPr>
        <w:t xml:space="preserve"> </w:t>
      </w:r>
      <w:r w:rsidR="00D943CF">
        <w:rPr>
          <w:i/>
          <w:lang w:val="fr-BE"/>
        </w:rPr>
        <w:t>d’eux-mêmes</w:t>
      </w:r>
      <w:r w:rsidR="00A635A2" w:rsidRPr="00D943CF">
        <w:rPr>
          <w:i/>
          <w:lang w:val="fr-BE"/>
        </w:rPr>
        <w:t>,</w:t>
      </w:r>
      <w:r w:rsidRPr="00D943CF">
        <w:rPr>
          <w:i/>
          <w:lang w:val="fr-BE"/>
        </w:rPr>
        <w:t xml:space="preserve"> à la mise en œuvre et à des résultats positifs en matière de développement.</w:t>
      </w:r>
      <w:r w:rsidR="002E6E54">
        <w:rPr>
          <w:i/>
          <w:lang w:val="fr-BE"/>
        </w:rPr>
        <w:t xml:space="preserve"> </w:t>
      </w:r>
      <w:r w:rsidRPr="00D943CF">
        <w:rPr>
          <w:i/>
          <w:lang w:val="fr-BE"/>
        </w:rPr>
        <w:t xml:space="preserve">Des mécanismes de responsabilité sont requis pour garantir une mise en œuvre effective et </w:t>
      </w:r>
      <w:r w:rsidR="00D943CF" w:rsidRPr="00D943CF">
        <w:rPr>
          <w:i/>
          <w:lang w:val="fr-BE"/>
        </w:rPr>
        <w:t>permettre ainsi de concilier les</w:t>
      </w:r>
      <w:r w:rsidRPr="00D943CF">
        <w:rPr>
          <w:i/>
          <w:lang w:val="fr-BE"/>
        </w:rPr>
        <w:t xml:space="preserve"> différents intérêts et </w:t>
      </w:r>
      <w:r w:rsidR="00D943CF" w:rsidRPr="00D943CF">
        <w:rPr>
          <w:i/>
          <w:lang w:val="fr-BE"/>
        </w:rPr>
        <w:t>d’adapter l</w:t>
      </w:r>
      <w:r w:rsidRPr="00D943CF">
        <w:rPr>
          <w:i/>
          <w:lang w:val="fr-BE"/>
        </w:rPr>
        <w:t>es stratégies, pour engranger de meilleurs résultats au plan du développement.</w:t>
      </w:r>
      <w:r w:rsidR="002E6E54">
        <w:rPr>
          <w:i/>
          <w:lang w:val="fr-BE"/>
        </w:rPr>
        <w:t xml:space="preserve"> </w:t>
      </w:r>
      <w:r w:rsidRPr="00D943CF">
        <w:rPr>
          <w:i/>
          <w:lang w:val="fr-BE"/>
        </w:rPr>
        <w:t>Le dialogue social renforce la responsabilité depuis l’échelon national jusqu’à l’échelon local, de même qu’au niveau des entreprises et facilite le suivi et l’adaptation, pour une mise en œuvre effective et adéquate des stratégies et mesures.</w:t>
      </w:r>
      <w:r w:rsidR="002E6E54">
        <w:rPr>
          <w:i/>
          <w:lang w:val="fr-BE"/>
        </w:rPr>
        <w:t xml:space="preserve"> </w:t>
      </w:r>
    </w:p>
    <w:p w:rsidR="00A71C0F" w:rsidRPr="002B5120" w:rsidRDefault="006F0D56" w:rsidP="00D943CF">
      <w:pPr>
        <w:pStyle w:val="Prrafodelista"/>
        <w:numPr>
          <w:ilvl w:val="0"/>
          <w:numId w:val="4"/>
        </w:numPr>
        <w:spacing w:line="280" w:lineRule="auto"/>
        <w:ind w:left="360"/>
        <w:rPr>
          <w:b/>
          <w:lang w:val="en-GB"/>
        </w:rPr>
      </w:pPr>
      <w:r w:rsidRPr="00D943CF">
        <w:rPr>
          <w:b/>
          <w:lang w:val="fr-BE"/>
        </w:rPr>
        <w:t>Fa</w:t>
      </w:r>
      <w:r w:rsidR="00A635A2" w:rsidRPr="00D943CF">
        <w:rPr>
          <w:b/>
          <w:lang w:val="fr-BE"/>
        </w:rPr>
        <w:t>cilitation des</w:t>
      </w:r>
      <w:r w:rsidRPr="00D943CF">
        <w:rPr>
          <w:b/>
          <w:lang w:val="fr-BE"/>
        </w:rPr>
        <w:t xml:space="preserve"> mécanismes de redistribution et de solidarité et </w:t>
      </w:r>
      <w:r w:rsidR="00A635A2" w:rsidRPr="00D943CF">
        <w:rPr>
          <w:b/>
          <w:lang w:val="fr-BE"/>
        </w:rPr>
        <w:t xml:space="preserve">de </w:t>
      </w:r>
      <w:r w:rsidRPr="00D943CF">
        <w:rPr>
          <w:b/>
          <w:lang w:val="fr-BE"/>
        </w:rPr>
        <w:t>la lutte contre l’inégalité</w:t>
      </w:r>
    </w:p>
    <w:p w:rsidR="00A71C0F" w:rsidRPr="00B93DEB" w:rsidRDefault="006F0D56" w:rsidP="00D943CF">
      <w:pPr>
        <w:pStyle w:val="Prrafodelista"/>
        <w:spacing w:line="280" w:lineRule="auto"/>
        <w:ind w:left="360"/>
        <w:rPr>
          <w:i/>
          <w:lang w:val="en-GB"/>
        </w:rPr>
      </w:pPr>
      <w:r w:rsidRPr="00D943CF">
        <w:rPr>
          <w:i/>
          <w:lang w:val="fr-BE"/>
        </w:rPr>
        <w:t>La négociation collective et le dialogue social permettent, souvent de façon plus appropriée que la législation (à elle seule), de s’attaquer aux inégalités liées au revenu et à la protection sociale et permettent aussi de réduire l’écart croissant entre la productivité et les salaires comme la principale cause de la pauvreté et de l’inégalité économique et sociale croissante.</w:t>
      </w:r>
      <w:r w:rsidR="002E6E54">
        <w:rPr>
          <w:i/>
          <w:lang w:val="en-GB"/>
        </w:rPr>
        <w:t xml:space="preserve"> </w:t>
      </w:r>
      <w:r w:rsidRPr="00D943CF">
        <w:rPr>
          <w:i/>
          <w:lang w:val="fr-BE"/>
        </w:rPr>
        <w:t>L’engagement des partenaires sociaux pour la promotion du développement économique et social pour tous et la lutte contre l’inégalité et le sous-développement sont les moyens les plus efficaces en vue de l’établissement de mécanismes de redistribution et de protection sociale adéquats, fondés sur les droits, pour sortir les gens de la pauvreté et de l’informalité et empêcher le dumping social.</w:t>
      </w:r>
      <w:r w:rsidR="002E6E54">
        <w:rPr>
          <w:i/>
          <w:lang w:val="fr-BE"/>
        </w:rPr>
        <w:t xml:space="preserve"> </w:t>
      </w:r>
    </w:p>
    <w:p w:rsidR="00A71C0F" w:rsidRPr="00A42EEF" w:rsidRDefault="00DA4368" w:rsidP="00D943CF">
      <w:pPr>
        <w:spacing w:after="120" w:line="280" w:lineRule="auto"/>
        <w:rPr>
          <w:b/>
          <w:sz w:val="24"/>
          <w:u w:val="single"/>
          <w:lang w:val="en-GB"/>
        </w:rPr>
      </w:pPr>
      <w:r w:rsidRPr="00D943CF">
        <w:rPr>
          <w:b/>
          <w:sz w:val="24"/>
          <w:u w:val="single"/>
          <w:lang w:val="fr-BE"/>
        </w:rPr>
        <w:t>QUELLE EST NOTRE PART :</w:t>
      </w:r>
      <w:r w:rsidR="00A71C0F" w:rsidRPr="00A42EEF">
        <w:rPr>
          <w:b/>
          <w:sz w:val="24"/>
          <w:u w:val="single"/>
          <w:lang w:val="en-GB"/>
        </w:rPr>
        <w:t xml:space="preserve"> </w:t>
      </w:r>
    </w:p>
    <w:p w:rsidR="00A71C0F" w:rsidRPr="002B5120" w:rsidRDefault="002B5A6B" w:rsidP="00D943CF">
      <w:pPr>
        <w:pStyle w:val="Prrafodelista"/>
        <w:numPr>
          <w:ilvl w:val="0"/>
          <w:numId w:val="2"/>
        </w:numPr>
        <w:spacing w:after="120" w:line="280" w:lineRule="auto"/>
        <w:ind w:left="360"/>
        <w:rPr>
          <w:lang w:val="en-GB"/>
        </w:rPr>
      </w:pPr>
      <w:r w:rsidRPr="00D943CF">
        <w:rPr>
          <w:lang w:val="fr-BE"/>
        </w:rPr>
        <w:t>Fournir des preuves à l’appui d’une approche du développement fondée sur le dialogue social.</w:t>
      </w:r>
    </w:p>
    <w:p w:rsidR="00A71C0F" w:rsidRPr="00891F4F" w:rsidRDefault="002B5A6B" w:rsidP="00D943CF">
      <w:pPr>
        <w:pStyle w:val="Prrafodelista"/>
        <w:numPr>
          <w:ilvl w:val="0"/>
          <w:numId w:val="2"/>
        </w:numPr>
        <w:spacing w:after="120" w:line="280" w:lineRule="auto"/>
        <w:ind w:left="360"/>
        <w:rPr>
          <w:lang w:val="en-GB"/>
        </w:rPr>
      </w:pPr>
      <w:r w:rsidRPr="00D943CF">
        <w:rPr>
          <w:lang w:val="fr-BE"/>
        </w:rPr>
        <w:t>Élaborer des propositions de mise en œuvre à l’intention de l’UE</w:t>
      </w:r>
    </w:p>
    <w:p w:rsidR="00A71C0F" w:rsidRPr="00891F4F" w:rsidRDefault="002B5A6B" w:rsidP="00D943CF">
      <w:pPr>
        <w:pStyle w:val="Prrafodelista"/>
        <w:numPr>
          <w:ilvl w:val="0"/>
          <w:numId w:val="2"/>
        </w:numPr>
        <w:spacing w:after="120" w:line="280" w:lineRule="auto"/>
        <w:ind w:left="360"/>
        <w:rPr>
          <w:lang w:val="en-GB"/>
        </w:rPr>
      </w:pPr>
      <w:r w:rsidRPr="00D943CF">
        <w:rPr>
          <w:lang w:val="fr-BE"/>
        </w:rPr>
        <w:t>Établir des liens entre les objectif</w:t>
      </w:r>
      <w:r w:rsidR="0043404F" w:rsidRPr="00D943CF">
        <w:rPr>
          <w:lang w:val="fr-BE"/>
        </w:rPr>
        <w:t xml:space="preserve">s et les </w:t>
      </w:r>
      <w:r w:rsidRPr="00D943CF">
        <w:rPr>
          <w:lang w:val="fr-BE"/>
        </w:rPr>
        <w:t>preuves</w:t>
      </w:r>
      <w:r w:rsidR="0043404F" w:rsidRPr="00D943CF">
        <w:rPr>
          <w:lang w:val="fr-BE"/>
        </w:rPr>
        <w:t xml:space="preserve">, d’une part, et les politiques et stratégies de développement nationales, régionales et internationales (moyens de mise en œuvre) (notes de synthèse et documents politiques), de l’autre. </w:t>
      </w:r>
    </w:p>
    <w:p w:rsidR="00A71C0F" w:rsidRPr="002B5120" w:rsidRDefault="0043404F" w:rsidP="00D943CF">
      <w:pPr>
        <w:pStyle w:val="Prrafodelista"/>
        <w:numPr>
          <w:ilvl w:val="0"/>
          <w:numId w:val="2"/>
        </w:numPr>
        <w:spacing w:after="120" w:line="280" w:lineRule="auto"/>
        <w:ind w:left="360"/>
        <w:rPr>
          <w:sz w:val="24"/>
          <w:u w:val="single"/>
          <w:lang w:val="en-GB"/>
        </w:rPr>
      </w:pPr>
      <w:r w:rsidRPr="00D943CF">
        <w:rPr>
          <w:lang w:val="fr-BE"/>
        </w:rPr>
        <w:t>Proposer un « Partenariat » sur le Dialogue social pour le développement</w:t>
      </w:r>
      <w:r w:rsidR="00A71C0F" w:rsidRPr="002B5120">
        <w:rPr>
          <w:lang w:val="en-GB"/>
        </w:rPr>
        <w:t xml:space="preserve"> </w:t>
      </w:r>
    </w:p>
    <w:p w:rsidR="00A71C0F" w:rsidRDefault="00A71C0F" w:rsidP="00A71C0F">
      <w:pPr>
        <w:pStyle w:val="Prrafodelista"/>
        <w:ind w:left="360"/>
        <w:rPr>
          <w:lang w:val="en-GB"/>
        </w:rPr>
      </w:pPr>
    </w:p>
    <w:p w:rsidR="00A71C0F" w:rsidRPr="002B5120" w:rsidRDefault="00A635A2" w:rsidP="00D943CF">
      <w:pPr>
        <w:spacing w:after="120" w:line="280" w:lineRule="auto"/>
        <w:rPr>
          <w:b/>
          <w:sz w:val="24"/>
          <w:u w:val="single"/>
          <w:lang w:val="en-GB"/>
        </w:rPr>
      </w:pPr>
      <w:r w:rsidRPr="00D943CF">
        <w:rPr>
          <w:b/>
          <w:sz w:val="24"/>
          <w:u w:val="single"/>
          <w:lang w:val="fr-BE"/>
        </w:rPr>
        <w:t>T</w:t>
      </w:r>
      <w:r w:rsidR="0043404F" w:rsidRPr="00D943CF">
        <w:rPr>
          <w:b/>
          <w:sz w:val="24"/>
          <w:u w:val="single"/>
          <w:lang w:val="fr-BE"/>
        </w:rPr>
        <w:t>R POUR LA RECHERCHE</w:t>
      </w:r>
    </w:p>
    <w:p w:rsidR="00A71C0F" w:rsidRDefault="00691B4C" w:rsidP="00D943CF">
      <w:pPr>
        <w:pStyle w:val="Prrafodelista"/>
        <w:spacing w:line="280" w:lineRule="auto"/>
        <w:ind w:left="0"/>
        <w:rPr>
          <w:b/>
          <w:u w:val="single"/>
          <w:lang w:val="en-GB"/>
        </w:rPr>
      </w:pPr>
      <w:proofErr w:type="gramStart"/>
      <w:r w:rsidRPr="00D943CF">
        <w:rPr>
          <w:b/>
          <w:u w:val="single"/>
          <w:lang w:val="fr-BE"/>
        </w:rPr>
        <w:t>Cibles</w:t>
      </w:r>
      <w:proofErr w:type="gramEnd"/>
      <w:r w:rsidR="0043404F" w:rsidRPr="00D943CF">
        <w:rPr>
          <w:b/>
          <w:u w:val="single"/>
          <w:lang w:val="fr-BE"/>
        </w:rPr>
        <w:t> :</w:t>
      </w:r>
      <w:r w:rsidR="00A71C0F" w:rsidRPr="006B33EB">
        <w:rPr>
          <w:b/>
          <w:u w:val="single"/>
          <w:lang w:val="en-GB"/>
        </w:rPr>
        <w:t xml:space="preserve"> </w:t>
      </w:r>
    </w:p>
    <w:p w:rsidR="00A71C0F" w:rsidRPr="006B33EB" w:rsidRDefault="00A71C0F" w:rsidP="00A71C0F">
      <w:pPr>
        <w:pStyle w:val="Prrafodelista"/>
        <w:ind w:left="0"/>
        <w:rPr>
          <w:b/>
          <w:u w:val="single"/>
          <w:lang w:val="en-GB"/>
        </w:rPr>
      </w:pPr>
    </w:p>
    <w:p w:rsidR="00A71C0F" w:rsidRPr="002B5120" w:rsidRDefault="0043404F" w:rsidP="00D943CF">
      <w:pPr>
        <w:pStyle w:val="Prrafodelista"/>
        <w:spacing w:line="280" w:lineRule="auto"/>
        <w:ind w:left="0"/>
        <w:rPr>
          <w:lang w:val="en-GB"/>
        </w:rPr>
      </w:pPr>
      <w:r w:rsidRPr="00D943CF">
        <w:rPr>
          <w:lang w:val="fr-BE"/>
        </w:rPr>
        <w:t xml:space="preserve">Le public auquel s’adressent les résultats de la recherche sont les </w:t>
      </w:r>
      <w:r w:rsidRPr="00D943CF">
        <w:rPr>
          <w:b/>
          <w:lang w:val="fr-BE"/>
        </w:rPr>
        <w:t>décideurs aux échelons national, régional et international</w:t>
      </w:r>
      <w:r w:rsidRPr="00D943CF">
        <w:rPr>
          <w:lang w:val="fr-BE"/>
        </w:rPr>
        <w:t>,</w:t>
      </w:r>
      <w:r w:rsidR="00A71C0F" w:rsidRPr="002B5120">
        <w:rPr>
          <w:lang w:val="en-GB"/>
        </w:rPr>
        <w:t xml:space="preserve"> </w:t>
      </w:r>
    </w:p>
    <w:p w:rsidR="00A71C0F" w:rsidRDefault="0043404F" w:rsidP="00D943CF">
      <w:pPr>
        <w:pStyle w:val="Prrafodelista"/>
        <w:numPr>
          <w:ilvl w:val="0"/>
          <w:numId w:val="5"/>
        </w:numPr>
        <w:spacing w:line="280" w:lineRule="auto"/>
        <w:rPr>
          <w:lang w:val="en-GB"/>
        </w:rPr>
      </w:pPr>
      <w:r w:rsidRPr="00D943CF">
        <w:rPr>
          <w:lang w:val="fr-BE"/>
        </w:rPr>
        <w:t>dir</w:t>
      </w:r>
      <w:r w:rsidR="00D943CF">
        <w:rPr>
          <w:lang w:val="fr-BE"/>
        </w:rPr>
        <w:t>ection</w:t>
      </w:r>
      <w:r w:rsidRPr="00D943CF">
        <w:rPr>
          <w:lang w:val="fr-BE"/>
        </w:rPr>
        <w:t xml:space="preserve"> du partenaire social,</w:t>
      </w:r>
      <w:r w:rsidR="002E6E54">
        <w:rPr>
          <w:lang w:val="fr-BE"/>
        </w:rPr>
        <w:t xml:space="preserve"> </w:t>
      </w:r>
    </w:p>
    <w:p w:rsidR="00A71C0F" w:rsidRDefault="0043404F" w:rsidP="00D943CF">
      <w:pPr>
        <w:pStyle w:val="Prrafodelista"/>
        <w:numPr>
          <w:ilvl w:val="0"/>
          <w:numId w:val="5"/>
        </w:numPr>
        <w:spacing w:line="280" w:lineRule="auto"/>
        <w:rPr>
          <w:lang w:val="en-GB"/>
        </w:rPr>
      </w:pPr>
      <w:r w:rsidRPr="00D943CF">
        <w:rPr>
          <w:lang w:val="fr-BE"/>
        </w:rPr>
        <w:t>responsables des agences de développement nationales,</w:t>
      </w:r>
      <w:r w:rsidR="00A71C0F" w:rsidRPr="002B5120">
        <w:rPr>
          <w:lang w:val="en-GB"/>
        </w:rPr>
        <w:t xml:space="preserve"> </w:t>
      </w:r>
    </w:p>
    <w:p w:rsidR="00A71C0F" w:rsidRDefault="0043404F" w:rsidP="00D943CF">
      <w:pPr>
        <w:pStyle w:val="Prrafodelista"/>
        <w:numPr>
          <w:ilvl w:val="0"/>
          <w:numId w:val="5"/>
        </w:numPr>
        <w:spacing w:line="280" w:lineRule="auto"/>
        <w:rPr>
          <w:lang w:val="en-GB"/>
        </w:rPr>
      </w:pPr>
      <w:r w:rsidRPr="00D943CF">
        <w:rPr>
          <w:lang w:val="fr-BE"/>
        </w:rPr>
        <w:t>l’OIT, aux échelons mondial et national</w:t>
      </w:r>
    </w:p>
    <w:p w:rsidR="00A71C0F" w:rsidRDefault="0043404F" w:rsidP="00D943CF">
      <w:pPr>
        <w:pStyle w:val="Prrafodelista"/>
        <w:numPr>
          <w:ilvl w:val="0"/>
          <w:numId w:val="5"/>
        </w:numPr>
        <w:spacing w:line="280" w:lineRule="auto"/>
        <w:rPr>
          <w:lang w:val="en-GB"/>
        </w:rPr>
      </w:pPr>
      <w:r w:rsidRPr="00D943CF">
        <w:rPr>
          <w:lang w:val="fr-BE"/>
        </w:rPr>
        <w:t>acteurs chargés de la mise en œuvre :</w:t>
      </w:r>
      <w:r w:rsidR="00A71C0F">
        <w:rPr>
          <w:lang w:val="en-GB"/>
        </w:rPr>
        <w:t xml:space="preserve"> </w:t>
      </w:r>
      <w:r w:rsidRPr="00D943CF">
        <w:rPr>
          <w:lang w:val="fr-BE"/>
        </w:rPr>
        <w:t>ministères du Plan/de la Coopération au développement et ministères du Travail,</w:t>
      </w:r>
      <w:r w:rsidR="00A71C0F" w:rsidRPr="002B5120">
        <w:rPr>
          <w:lang w:val="en-GB"/>
        </w:rPr>
        <w:t xml:space="preserve"> </w:t>
      </w:r>
    </w:p>
    <w:p w:rsidR="00A71C0F" w:rsidRDefault="0043404F" w:rsidP="00D943CF">
      <w:pPr>
        <w:pStyle w:val="Prrafodelista"/>
        <w:numPr>
          <w:ilvl w:val="0"/>
          <w:numId w:val="5"/>
        </w:numPr>
        <w:spacing w:line="280" w:lineRule="auto"/>
        <w:rPr>
          <w:lang w:val="en-GB"/>
        </w:rPr>
      </w:pPr>
      <w:r w:rsidRPr="00D943CF">
        <w:rPr>
          <w:lang w:val="fr-BE"/>
        </w:rPr>
        <w:t>sections Coopération au développement des ambassades et autres délégations (dont l’UE)</w:t>
      </w:r>
    </w:p>
    <w:p w:rsidR="00A71C0F" w:rsidRDefault="0043404F" w:rsidP="00D943CF">
      <w:pPr>
        <w:pStyle w:val="Prrafodelista"/>
        <w:numPr>
          <w:ilvl w:val="0"/>
          <w:numId w:val="5"/>
        </w:numPr>
        <w:spacing w:line="280" w:lineRule="auto"/>
        <w:rPr>
          <w:lang w:val="en-GB"/>
        </w:rPr>
      </w:pPr>
      <w:r w:rsidRPr="00D943CF">
        <w:rPr>
          <w:lang w:val="fr-BE"/>
        </w:rPr>
        <w:t xml:space="preserve">décideurs au sein du CAD de l’OCDE et délégués du CAD </w:t>
      </w:r>
    </w:p>
    <w:p w:rsidR="00A71C0F" w:rsidRDefault="0043404F" w:rsidP="00D943CF">
      <w:pPr>
        <w:pStyle w:val="Prrafodelista"/>
        <w:numPr>
          <w:ilvl w:val="0"/>
          <w:numId w:val="5"/>
        </w:numPr>
        <w:spacing w:line="280" w:lineRule="auto"/>
        <w:rPr>
          <w:lang w:val="en-GB"/>
        </w:rPr>
      </w:pPr>
      <w:r w:rsidRPr="00D943CF">
        <w:rPr>
          <w:lang w:val="fr-BE"/>
        </w:rPr>
        <w:t>membres des partenariats de coopération internationale au développement (PMCED)</w:t>
      </w:r>
    </w:p>
    <w:p w:rsidR="00A71C0F" w:rsidRPr="002B5120" w:rsidRDefault="00A71C0F" w:rsidP="00A71C0F">
      <w:pPr>
        <w:pStyle w:val="Prrafodelista"/>
        <w:rPr>
          <w:lang w:val="en-GB"/>
        </w:rPr>
      </w:pPr>
    </w:p>
    <w:p w:rsidR="00A71C0F" w:rsidRPr="006B33EB" w:rsidRDefault="0043404F" w:rsidP="00D943CF">
      <w:pPr>
        <w:pStyle w:val="Prrafodelista"/>
        <w:spacing w:line="280" w:lineRule="auto"/>
        <w:ind w:left="0"/>
        <w:rPr>
          <w:b/>
          <w:u w:val="single"/>
          <w:lang w:val="en-GB"/>
        </w:rPr>
      </w:pPr>
      <w:r w:rsidRPr="00D943CF">
        <w:rPr>
          <w:b/>
          <w:u w:val="single"/>
          <w:lang w:val="fr-BE"/>
        </w:rPr>
        <w:t>Objectifs :</w:t>
      </w:r>
    </w:p>
    <w:p w:rsidR="00A71C0F" w:rsidRDefault="00A71C0F" w:rsidP="00A71C0F">
      <w:pPr>
        <w:pStyle w:val="Prrafodelista"/>
        <w:ind w:left="0"/>
        <w:rPr>
          <w:b/>
          <w:lang w:val="en-GB"/>
        </w:rPr>
      </w:pPr>
    </w:p>
    <w:p w:rsidR="00A71C0F" w:rsidRDefault="00534BB1" w:rsidP="00D943CF">
      <w:pPr>
        <w:pStyle w:val="Prrafodelista"/>
        <w:spacing w:line="280" w:lineRule="auto"/>
        <w:ind w:left="0"/>
        <w:rPr>
          <w:lang w:val="en-GB"/>
        </w:rPr>
      </w:pPr>
      <w:r w:rsidRPr="00D943CF">
        <w:rPr>
          <w:b/>
          <w:lang w:val="fr-BE"/>
        </w:rPr>
        <w:t xml:space="preserve">L’étude a pour objectif principal </w:t>
      </w:r>
      <w:r w:rsidRPr="00D943CF">
        <w:rPr>
          <w:lang w:val="fr-BE"/>
        </w:rPr>
        <w:t xml:space="preserve">de dresser un </w:t>
      </w:r>
      <w:r w:rsidRPr="00D943CF">
        <w:rPr>
          <w:b/>
          <w:lang w:val="fr-BE"/>
        </w:rPr>
        <w:t>rapport réunissant des preuves de la pertinence du dialogue social pour le processus de développement</w:t>
      </w:r>
      <w:r w:rsidRPr="00D943CF">
        <w:rPr>
          <w:lang w:val="fr-BE"/>
        </w:rPr>
        <w:t xml:space="preserve">, </w:t>
      </w:r>
      <w:r w:rsidR="00D943CF" w:rsidRPr="00D943CF">
        <w:rPr>
          <w:lang w:val="fr-BE"/>
        </w:rPr>
        <w:t>telle qu’elle est démontrée par une</w:t>
      </w:r>
      <w:r w:rsidRPr="00D943CF">
        <w:rPr>
          <w:lang w:val="fr-BE"/>
        </w:rPr>
        <w:t xml:space="preserve"> multitude d’exemples de pays et de contextes à travers le monde.</w:t>
      </w:r>
      <w:r w:rsidR="002E6E54">
        <w:rPr>
          <w:lang w:val="fr-BE"/>
        </w:rPr>
        <w:t xml:space="preserve"> </w:t>
      </w:r>
      <w:r w:rsidRPr="00D943CF">
        <w:rPr>
          <w:lang w:val="fr-BE"/>
        </w:rPr>
        <w:t>Les leçons apprises et les conclusions tirées sont là pour informer l’orientation des politiques et stratégies de développement futures et pour permettre une mise en œuvre plus efficace du dialogue social en tant qu’instrument de gouvernance, aussi bien pour les enjeux</w:t>
      </w:r>
      <w:r w:rsidR="00691B4C" w:rsidRPr="00D943CF">
        <w:rPr>
          <w:lang w:val="fr-BE"/>
        </w:rPr>
        <w:t xml:space="preserve"> socioéconomiques que pour le déve</w:t>
      </w:r>
      <w:r w:rsidRPr="00D943CF">
        <w:rPr>
          <w:lang w:val="fr-BE"/>
        </w:rPr>
        <w:t>loppement.</w:t>
      </w:r>
      <w:r w:rsidR="002E6E54">
        <w:rPr>
          <w:lang w:val="fr-BE"/>
        </w:rPr>
        <w:t xml:space="preserve"> </w:t>
      </w:r>
      <w:r w:rsidRPr="00D943CF">
        <w:rPr>
          <w:lang w:val="fr-BE"/>
        </w:rPr>
        <w:t>Des notes de synthèse et des documents politiques seront préparés sur la base des conclusions du rapport, pour étayer les débats, le plaidoyer et les propositions de mise en œuvre.</w:t>
      </w:r>
      <w:r w:rsidR="002E6E54">
        <w:rPr>
          <w:lang w:val="fr-BE"/>
        </w:rPr>
        <w:t xml:space="preserve"> </w:t>
      </w:r>
    </w:p>
    <w:p w:rsidR="00A71C0F" w:rsidRDefault="00A71C0F" w:rsidP="00A71C0F">
      <w:pPr>
        <w:pStyle w:val="Prrafodelista"/>
        <w:ind w:left="0"/>
        <w:rPr>
          <w:lang w:val="en-GB"/>
        </w:rPr>
      </w:pPr>
    </w:p>
    <w:p w:rsidR="00A71C0F" w:rsidRDefault="00426DD8" w:rsidP="00D943CF">
      <w:pPr>
        <w:pStyle w:val="Prrafodelista"/>
        <w:spacing w:line="280" w:lineRule="auto"/>
        <w:ind w:left="0"/>
        <w:rPr>
          <w:lang w:val="en-GB"/>
        </w:rPr>
      </w:pPr>
      <w:r w:rsidRPr="00D943CF">
        <w:rPr>
          <w:lang w:val="fr-BE"/>
        </w:rPr>
        <w:t>Également sur la base des conclusions de l’étude, d’autres initiatives pourraient être conçues visant à la promotion du dialogue social en tant que stratégie pertinente et essentielle pour favoriser la pérennité dans le développement économique et social.</w:t>
      </w:r>
      <w:r w:rsidR="002E6E54">
        <w:rPr>
          <w:lang w:val="fr-BE"/>
        </w:rPr>
        <w:t xml:space="preserve"> </w:t>
      </w:r>
      <w:r w:rsidRPr="00D943CF">
        <w:rPr>
          <w:lang w:val="fr-BE"/>
        </w:rPr>
        <w:t xml:space="preserve">À cette fin, le rapport identifiera des expériences pertinentes au niveau des pays qui puissent servir de base pour un </w:t>
      </w:r>
      <w:r w:rsidRPr="00D943CF">
        <w:rPr>
          <w:b/>
          <w:lang w:val="fr-BE"/>
        </w:rPr>
        <w:t>Partenariat sur le dialogue social au service du développement</w:t>
      </w:r>
      <w:r w:rsidRPr="00D943CF">
        <w:rPr>
          <w:lang w:val="fr-BE"/>
        </w:rPr>
        <w:t>.</w:t>
      </w:r>
      <w:r w:rsidR="002E6E54">
        <w:rPr>
          <w:lang w:val="en-GB"/>
        </w:rPr>
        <w:t xml:space="preserve"> </w:t>
      </w:r>
      <w:r w:rsidRPr="00D943CF">
        <w:rPr>
          <w:lang w:val="fr-BE"/>
        </w:rPr>
        <w:t>Le rapport identifiera également des partenaires et acteurs potentiels en vue d’un tel Partenariat.</w:t>
      </w:r>
      <w:r w:rsidR="002E6E54">
        <w:rPr>
          <w:lang w:val="fr-BE"/>
        </w:rPr>
        <w:t xml:space="preserve"> </w:t>
      </w:r>
    </w:p>
    <w:p w:rsidR="002E6E54" w:rsidRDefault="002E6E54" w:rsidP="00D943CF">
      <w:pPr>
        <w:pStyle w:val="Prrafodelista"/>
        <w:spacing w:line="280" w:lineRule="auto"/>
        <w:ind w:left="0"/>
        <w:rPr>
          <w:lang w:val="fr-BE"/>
        </w:rPr>
      </w:pPr>
    </w:p>
    <w:p w:rsidR="00A71C0F" w:rsidRDefault="00EC726E" w:rsidP="00D943CF">
      <w:pPr>
        <w:pStyle w:val="Prrafodelista"/>
        <w:spacing w:line="280" w:lineRule="auto"/>
        <w:ind w:left="0"/>
        <w:rPr>
          <w:lang w:val="en-GB"/>
        </w:rPr>
      </w:pPr>
      <w:r w:rsidRPr="00D943CF">
        <w:rPr>
          <w:lang w:val="fr-BE"/>
        </w:rPr>
        <w:t xml:space="preserve">En </w:t>
      </w:r>
      <w:r w:rsidR="002E6E54">
        <w:rPr>
          <w:lang w:val="fr-BE"/>
        </w:rPr>
        <w:t>tant qu’i</w:t>
      </w:r>
      <w:r w:rsidRPr="00D943CF">
        <w:rPr>
          <w:lang w:val="fr-BE"/>
        </w:rPr>
        <w:t xml:space="preserve">nitiative </w:t>
      </w:r>
      <w:r w:rsidR="00691B4C" w:rsidRPr="00D943CF">
        <w:rPr>
          <w:lang w:val="fr-BE"/>
        </w:rPr>
        <w:t>multilatérale</w:t>
      </w:r>
      <w:r w:rsidRPr="00D943CF">
        <w:rPr>
          <w:lang w:val="fr-BE"/>
        </w:rPr>
        <w:t>, le Partenariat s’attaquera aux défis politiques nationaux, régionaux et internationaux et proposera des mesures novatrices en réponse aux enjeux de l’appropriation, de la bonne gouvernance, de la responsabilité et des résultats pérennes au plan du développement économique et social.</w:t>
      </w:r>
      <w:r w:rsidR="00A71C0F">
        <w:rPr>
          <w:lang w:val="en-GB"/>
        </w:rPr>
        <w:t xml:space="preserve"> </w:t>
      </w:r>
    </w:p>
    <w:p w:rsidR="00A71C0F" w:rsidRPr="00A42EEF" w:rsidRDefault="00A71C0F" w:rsidP="00A71C0F">
      <w:pPr>
        <w:pStyle w:val="Prrafodelista"/>
        <w:ind w:left="0"/>
        <w:rPr>
          <w:lang w:val="en-GB"/>
        </w:rPr>
      </w:pPr>
    </w:p>
    <w:p w:rsidR="00A71C0F" w:rsidRPr="006B33EB" w:rsidRDefault="00EC726E" w:rsidP="00D943CF">
      <w:pPr>
        <w:pStyle w:val="Prrafodelista"/>
        <w:spacing w:line="280" w:lineRule="auto"/>
        <w:ind w:left="0"/>
        <w:rPr>
          <w:b/>
          <w:u w:val="single"/>
          <w:lang w:val="en-GB"/>
        </w:rPr>
      </w:pPr>
      <w:r w:rsidRPr="00D943CF">
        <w:rPr>
          <w:b/>
          <w:u w:val="single"/>
          <w:lang w:val="fr-BE"/>
        </w:rPr>
        <w:t>Questions-clés</w:t>
      </w:r>
    </w:p>
    <w:p w:rsidR="00A71C0F" w:rsidRDefault="00A71C0F" w:rsidP="00A71C0F">
      <w:pPr>
        <w:pStyle w:val="Prrafodelista"/>
        <w:ind w:left="0"/>
        <w:rPr>
          <w:lang w:val="en-GB"/>
        </w:rPr>
      </w:pPr>
    </w:p>
    <w:p w:rsidR="00A71C0F" w:rsidRDefault="00EC726E" w:rsidP="00D943CF">
      <w:pPr>
        <w:pStyle w:val="Prrafodelista"/>
        <w:spacing w:line="280" w:lineRule="auto"/>
        <w:ind w:left="0"/>
        <w:rPr>
          <w:lang w:val="en-GB"/>
        </w:rPr>
      </w:pPr>
      <w:r w:rsidRPr="00D943CF">
        <w:rPr>
          <w:lang w:val="fr-BE"/>
        </w:rPr>
        <w:t xml:space="preserve">L’étude doit livrer des preuves selon lesquelles le dialogue social est pertinent pour les </w:t>
      </w:r>
      <w:r w:rsidR="00691B4C" w:rsidRPr="00D943CF">
        <w:rPr>
          <w:lang w:val="fr-BE"/>
        </w:rPr>
        <w:t>questions</w:t>
      </w:r>
      <w:r w:rsidRPr="00D943CF">
        <w:rPr>
          <w:lang w:val="fr-BE"/>
        </w:rPr>
        <w:t xml:space="preserve"> de développement suivant</w:t>
      </w:r>
      <w:r w:rsidR="00691B4C" w:rsidRPr="00D943CF">
        <w:rPr>
          <w:lang w:val="fr-BE"/>
        </w:rPr>
        <w:t>e</w:t>
      </w:r>
      <w:r w:rsidRPr="00D943CF">
        <w:rPr>
          <w:lang w:val="fr-BE"/>
        </w:rPr>
        <w:t>s :</w:t>
      </w:r>
      <w:r w:rsidR="00A71C0F">
        <w:rPr>
          <w:lang w:val="en-GB"/>
        </w:rPr>
        <w:t xml:space="preserve"> </w:t>
      </w:r>
    </w:p>
    <w:p w:rsidR="00A71C0F" w:rsidRDefault="00A71C0F" w:rsidP="00A71C0F">
      <w:pPr>
        <w:pStyle w:val="Prrafodelista"/>
        <w:ind w:left="0"/>
        <w:rPr>
          <w:lang w:val="en-GB"/>
        </w:rPr>
      </w:pPr>
    </w:p>
    <w:p w:rsidR="00A71C0F" w:rsidRPr="0021278D" w:rsidRDefault="00EC726E" w:rsidP="00D943CF">
      <w:pPr>
        <w:pStyle w:val="Prrafodelista"/>
        <w:numPr>
          <w:ilvl w:val="0"/>
          <w:numId w:val="4"/>
        </w:numPr>
        <w:spacing w:line="280" w:lineRule="auto"/>
        <w:ind w:left="360"/>
        <w:rPr>
          <w:lang w:val="en-GB"/>
        </w:rPr>
      </w:pPr>
      <w:r w:rsidRPr="00D943CF">
        <w:rPr>
          <w:lang w:val="fr-BE"/>
        </w:rPr>
        <w:t>En quoi le dialogue social (DS) a-t-il contribué à l’agenda de la gouvernance et à l’appropriation démocratique du développement économique et social</w:t>
      </w:r>
      <w:r w:rsidR="002E6E54">
        <w:rPr>
          <w:lang w:val="fr-BE"/>
        </w:rPr>
        <w:t> ?</w:t>
      </w:r>
      <w:r w:rsidRPr="00D943CF">
        <w:rPr>
          <w:lang w:val="fr-BE"/>
        </w:rPr>
        <w:t xml:space="preserve"> </w:t>
      </w:r>
    </w:p>
    <w:p w:rsidR="00A71C0F" w:rsidRPr="0021278D" w:rsidRDefault="00691B4C" w:rsidP="00D943CF">
      <w:pPr>
        <w:pStyle w:val="Prrafodelista"/>
        <w:numPr>
          <w:ilvl w:val="0"/>
          <w:numId w:val="4"/>
        </w:numPr>
        <w:spacing w:line="280" w:lineRule="auto"/>
        <w:ind w:left="360"/>
        <w:rPr>
          <w:lang w:val="en-GB"/>
        </w:rPr>
      </w:pPr>
      <w:r w:rsidRPr="00D943CF">
        <w:rPr>
          <w:lang w:val="fr-BE"/>
        </w:rPr>
        <w:t>En quoi</w:t>
      </w:r>
      <w:r w:rsidR="00EC726E" w:rsidRPr="00D943CF">
        <w:rPr>
          <w:lang w:val="fr-BE"/>
        </w:rPr>
        <w:t xml:space="preserve"> le DS a-t-il contribué à l’ « agenda de la croissance » :</w:t>
      </w:r>
      <w:r w:rsidR="00A71C0F" w:rsidRPr="0021278D">
        <w:rPr>
          <w:lang w:val="en-GB"/>
        </w:rPr>
        <w:t xml:space="preserve"> </w:t>
      </w:r>
      <w:r w:rsidR="00EC726E" w:rsidRPr="00D943CF">
        <w:rPr>
          <w:lang w:val="fr-BE"/>
        </w:rPr>
        <w:t>Consolidation du marché du travail, établissement de politiques sociales et économiques ; a-t-il joué un rôle déterminant à l’heure de s’attaquer aux défis de l’économie informelle ?</w:t>
      </w:r>
      <w:r w:rsidR="00A71C0F" w:rsidRPr="0021278D">
        <w:rPr>
          <w:lang w:val="en-GB"/>
        </w:rPr>
        <w:t xml:space="preserve"> </w:t>
      </w:r>
    </w:p>
    <w:p w:rsidR="00A71C0F" w:rsidRPr="0021278D" w:rsidRDefault="00EC726E" w:rsidP="00D943CF">
      <w:pPr>
        <w:pStyle w:val="Prrafodelista"/>
        <w:numPr>
          <w:ilvl w:val="0"/>
          <w:numId w:val="4"/>
        </w:numPr>
        <w:spacing w:line="280" w:lineRule="auto"/>
        <w:ind w:left="360"/>
        <w:rPr>
          <w:lang w:val="en-GB"/>
        </w:rPr>
      </w:pPr>
      <w:r w:rsidRPr="00D943CF">
        <w:rPr>
          <w:lang w:val="fr-BE"/>
        </w:rPr>
        <w:t xml:space="preserve">Quel rôle a joué le DS envers l’établissement de structures de dialogue social à l’échelon d’entreprise et communautaire et a-t-il contribué à la prise de décisions démocratique au niveau national concernant le développement économique et social ? </w:t>
      </w:r>
    </w:p>
    <w:p w:rsidR="00A71C0F" w:rsidRPr="0021278D" w:rsidRDefault="00EC726E" w:rsidP="00D943CF">
      <w:pPr>
        <w:pStyle w:val="Prrafodelista"/>
        <w:numPr>
          <w:ilvl w:val="0"/>
          <w:numId w:val="4"/>
        </w:numPr>
        <w:spacing w:line="280" w:lineRule="auto"/>
        <w:ind w:left="360"/>
        <w:rPr>
          <w:lang w:val="en-GB"/>
        </w:rPr>
      </w:pPr>
      <w:r w:rsidRPr="00D943CF">
        <w:rPr>
          <w:lang w:val="fr-BE"/>
        </w:rPr>
        <w:t>En quoi le DS a-t-il contribué à la résolution de conflits dans les domaines social et économique, voire au-delà ?</w:t>
      </w:r>
    </w:p>
    <w:p w:rsidR="00A71C0F" w:rsidRPr="0021278D" w:rsidRDefault="00EC726E" w:rsidP="00D943CF">
      <w:pPr>
        <w:pStyle w:val="Prrafodelista"/>
        <w:numPr>
          <w:ilvl w:val="0"/>
          <w:numId w:val="4"/>
        </w:numPr>
        <w:spacing w:line="280" w:lineRule="auto"/>
        <w:ind w:left="360"/>
        <w:rPr>
          <w:lang w:val="en-GB"/>
        </w:rPr>
      </w:pPr>
      <w:r w:rsidRPr="00D943CF">
        <w:rPr>
          <w:lang w:val="fr-BE"/>
        </w:rPr>
        <w:t>Le DS s’est-il attaqué aux mécanismes de redistribution et de solidarité et quel a été son rôle dans la lutte contre l’inégalité et la promotion des droits</w:t>
      </w:r>
      <w:r w:rsidR="002E6E54">
        <w:rPr>
          <w:lang w:val="fr-BE"/>
        </w:rPr>
        <w:t> ?</w:t>
      </w:r>
    </w:p>
    <w:p w:rsidR="00A71C0F" w:rsidRPr="005F0288" w:rsidRDefault="00EC726E" w:rsidP="00D943CF">
      <w:pPr>
        <w:pStyle w:val="Prrafodelista"/>
        <w:numPr>
          <w:ilvl w:val="0"/>
          <w:numId w:val="4"/>
        </w:numPr>
        <w:spacing w:line="280" w:lineRule="auto"/>
        <w:ind w:left="360"/>
        <w:rPr>
          <w:b/>
          <w:lang w:val="en-GB"/>
        </w:rPr>
      </w:pPr>
      <w:r w:rsidRPr="00D943CF">
        <w:rPr>
          <w:lang w:val="fr-BE"/>
        </w:rPr>
        <w:t>Promo</w:t>
      </w:r>
      <w:r w:rsidR="002E6E54">
        <w:rPr>
          <w:lang w:val="fr-BE"/>
        </w:rPr>
        <w:t>tion de</w:t>
      </w:r>
      <w:r w:rsidRPr="00D943CF">
        <w:rPr>
          <w:lang w:val="fr-BE"/>
        </w:rPr>
        <w:t xml:space="preserve"> la responsabilité au niveau des entreprises et autres</w:t>
      </w:r>
      <w:r w:rsidR="002E6E54">
        <w:rPr>
          <w:lang w:val="fr-BE"/>
        </w:rPr>
        <w:t>.</w:t>
      </w:r>
      <w:r w:rsidRPr="00D943CF">
        <w:rPr>
          <w:lang w:val="fr-BE"/>
        </w:rPr>
        <w:t xml:space="preserve"> </w:t>
      </w:r>
    </w:p>
    <w:p w:rsidR="00A71C0F" w:rsidRDefault="00A71C0F" w:rsidP="00A71C0F">
      <w:pPr>
        <w:pStyle w:val="Prrafodelista"/>
        <w:ind w:left="0"/>
        <w:rPr>
          <w:lang w:val="en-GB"/>
        </w:rPr>
      </w:pPr>
    </w:p>
    <w:p w:rsidR="00A71C0F" w:rsidRDefault="00EC726E" w:rsidP="00D943CF">
      <w:pPr>
        <w:pStyle w:val="Prrafodelista"/>
        <w:spacing w:line="280" w:lineRule="auto"/>
        <w:ind w:left="0"/>
        <w:rPr>
          <w:lang w:val="en-GB"/>
        </w:rPr>
      </w:pPr>
      <w:r w:rsidRPr="00D943CF">
        <w:rPr>
          <w:lang w:val="fr-BE"/>
        </w:rPr>
        <w:t xml:space="preserve">Le travail de recherche mené pendant la phase préliminaire permettra d’examiner les textes existants sur cette question et aussi de </w:t>
      </w:r>
      <w:r w:rsidR="002E6E54">
        <w:rPr>
          <w:lang w:val="fr-BE"/>
        </w:rPr>
        <w:t>réunir</w:t>
      </w:r>
      <w:r w:rsidRPr="00D943CF">
        <w:rPr>
          <w:lang w:val="fr-BE"/>
        </w:rPr>
        <w:t xml:space="preserve"> les preuves disponibles (OIT, partenariats syndicaux, programmes nationaux de coopération,…).</w:t>
      </w:r>
      <w:r w:rsidR="002E6E54">
        <w:rPr>
          <w:lang w:val="fr-BE"/>
        </w:rPr>
        <w:t xml:space="preserve"> </w:t>
      </w:r>
    </w:p>
    <w:p w:rsidR="00A71C0F" w:rsidRDefault="00A71C0F" w:rsidP="00A71C0F">
      <w:pPr>
        <w:pStyle w:val="Prrafodelista"/>
        <w:ind w:left="0"/>
        <w:rPr>
          <w:lang w:val="en-GB"/>
        </w:rPr>
      </w:pPr>
    </w:p>
    <w:p w:rsidR="00A71C0F" w:rsidRPr="006B33EB" w:rsidRDefault="00EC726E" w:rsidP="00D943CF">
      <w:pPr>
        <w:pStyle w:val="Prrafodelista"/>
        <w:spacing w:line="280" w:lineRule="auto"/>
        <w:ind w:left="0"/>
        <w:rPr>
          <w:lang w:val="en-GB"/>
        </w:rPr>
      </w:pPr>
      <w:r w:rsidRPr="00D943CF">
        <w:rPr>
          <w:lang w:val="fr-BE"/>
        </w:rPr>
        <w:t xml:space="preserve">Afin de pouvoir couvrir les questions </w:t>
      </w:r>
      <w:r w:rsidR="0091141C" w:rsidRPr="00D943CF">
        <w:rPr>
          <w:lang w:val="fr-BE"/>
        </w:rPr>
        <w:t>énumérées ci-dessus, il convient de procéder à un rapide tour d’horizon de l’expérience en matière de dialogue social, en termes du contexte, du contenu, de la méthodologie et des résultats/difficultés.</w:t>
      </w:r>
      <w:r w:rsidR="002E6E54">
        <w:rPr>
          <w:lang w:val="en-GB"/>
        </w:rPr>
        <w:t xml:space="preserve"> </w:t>
      </w:r>
      <w:r w:rsidR="0091141C" w:rsidRPr="00D943CF">
        <w:rPr>
          <w:lang w:val="fr-BE"/>
        </w:rPr>
        <w:t xml:space="preserve">La recherche actuelle n’aborde pas les modalités du dialogue social en </w:t>
      </w:r>
      <w:r w:rsidR="002E6E54">
        <w:rPr>
          <w:lang w:val="fr-BE"/>
        </w:rPr>
        <w:t>tant que telles</w:t>
      </w:r>
      <w:r w:rsidR="0091141C" w:rsidRPr="00D943CF">
        <w:rPr>
          <w:lang w:val="fr-BE"/>
        </w:rPr>
        <w:t xml:space="preserve"> mais se concentre sur la contribution possible du DS, sa pertinence pour le développement (social et économique) et sa pérennité. </w:t>
      </w:r>
    </w:p>
    <w:p w:rsidR="00A71C0F" w:rsidRDefault="00A71C0F" w:rsidP="00A71C0F">
      <w:pPr>
        <w:pStyle w:val="Prrafodelista"/>
        <w:ind w:left="0"/>
        <w:rPr>
          <w:lang w:val="en-GB"/>
        </w:rPr>
      </w:pPr>
    </w:p>
    <w:p w:rsidR="00A71C0F" w:rsidRPr="00D3406E" w:rsidRDefault="0091141C" w:rsidP="00D943CF">
      <w:pPr>
        <w:pStyle w:val="Prrafodelista"/>
        <w:spacing w:line="280" w:lineRule="auto"/>
        <w:ind w:left="0"/>
        <w:rPr>
          <w:b/>
          <w:u w:val="single"/>
          <w:lang w:val="en-GB"/>
        </w:rPr>
      </w:pPr>
      <w:r w:rsidRPr="00D943CF">
        <w:rPr>
          <w:b/>
          <w:u w:val="single"/>
          <w:lang w:val="fr-BE"/>
        </w:rPr>
        <w:t>Méthodes de recherche suggérées.</w:t>
      </w:r>
      <w:r w:rsidR="00A71C0F" w:rsidRPr="00D3406E">
        <w:rPr>
          <w:b/>
          <w:u w:val="single"/>
          <w:lang w:val="en-GB"/>
        </w:rPr>
        <w:t xml:space="preserve"> </w:t>
      </w:r>
    </w:p>
    <w:p w:rsidR="00A71C0F" w:rsidRDefault="00A71C0F" w:rsidP="00A71C0F">
      <w:pPr>
        <w:pStyle w:val="Prrafodelista"/>
        <w:ind w:left="0"/>
        <w:rPr>
          <w:lang w:val="en-GB"/>
        </w:rPr>
      </w:pPr>
    </w:p>
    <w:tbl>
      <w:tblPr>
        <w:tblStyle w:val="Tablaconcuadrcula"/>
        <w:tblW w:w="0" w:type="auto"/>
        <w:tblLook w:val="04A0"/>
      </w:tblPr>
      <w:tblGrid>
        <w:gridCol w:w="819"/>
        <w:gridCol w:w="3050"/>
        <w:gridCol w:w="3170"/>
        <w:gridCol w:w="1997"/>
      </w:tblGrid>
      <w:tr w:rsidR="00325660" w:rsidTr="00D943CF">
        <w:tc>
          <w:tcPr>
            <w:tcW w:w="821" w:type="dxa"/>
          </w:tcPr>
          <w:p w:rsidR="00A71C0F" w:rsidRDefault="0091141C" w:rsidP="00393940">
            <w:pPr>
              <w:pStyle w:val="Prrafodelista"/>
              <w:ind w:left="0"/>
              <w:rPr>
                <w:lang w:val="en-GB"/>
              </w:rPr>
            </w:pPr>
            <w:r w:rsidRPr="00D943CF">
              <w:rPr>
                <w:lang w:val="fr-BE"/>
              </w:rPr>
              <w:t>Phase 1</w:t>
            </w:r>
          </w:p>
        </w:tc>
        <w:tc>
          <w:tcPr>
            <w:tcW w:w="2870" w:type="dxa"/>
          </w:tcPr>
          <w:p w:rsidR="00A71C0F" w:rsidRDefault="0091141C" w:rsidP="00393940">
            <w:pPr>
              <w:pStyle w:val="Prrafodelista"/>
              <w:ind w:left="0"/>
              <w:rPr>
                <w:lang w:val="en-GB"/>
              </w:rPr>
            </w:pPr>
            <w:r w:rsidRPr="00D943CF">
              <w:rPr>
                <w:lang w:val="fr-BE"/>
              </w:rPr>
              <w:t>Recherche en ligne sur les projets, pratiques et preuves existants</w:t>
            </w:r>
            <w:r w:rsidR="00A71C0F">
              <w:rPr>
                <w:lang w:val="en-GB"/>
              </w:rPr>
              <w:t xml:space="preserve"> </w:t>
            </w:r>
          </w:p>
        </w:tc>
        <w:tc>
          <w:tcPr>
            <w:tcW w:w="3222" w:type="dxa"/>
          </w:tcPr>
          <w:p w:rsidR="00A71C0F" w:rsidRDefault="0091141C" w:rsidP="00393940">
            <w:pPr>
              <w:pStyle w:val="Prrafodelista"/>
              <w:ind w:left="0"/>
              <w:rPr>
                <w:lang w:val="en-GB"/>
              </w:rPr>
            </w:pPr>
            <w:r w:rsidRPr="00691B4C">
              <w:rPr>
                <w:lang w:val="fr-BE"/>
              </w:rPr>
              <w:t>Sources :</w:t>
            </w:r>
            <w:r w:rsidR="00A71C0F">
              <w:rPr>
                <w:lang w:val="en-GB"/>
              </w:rPr>
              <w:t xml:space="preserve"> </w:t>
            </w:r>
            <w:r w:rsidRPr="00691B4C">
              <w:rPr>
                <w:lang w:val="fr-BE"/>
              </w:rPr>
              <w:t>OIT, projets existants des centrales syndicales nationales et des partenaires sociaux dans le domaine du développement</w:t>
            </w:r>
            <w:r w:rsidR="00A71C0F">
              <w:rPr>
                <w:lang w:val="en-GB"/>
              </w:rPr>
              <w:t xml:space="preserve"> </w:t>
            </w:r>
          </w:p>
        </w:tc>
        <w:tc>
          <w:tcPr>
            <w:tcW w:w="2015" w:type="dxa"/>
          </w:tcPr>
          <w:p w:rsidR="00A71C0F" w:rsidRDefault="0091141C" w:rsidP="005551A7">
            <w:pPr>
              <w:pStyle w:val="Prrafodelista"/>
              <w:ind w:left="0"/>
              <w:rPr>
                <w:lang w:val="en-GB"/>
              </w:rPr>
            </w:pPr>
            <w:r w:rsidRPr="00691B4C">
              <w:rPr>
                <w:lang w:val="fr-BE"/>
              </w:rPr>
              <w:t>Décembre 2014</w:t>
            </w:r>
          </w:p>
          <w:p w:rsidR="00A71C0F" w:rsidRDefault="00A71C0F" w:rsidP="005551A7">
            <w:pPr>
              <w:pStyle w:val="Prrafodelista"/>
              <w:ind w:left="0"/>
              <w:rPr>
                <w:lang w:val="en-GB"/>
              </w:rPr>
            </w:pPr>
          </w:p>
        </w:tc>
      </w:tr>
      <w:tr w:rsidR="00325660" w:rsidRPr="00D3406E" w:rsidTr="00D943CF">
        <w:tc>
          <w:tcPr>
            <w:tcW w:w="821" w:type="dxa"/>
          </w:tcPr>
          <w:p w:rsidR="00A71C0F" w:rsidRDefault="00A71C0F" w:rsidP="005551A7">
            <w:pPr>
              <w:pStyle w:val="Prrafodelista"/>
              <w:ind w:left="0"/>
              <w:rPr>
                <w:lang w:val="en-GB"/>
              </w:rPr>
            </w:pPr>
          </w:p>
        </w:tc>
        <w:tc>
          <w:tcPr>
            <w:tcW w:w="2870" w:type="dxa"/>
          </w:tcPr>
          <w:p w:rsidR="00A71C0F" w:rsidRDefault="0091141C" w:rsidP="00393940">
            <w:pPr>
              <w:pStyle w:val="Prrafodelista"/>
              <w:ind w:left="0"/>
              <w:rPr>
                <w:lang w:val="en-GB"/>
              </w:rPr>
            </w:pPr>
            <w:r w:rsidRPr="00325660">
              <w:rPr>
                <w:lang w:val="fr-BE"/>
              </w:rPr>
              <w:t xml:space="preserve">Réunion </w:t>
            </w:r>
            <w:r w:rsidR="005668C6" w:rsidRPr="00325660">
              <w:rPr>
                <w:lang w:val="fr-BE"/>
              </w:rPr>
              <w:t>avec l’équipe de recherche</w:t>
            </w:r>
          </w:p>
        </w:tc>
        <w:tc>
          <w:tcPr>
            <w:tcW w:w="3222" w:type="dxa"/>
          </w:tcPr>
          <w:p w:rsidR="00A71C0F" w:rsidRDefault="005668C6" w:rsidP="00393940">
            <w:pPr>
              <w:pStyle w:val="Prrafodelista"/>
              <w:ind w:left="0"/>
              <w:rPr>
                <w:lang w:val="en-GB"/>
              </w:rPr>
            </w:pPr>
            <w:r w:rsidRPr="00325660">
              <w:rPr>
                <w:lang w:val="fr-BE"/>
              </w:rPr>
              <w:t>Des données nationales et régionales seront recueillies avec le concours d’instituts de recherche régionaux (IDEAM, ALRN, AP, ...)</w:t>
            </w:r>
          </w:p>
        </w:tc>
        <w:tc>
          <w:tcPr>
            <w:tcW w:w="2015" w:type="dxa"/>
          </w:tcPr>
          <w:p w:rsidR="00A71C0F" w:rsidRDefault="005668C6" w:rsidP="00393940">
            <w:pPr>
              <w:pStyle w:val="Prrafodelista"/>
              <w:ind w:left="0"/>
              <w:rPr>
                <w:lang w:val="en-GB"/>
              </w:rPr>
            </w:pPr>
            <w:r w:rsidRPr="00325660">
              <w:rPr>
                <w:lang w:val="fr-BE"/>
              </w:rPr>
              <w:t>L’équipe se réunira du</w:t>
            </w:r>
            <w:r w:rsidR="00325660" w:rsidRPr="00325660">
              <w:rPr>
                <w:lang w:val="fr-BE"/>
              </w:rPr>
              <w:t>rant 3 jours pour évaluer les T</w:t>
            </w:r>
            <w:r w:rsidRPr="00325660">
              <w:rPr>
                <w:lang w:val="fr-BE"/>
              </w:rPr>
              <w:t xml:space="preserve">R et convenir de la méthodologie de recherche </w:t>
            </w:r>
          </w:p>
        </w:tc>
      </w:tr>
      <w:tr w:rsidR="00325660" w:rsidTr="00D943CF">
        <w:tc>
          <w:tcPr>
            <w:tcW w:w="821" w:type="dxa"/>
          </w:tcPr>
          <w:p w:rsidR="00A71C0F" w:rsidRDefault="005668C6" w:rsidP="00393940">
            <w:pPr>
              <w:pStyle w:val="Prrafodelista"/>
              <w:ind w:left="0"/>
              <w:rPr>
                <w:lang w:val="en-GB"/>
              </w:rPr>
            </w:pPr>
            <w:r w:rsidRPr="00325660">
              <w:rPr>
                <w:lang w:val="fr-BE"/>
              </w:rPr>
              <w:t>Phase 2</w:t>
            </w:r>
            <w:r w:rsidR="00A71C0F">
              <w:rPr>
                <w:lang w:val="en-GB"/>
              </w:rPr>
              <w:t xml:space="preserve"> </w:t>
            </w:r>
          </w:p>
        </w:tc>
        <w:tc>
          <w:tcPr>
            <w:tcW w:w="2870" w:type="dxa"/>
          </w:tcPr>
          <w:p w:rsidR="00A71C0F" w:rsidRDefault="005668C6" w:rsidP="00393940">
            <w:pPr>
              <w:pStyle w:val="Prrafodelista"/>
              <w:ind w:left="0"/>
              <w:rPr>
                <w:lang w:val="en-GB"/>
              </w:rPr>
            </w:pPr>
            <w:r w:rsidRPr="00325660">
              <w:rPr>
                <w:lang w:val="fr-BE"/>
              </w:rPr>
              <w:t>Identifier et étudier les expériences pertinentes au niveau de pays</w:t>
            </w:r>
            <w:r w:rsidR="002E6E54">
              <w:rPr>
                <w:lang w:val="fr-BE"/>
              </w:rPr>
              <w:t xml:space="preserve"> </w:t>
            </w:r>
          </w:p>
        </w:tc>
        <w:tc>
          <w:tcPr>
            <w:tcW w:w="3222" w:type="dxa"/>
          </w:tcPr>
          <w:p w:rsidR="00A71C0F" w:rsidRDefault="005668C6" w:rsidP="00393940">
            <w:pPr>
              <w:pStyle w:val="Prrafodelista"/>
              <w:ind w:left="0"/>
              <w:rPr>
                <w:lang w:val="en-GB"/>
              </w:rPr>
            </w:pPr>
            <w:r w:rsidRPr="00325660">
              <w:rPr>
                <w:lang w:val="fr-BE"/>
              </w:rPr>
              <w:t>Échantillons d’expériences de pays pertinentes, par continent</w:t>
            </w:r>
            <w:r w:rsidR="00A71C0F">
              <w:rPr>
                <w:lang w:val="en-GB"/>
              </w:rPr>
              <w:t xml:space="preserve"> </w:t>
            </w:r>
          </w:p>
        </w:tc>
        <w:tc>
          <w:tcPr>
            <w:tcW w:w="2015" w:type="dxa"/>
          </w:tcPr>
          <w:p w:rsidR="00A71C0F" w:rsidRDefault="005668C6" w:rsidP="005551A7">
            <w:pPr>
              <w:pStyle w:val="Prrafodelista"/>
              <w:ind w:left="0"/>
              <w:rPr>
                <w:lang w:val="en-GB"/>
              </w:rPr>
            </w:pPr>
            <w:r w:rsidRPr="00325660">
              <w:rPr>
                <w:lang w:val="fr-BE"/>
              </w:rPr>
              <w:t>Mars 2015</w:t>
            </w:r>
            <w:r w:rsidR="00A71C0F">
              <w:rPr>
                <w:lang w:val="en-GB"/>
              </w:rPr>
              <w:t xml:space="preserve"> </w:t>
            </w:r>
          </w:p>
          <w:p w:rsidR="00A71C0F" w:rsidRDefault="00A71C0F" w:rsidP="005551A7">
            <w:pPr>
              <w:pStyle w:val="Prrafodelista"/>
              <w:ind w:left="0"/>
              <w:rPr>
                <w:lang w:val="en-GB"/>
              </w:rPr>
            </w:pPr>
          </w:p>
        </w:tc>
      </w:tr>
      <w:tr w:rsidR="00325660" w:rsidTr="00D943CF">
        <w:tc>
          <w:tcPr>
            <w:tcW w:w="821" w:type="dxa"/>
          </w:tcPr>
          <w:p w:rsidR="00A71C0F" w:rsidRDefault="005668C6" w:rsidP="00393940">
            <w:pPr>
              <w:pStyle w:val="Prrafodelista"/>
              <w:ind w:left="0"/>
              <w:rPr>
                <w:lang w:val="en-GB"/>
              </w:rPr>
            </w:pPr>
            <w:r w:rsidRPr="00325660">
              <w:rPr>
                <w:lang w:val="fr-BE"/>
              </w:rPr>
              <w:t>Phase 3</w:t>
            </w:r>
          </w:p>
        </w:tc>
        <w:tc>
          <w:tcPr>
            <w:tcW w:w="2870" w:type="dxa"/>
          </w:tcPr>
          <w:p w:rsidR="00A71C0F" w:rsidRDefault="005668C6" w:rsidP="00393940">
            <w:pPr>
              <w:pStyle w:val="Prrafodelista"/>
              <w:ind w:left="0"/>
              <w:rPr>
                <w:lang w:val="en-GB"/>
              </w:rPr>
            </w:pPr>
            <w:r w:rsidRPr="00325660">
              <w:rPr>
                <w:lang w:val="fr-BE"/>
              </w:rPr>
              <w:t>Formulation de conclusions sur la pertinence du dialogue social en matière de développement</w:t>
            </w:r>
            <w:r w:rsidR="00A71C0F">
              <w:rPr>
                <w:lang w:val="en-GB"/>
              </w:rPr>
              <w:t xml:space="preserve"> </w:t>
            </w:r>
          </w:p>
        </w:tc>
        <w:tc>
          <w:tcPr>
            <w:tcW w:w="3222" w:type="dxa"/>
          </w:tcPr>
          <w:p w:rsidR="00A71C0F" w:rsidRDefault="005668C6" w:rsidP="00393940">
            <w:pPr>
              <w:pStyle w:val="Prrafodelista"/>
              <w:ind w:left="0"/>
              <w:rPr>
                <w:lang w:val="en-GB"/>
              </w:rPr>
            </w:pPr>
            <w:r w:rsidRPr="00325660">
              <w:rPr>
                <w:lang w:val="fr-BE"/>
              </w:rPr>
              <w:t>Première épreuve du rapport de l’étude</w:t>
            </w:r>
          </w:p>
        </w:tc>
        <w:tc>
          <w:tcPr>
            <w:tcW w:w="2015" w:type="dxa"/>
          </w:tcPr>
          <w:p w:rsidR="00A71C0F" w:rsidRDefault="005668C6" w:rsidP="00393940">
            <w:pPr>
              <w:pStyle w:val="Prrafodelista"/>
              <w:ind w:left="0"/>
              <w:rPr>
                <w:lang w:val="en-GB"/>
              </w:rPr>
            </w:pPr>
            <w:r w:rsidRPr="00325660">
              <w:rPr>
                <w:lang w:val="fr-BE"/>
              </w:rPr>
              <w:t>Mai 2015</w:t>
            </w:r>
          </w:p>
        </w:tc>
      </w:tr>
      <w:tr w:rsidR="00325660" w:rsidRPr="00D3406E" w:rsidTr="00D943CF">
        <w:tc>
          <w:tcPr>
            <w:tcW w:w="821" w:type="dxa"/>
          </w:tcPr>
          <w:p w:rsidR="00A71C0F" w:rsidRDefault="005668C6" w:rsidP="00393940">
            <w:pPr>
              <w:pStyle w:val="Prrafodelista"/>
              <w:ind w:left="0"/>
              <w:rPr>
                <w:lang w:val="en-GB"/>
              </w:rPr>
            </w:pPr>
            <w:r w:rsidRPr="00325660">
              <w:rPr>
                <w:lang w:val="fr-BE"/>
              </w:rPr>
              <w:t>Phase 4</w:t>
            </w:r>
          </w:p>
        </w:tc>
        <w:tc>
          <w:tcPr>
            <w:tcW w:w="2870" w:type="dxa"/>
          </w:tcPr>
          <w:p w:rsidR="00A71C0F" w:rsidRDefault="00191B22" w:rsidP="00393940">
            <w:pPr>
              <w:pStyle w:val="Prrafodelista"/>
              <w:ind w:left="0"/>
              <w:rPr>
                <w:lang w:val="en-GB"/>
              </w:rPr>
            </w:pPr>
            <w:r w:rsidRPr="00325660">
              <w:rPr>
                <w:lang w:val="fr-BE"/>
              </w:rPr>
              <w:t>Vers des pratiques et des initiatives novatrices (séminaire)</w:t>
            </w:r>
          </w:p>
        </w:tc>
        <w:tc>
          <w:tcPr>
            <w:tcW w:w="3222" w:type="dxa"/>
          </w:tcPr>
          <w:p w:rsidR="00A71C0F" w:rsidRDefault="00191B22" w:rsidP="00393940">
            <w:pPr>
              <w:pStyle w:val="Prrafodelista"/>
              <w:ind w:left="0"/>
              <w:rPr>
                <w:lang w:val="en-GB"/>
              </w:rPr>
            </w:pPr>
            <w:r w:rsidRPr="00325660">
              <w:rPr>
                <w:lang w:val="fr-BE"/>
              </w:rPr>
              <w:t>Séminaire où le GT ad-hoc du RSCD et les partenaires examineront le premier jet du rapport</w:t>
            </w:r>
          </w:p>
        </w:tc>
        <w:tc>
          <w:tcPr>
            <w:tcW w:w="2015" w:type="dxa"/>
          </w:tcPr>
          <w:p w:rsidR="00A71C0F" w:rsidRDefault="00191B22" w:rsidP="00393940">
            <w:pPr>
              <w:pStyle w:val="Prrafodelista"/>
              <w:ind w:left="0"/>
              <w:rPr>
                <w:lang w:val="en-GB"/>
              </w:rPr>
            </w:pPr>
            <w:r w:rsidRPr="00325660">
              <w:rPr>
                <w:lang w:val="fr-BE"/>
              </w:rPr>
              <w:t>Mai 2015</w:t>
            </w:r>
          </w:p>
        </w:tc>
      </w:tr>
      <w:tr w:rsidR="00325660" w:rsidRPr="00BB7903" w:rsidTr="00D943CF">
        <w:tc>
          <w:tcPr>
            <w:tcW w:w="821" w:type="dxa"/>
          </w:tcPr>
          <w:p w:rsidR="00A71C0F" w:rsidRDefault="00191B22" w:rsidP="00393940">
            <w:pPr>
              <w:pStyle w:val="Prrafodelista"/>
              <w:ind w:left="0"/>
              <w:rPr>
                <w:lang w:val="en-GB"/>
              </w:rPr>
            </w:pPr>
            <w:r w:rsidRPr="00325660">
              <w:rPr>
                <w:lang w:val="fr-BE"/>
              </w:rPr>
              <w:t>Phase 5</w:t>
            </w:r>
          </w:p>
        </w:tc>
        <w:tc>
          <w:tcPr>
            <w:tcW w:w="2870" w:type="dxa"/>
          </w:tcPr>
          <w:p w:rsidR="00A71C0F" w:rsidRDefault="00191B22" w:rsidP="00393940">
            <w:pPr>
              <w:pStyle w:val="Prrafodelista"/>
              <w:ind w:left="0"/>
              <w:rPr>
                <w:lang w:val="en-GB"/>
              </w:rPr>
            </w:pPr>
            <w:r w:rsidRPr="00325660">
              <w:rPr>
                <w:lang w:val="fr-BE"/>
              </w:rPr>
              <w:t>Rédaction du rapport et formulation de recommandations/propositions</w:t>
            </w:r>
          </w:p>
        </w:tc>
        <w:tc>
          <w:tcPr>
            <w:tcW w:w="3222" w:type="dxa"/>
          </w:tcPr>
          <w:p w:rsidR="00A71C0F" w:rsidRDefault="00191B22" w:rsidP="00393940">
            <w:pPr>
              <w:pStyle w:val="Prrafodelista"/>
              <w:ind w:left="0"/>
              <w:rPr>
                <w:lang w:val="en-GB"/>
              </w:rPr>
            </w:pPr>
            <w:r w:rsidRPr="00325660">
              <w:rPr>
                <w:lang w:val="fr-BE"/>
              </w:rPr>
              <w:t>Rapport final</w:t>
            </w:r>
            <w:r w:rsidR="00A71C0F">
              <w:rPr>
                <w:lang w:val="en-GB"/>
              </w:rPr>
              <w:t xml:space="preserve"> </w:t>
            </w:r>
          </w:p>
        </w:tc>
        <w:tc>
          <w:tcPr>
            <w:tcW w:w="2015" w:type="dxa"/>
          </w:tcPr>
          <w:p w:rsidR="00A71C0F" w:rsidRDefault="00191B22" w:rsidP="00393940">
            <w:pPr>
              <w:pStyle w:val="Prrafodelista"/>
              <w:ind w:left="0"/>
              <w:rPr>
                <w:lang w:val="en-GB"/>
              </w:rPr>
            </w:pPr>
            <w:r w:rsidRPr="00325660">
              <w:rPr>
                <w:lang w:val="fr-BE"/>
              </w:rPr>
              <w:t>Septembre</w:t>
            </w:r>
          </w:p>
        </w:tc>
      </w:tr>
      <w:tr w:rsidR="00325660" w:rsidTr="00D943CF">
        <w:tc>
          <w:tcPr>
            <w:tcW w:w="821" w:type="dxa"/>
          </w:tcPr>
          <w:p w:rsidR="00A71C0F" w:rsidRDefault="00A71C0F" w:rsidP="005551A7">
            <w:pPr>
              <w:pStyle w:val="Prrafodelista"/>
              <w:ind w:left="0"/>
              <w:rPr>
                <w:lang w:val="en-GB"/>
              </w:rPr>
            </w:pPr>
          </w:p>
        </w:tc>
        <w:tc>
          <w:tcPr>
            <w:tcW w:w="2870" w:type="dxa"/>
          </w:tcPr>
          <w:p w:rsidR="00A71C0F" w:rsidRDefault="00191B22" w:rsidP="00393940">
            <w:pPr>
              <w:pStyle w:val="Prrafodelista"/>
              <w:ind w:left="0"/>
              <w:rPr>
                <w:lang w:val="en-GB"/>
              </w:rPr>
            </w:pPr>
            <w:r w:rsidRPr="00325660">
              <w:rPr>
                <w:lang w:val="fr-BE"/>
              </w:rPr>
              <w:t>Lancement du Partenariat</w:t>
            </w:r>
            <w:r w:rsidR="00A71C0F">
              <w:rPr>
                <w:lang w:val="en-GB"/>
              </w:rPr>
              <w:t xml:space="preserve"> </w:t>
            </w:r>
          </w:p>
        </w:tc>
        <w:tc>
          <w:tcPr>
            <w:tcW w:w="3222" w:type="dxa"/>
          </w:tcPr>
          <w:p w:rsidR="00A71C0F" w:rsidRDefault="00191B22" w:rsidP="005551A7">
            <w:pPr>
              <w:pStyle w:val="Prrafodelista"/>
              <w:ind w:left="0"/>
              <w:rPr>
                <w:lang w:val="en-GB"/>
              </w:rPr>
            </w:pPr>
            <w:r w:rsidRPr="00325660">
              <w:rPr>
                <w:lang w:val="fr-BE"/>
              </w:rPr>
              <w:t>Conférence avec les partenaires</w:t>
            </w:r>
            <w:r w:rsidR="00A71C0F">
              <w:rPr>
                <w:lang w:val="en-GB"/>
              </w:rPr>
              <w:t xml:space="preserve"> </w:t>
            </w:r>
          </w:p>
          <w:p w:rsidR="00A71C0F" w:rsidRDefault="00191B22" w:rsidP="00393940">
            <w:pPr>
              <w:pStyle w:val="Prrafodelista"/>
              <w:ind w:left="0"/>
              <w:rPr>
                <w:lang w:val="en-GB"/>
              </w:rPr>
            </w:pPr>
            <w:r w:rsidRPr="00325660">
              <w:rPr>
                <w:lang w:val="fr-BE"/>
              </w:rPr>
              <w:t>UE + partenaires du CAD</w:t>
            </w:r>
            <w:r w:rsidR="00A71C0F">
              <w:rPr>
                <w:lang w:val="en-GB"/>
              </w:rPr>
              <w:t xml:space="preserve"> </w:t>
            </w:r>
          </w:p>
        </w:tc>
        <w:tc>
          <w:tcPr>
            <w:tcW w:w="2015" w:type="dxa"/>
          </w:tcPr>
          <w:p w:rsidR="00A71C0F" w:rsidRDefault="00191B22" w:rsidP="00393940">
            <w:pPr>
              <w:pStyle w:val="Prrafodelista"/>
              <w:ind w:left="0"/>
              <w:rPr>
                <w:lang w:val="en-GB"/>
              </w:rPr>
            </w:pPr>
            <w:r w:rsidRPr="00325660">
              <w:rPr>
                <w:lang w:val="fr-BE"/>
              </w:rPr>
              <w:t>Octobre 2015</w:t>
            </w:r>
          </w:p>
        </w:tc>
      </w:tr>
      <w:tr w:rsidR="00325660" w:rsidTr="00D943CF">
        <w:tc>
          <w:tcPr>
            <w:tcW w:w="821" w:type="dxa"/>
          </w:tcPr>
          <w:p w:rsidR="00A71C0F" w:rsidRDefault="00191B22" w:rsidP="00393940">
            <w:pPr>
              <w:pStyle w:val="Prrafodelista"/>
              <w:ind w:left="0"/>
              <w:rPr>
                <w:lang w:val="en-GB"/>
              </w:rPr>
            </w:pPr>
            <w:r w:rsidRPr="00325660">
              <w:rPr>
                <w:lang w:val="fr-BE"/>
              </w:rPr>
              <w:t>Phase 6</w:t>
            </w:r>
          </w:p>
        </w:tc>
        <w:tc>
          <w:tcPr>
            <w:tcW w:w="2870" w:type="dxa"/>
          </w:tcPr>
          <w:p w:rsidR="00A71C0F" w:rsidRDefault="00191B22" w:rsidP="00393940">
            <w:pPr>
              <w:pStyle w:val="Prrafodelista"/>
              <w:ind w:left="0"/>
              <w:rPr>
                <w:lang w:val="en-GB"/>
              </w:rPr>
            </w:pPr>
            <w:r w:rsidRPr="00325660">
              <w:rPr>
                <w:lang w:val="fr-BE"/>
              </w:rPr>
              <w:t>Dissémination et soutien</w:t>
            </w:r>
            <w:r w:rsidR="00A71C0F">
              <w:rPr>
                <w:lang w:val="en-GB"/>
              </w:rPr>
              <w:t xml:space="preserve"> </w:t>
            </w:r>
          </w:p>
        </w:tc>
        <w:tc>
          <w:tcPr>
            <w:tcW w:w="3222" w:type="dxa"/>
          </w:tcPr>
          <w:p w:rsidR="00A71C0F" w:rsidRDefault="00191B22" w:rsidP="00393940">
            <w:pPr>
              <w:pStyle w:val="Prrafodelista"/>
              <w:ind w:left="0"/>
              <w:rPr>
                <w:lang w:val="en-GB"/>
              </w:rPr>
            </w:pPr>
            <w:r w:rsidRPr="00325660">
              <w:rPr>
                <w:lang w:val="fr-BE"/>
              </w:rPr>
              <w:t>Traductions et publications</w:t>
            </w:r>
          </w:p>
        </w:tc>
        <w:tc>
          <w:tcPr>
            <w:tcW w:w="2015" w:type="dxa"/>
          </w:tcPr>
          <w:p w:rsidR="00A71C0F" w:rsidRDefault="00191B22" w:rsidP="00393940">
            <w:pPr>
              <w:pStyle w:val="Prrafodelista"/>
              <w:ind w:left="0"/>
              <w:rPr>
                <w:lang w:val="en-GB"/>
              </w:rPr>
            </w:pPr>
            <w:r w:rsidRPr="00325660">
              <w:rPr>
                <w:lang w:val="fr-BE"/>
              </w:rPr>
              <w:t>Décembre 2015</w:t>
            </w:r>
          </w:p>
        </w:tc>
      </w:tr>
    </w:tbl>
    <w:p w:rsidR="00A71C0F" w:rsidRDefault="00A71C0F" w:rsidP="00A71C0F">
      <w:pPr>
        <w:pStyle w:val="Prrafodelista"/>
        <w:ind w:left="0"/>
        <w:rPr>
          <w:lang w:val="en-GB"/>
        </w:rPr>
      </w:pPr>
    </w:p>
    <w:p w:rsidR="00A71C0F" w:rsidRPr="005A74BF" w:rsidRDefault="00191B22" w:rsidP="00325660">
      <w:pPr>
        <w:spacing w:line="280" w:lineRule="auto"/>
        <w:rPr>
          <w:b/>
          <w:u w:val="single"/>
          <w:lang w:val="en-GB"/>
        </w:rPr>
      </w:pPr>
      <w:r w:rsidRPr="00325660">
        <w:rPr>
          <w:b/>
          <w:u w:val="single"/>
          <w:lang w:val="fr-BE"/>
        </w:rPr>
        <w:t>Résultat politique et suivi.</w:t>
      </w:r>
      <w:r w:rsidR="00A71C0F" w:rsidRPr="005A74BF">
        <w:rPr>
          <w:b/>
          <w:u w:val="single"/>
          <w:lang w:val="en-GB"/>
        </w:rPr>
        <w:t xml:space="preserve"> </w:t>
      </w:r>
    </w:p>
    <w:p w:rsidR="00A71C0F" w:rsidRDefault="00191B22" w:rsidP="00325660">
      <w:pPr>
        <w:spacing w:line="280" w:lineRule="auto"/>
        <w:rPr>
          <w:lang w:val="en-GB"/>
        </w:rPr>
      </w:pPr>
      <w:r w:rsidRPr="00325660">
        <w:rPr>
          <w:lang w:val="fr-BE"/>
        </w:rPr>
        <w:t>Les conclus</w:t>
      </w:r>
      <w:r w:rsidR="002E6E54">
        <w:rPr>
          <w:lang w:val="fr-BE"/>
        </w:rPr>
        <w:t xml:space="preserve">ions et </w:t>
      </w:r>
      <w:r w:rsidRPr="00325660">
        <w:rPr>
          <w:lang w:val="fr-BE"/>
        </w:rPr>
        <w:t xml:space="preserve">propositions issues de l’étude devront servir de catalyseur pour la création d’un </w:t>
      </w:r>
      <w:r w:rsidRPr="00325660">
        <w:rPr>
          <w:b/>
          <w:lang w:val="fr-BE"/>
        </w:rPr>
        <w:t>« Partenariat pour le dialogue social dans le développement »</w:t>
      </w:r>
      <w:r w:rsidRPr="00325660">
        <w:rPr>
          <w:lang w:val="fr-BE"/>
        </w:rPr>
        <w:t xml:space="preserve"> qui réunira tous les partenaires intéressés au sein d’une « coalition des bonnes volontés », pour inscrire le dialogue social dans les stratégies de développement à tous les niveaux et promouvoir des programmes et des approches concrets au niveau de</w:t>
      </w:r>
      <w:r w:rsidR="00325660">
        <w:rPr>
          <w:lang w:val="fr-BE"/>
        </w:rPr>
        <w:t>s</w:t>
      </w:r>
      <w:r w:rsidRPr="00325660">
        <w:rPr>
          <w:lang w:val="fr-BE"/>
        </w:rPr>
        <w:t xml:space="preserve"> pays.</w:t>
      </w:r>
      <w:r w:rsidR="002E6E54">
        <w:rPr>
          <w:lang w:val="en-GB"/>
        </w:rPr>
        <w:t xml:space="preserve"> </w:t>
      </w:r>
    </w:p>
    <w:p w:rsidR="00A71C0F" w:rsidRPr="00E65C42" w:rsidRDefault="00191B22" w:rsidP="00325660">
      <w:pPr>
        <w:spacing w:after="0" w:line="280" w:lineRule="auto"/>
        <w:rPr>
          <w:i/>
          <w:lang w:val="en-GB"/>
        </w:rPr>
      </w:pPr>
      <w:r w:rsidRPr="00325660">
        <w:rPr>
          <w:i/>
          <w:lang w:val="fr-BE"/>
        </w:rPr>
        <w:t xml:space="preserve">Ce Partenariat pourrait </w:t>
      </w:r>
      <w:r w:rsidR="00325660" w:rsidRPr="00325660">
        <w:rPr>
          <w:i/>
          <w:lang w:val="fr-BE"/>
        </w:rPr>
        <w:t>prendre la forme d’une</w:t>
      </w:r>
      <w:r w:rsidRPr="00325660">
        <w:rPr>
          <w:i/>
          <w:lang w:val="fr-BE"/>
        </w:rPr>
        <w:t xml:space="preserve"> plateforme</w:t>
      </w:r>
      <w:r w:rsidR="00A71C0F" w:rsidRPr="00E65C42">
        <w:rPr>
          <w:i/>
          <w:lang w:val="en-GB"/>
        </w:rPr>
        <w:t xml:space="preserve"> </w:t>
      </w:r>
    </w:p>
    <w:p w:rsidR="00A71C0F" w:rsidRPr="00E65C42" w:rsidRDefault="00191B22" w:rsidP="00325660">
      <w:pPr>
        <w:pStyle w:val="Prrafodelista"/>
        <w:numPr>
          <w:ilvl w:val="0"/>
          <w:numId w:val="1"/>
        </w:numPr>
        <w:spacing w:after="120" w:line="280" w:lineRule="auto"/>
        <w:ind w:left="708"/>
        <w:rPr>
          <w:i/>
          <w:lang w:val="en-GB"/>
        </w:rPr>
      </w:pPr>
      <w:r w:rsidRPr="00325660">
        <w:rPr>
          <w:i/>
          <w:lang w:val="fr-BE"/>
        </w:rPr>
        <w:t>« à part entière » (réunissant autour d’une même table les gouvernements, l’OIT et les partenaires) ou</w:t>
      </w:r>
      <w:r w:rsidR="00A71C0F" w:rsidRPr="00E65C42">
        <w:rPr>
          <w:i/>
          <w:lang w:val="en-GB"/>
        </w:rPr>
        <w:t xml:space="preserve"> </w:t>
      </w:r>
    </w:p>
    <w:p w:rsidR="00A71C0F" w:rsidRPr="00E65C42" w:rsidRDefault="00464297" w:rsidP="00325660">
      <w:pPr>
        <w:pStyle w:val="Prrafodelista"/>
        <w:numPr>
          <w:ilvl w:val="0"/>
          <w:numId w:val="1"/>
        </w:numPr>
        <w:spacing w:after="120" w:line="280" w:lineRule="auto"/>
        <w:ind w:left="708"/>
        <w:rPr>
          <w:i/>
          <w:lang w:val="en-GB"/>
        </w:rPr>
      </w:pPr>
      <w:r w:rsidRPr="00325660">
        <w:rPr>
          <w:i/>
          <w:lang w:val="fr-BE"/>
        </w:rPr>
        <w:t xml:space="preserve">s’inscrire dans le cadre de notre suivi </w:t>
      </w:r>
      <w:r w:rsidR="00325660" w:rsidRPr="00325660">
        <w:rPr>
          <w:i/>
          <w:lang w:val="fr-BE"/>
        </w:rPr>
        <w:t>avec le</w:t>
      </w:r>
      <w:r w:rsidRPr="00325660">
        <w:rPr>
          <w:i/>
          <w:lang w:val="fr-BE"/>
        </w:rPr>
        <w:t xml:space="preserve"> CAD (à présenter au Forum Syndicats-CAD) ou encore</w:t>
      </w:r>
      <w:r w:rsidR="00A71C0F" w:rsidRPr="00E65C42">
        <w:rPr>
          <w:i/>
          <w:lang w:val="en-GB"/>
        </w:rPr>
        <w:t xml:space="preserve"> </w:t>
      </w:r>
    </w:p>
    <w:p w:rsidR="00A71C0F" w:rsidRPr="00E65C42" w:rsidRDefault="00464297" w:rsidP="00325660">
      <w:pPr>
        <w:pStyle w:val="Prrafodelista"/>
        <w:numPr>
          <w:ilvl w:val="0"/>
          <w:numId w:val="1"/>
        </w:numPr>
        <w:spacing w:after="120" w:line="280" w:lineRule="auto"/>
        <w:ind w:left="708"/>
        <w:rPr>
          <w:i/>
          <w:lang w:val="en-GB"/>
        </w:rPr>
      </w:pPr>
      <w:r w:rsidRPr="00325660">
        <w:rPr>
          <w:i/>
          <w:lang w:val="fr-BE"/>
        </w:rPr>
        <w:t>dans le cadre des « initiatives volontaires » du PMCED (cf. volet développement inclusif), avec également une participation des acteurs intéressés du « secteur privé »</w:t>
      </w:r>
    </w:p>
    <w:p w:rsidR="00A71C0F" w:rsidRPr="00412CDB" w:rsidRDefault="00A71C0F" w:rsidP="00A71C0F">
      <w:pPr>
        <w:rPr>
          <w:lang w:val="en-GB"/>
        </w:rPr>
      </w:pPr>
    </w:p>
    <w:p w:rsidR="003A0DF9" w:rsidRPr="00A71C0F" w:rsidRDefault="003A0DF9" w:rsidP="00A71C0F">
      <w:pPr>
        <w:pStyle w:val="SubTitulo"/>
        <w:rPr>
          <w:rFonts w:ascii="Times New Roman" w:hAnsi="Times New Roman" w:cs="Times New Roman"/>
          <w:lang w:val="en-GB"/>
        </w:rPr>
      </w:pPr>
    </w:p>
    <w:sectPr w:rsidR="003A0DF9" w:rsidRPr="00A71C0F" w:rsidSect="003A0DF9">
      <w:headerReference w:type="even" r:id="rId8"/>
      <w:headerReference w:type="default" r:id="rId9"/>
      <w:headerReference w:type="first" r:id="rId10"/>
      <w:pgSz w:w="11906" w:h="16838"/>
      <w:pgMar w:top="1977" w:right="1466" w:bottom="2516"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3D" w:rsidRDefault="00A10D3D" w:rsidP="00463227">
      <w:pPr>
        <w:spacing w:after="0" w:line="240" w:lineRule="auto"/>
      </w:pPr>
      <w:r>
        <w:separator/>
      </w:r>
    </w:p>
  </w:endnote>
  <w:endnote w:type="continuationSeparator" w:id="0">
    <w:p w:rsidR="00A10D3D" w:rsidRDefault="00A10D3D" w:rsidP="00463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KlavikaRegular-OSF">
    <w:altName w:val="Segoe UI"/>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3D" w:rsidRDefault="00A10D3D" w:rsidP="00463227">
      <w:pPr>
        <w:spacing w:after="0" w:line="240" w:lineRule="auto"/>
      </w:pPr>
      <w:r>
        <w:separator/>
      </w:r>
    </w:p>
  </w:footnote>
  <w:footnote w:type="continuationSeparator" w:id="0">
    <w:p w:rsidR="00A10D3D" w:rsidRDefault="00A10D3D" w:rsidP="00463227">
      <w:pPr>
        <w:spacing w:after="0" w:line="240" w:lineRule="auto"/>
      </w:pPr>
      <w:r>
        <w:continuationSeparator/>
      </w:r>
    </w:p>
  </w:footnote>
  <w:footnote w:id="1">
    <w:p w:rsidR="005668C6" w:rsidRPr="00FF2515" w:rsidRDefault="005668C6" w:rsidP="005551A7">
      <w:pPr>
        <w:pStyle w:val="Textonotapie"/>
        <w:rPr>
          <w:lang w:val="en-GB"/>
        </w:rPr>
      </w:pPr>
      <w:r>
        <w:rPr>
          <w:rStyle w:val="Refdenotaalpie"/>
        </w:rPr>
        <w:footnoteRef/>
      </w:r>
      <w:r w:rsidRPr="00FF2515">
        <w:rPr>
          <w:lang w:val="en-GB"/>
        </w:rPr>
        <w:t xml:space="preserve"> </w:t>
      </w:r>
      <w:hyperlink r:id="rId1" w:history="1">
        <w:r w:rsidR="002E6E54">
          <w:rPr>
            <w:rStyle w:val="Hipervnculo"/>
            <w:lang w:val="en-GB"/>
          </w:rPr>
          <w:t>http://ilo.org/global/standards/introduction-to-international-labour-standards/conventions-and-recommendations/lang--fr/index.htm</w:t>
        </w:r>
      </w:hyperlink>
      <w:r>
        <w:rPr>
          <w:lang w:val="en-GB"/>
        </w:rPr>
        <w:t xml:space="preserve"> </w:t>
      </w:r>
    </w:p>
  </w:footnote>
  <w:footnote w:id="2">
    <w:p w:rsidR="005668C6" w:rsidRPr="00D734A7" w:rsidRDefault="005668C6" w:rsidP="003E54C1">
      <w:pPr>
        <w:pStyle w:val="Ttulo5"/>
        <w:spacing w:before="120" w:beforeAutospacing="0" w:after="0" w:afterAutospacing="0"/>
        <w:rPr>
          <w:b w:val="0"/>
          <w:sz w:val="16"/>
          <w:lang w:val="fr-FR"/>
        </w:rPr>
      </w:pPr>
      <w:r w:rsidRPr="00DC4542">
        <w:rPr>
          <w:rStyle w:val="Refdenotaalpie"/>
          <w:b w:val="0"/>
        </w:rPr>
        <w:footnoteRef/>
      </w:r>
      <w:r w:rsidRPr="00FF2515">
        <w:rPr>
          <w:lang w:val="en-GB"/>
        </w:rPr>
        <w:t xml:space="preserve"> </w:t>
      </w:r>
      <w:r w:rsidRPr="00FF2515">
        <w:rPr>
          <w:sz w:val="16"/>
          <w:lang w:val="en-GB"/>
        </w:rPr>
        <w:t xml:space="preserve">Article 3 </w:t>
      </w:r>
      <w:r w:rsidR="00D734A7" w:rsidRPr="00D734A7">
        <w:rPr>
          <w:b w:val="0"/>
          <w:sz w:val="16"/>
          <w:lang w:val="fr-FR"/>
        </w:rPr>
        <w:t xml:space="preserve">Des organismes appropriés aux conditions nationales doivent, si nécessaire, </w:t>
      </w:r>
      <w:proofErr w:type="gramStart"/>
      <w:r w:rsidR="00D734A7" w:rsidRPr="00D734A7">
        <w:rPr>
          <w:b w:val="0"/>
          <w:sz w:val="16"/>
          <w:lang w:val="fr-FR"/>
        </w:rPr>
        <w:t>être</w:t>
      </w:r>
      <w:proofErr w:type="gramEnd"/>
      <w:r w:rsidR="00D734A7" w:rsidRPr="00D734A7">
        <w:rPr>
          <w:b w:val="0"/>
          <w:sz w:val="16"/>
          <w:lang w:val="fr-FR"/>
        </w:rPr>
        <w:t xml:space="preserve"> institués pour assurer le respect du droit d'organisation défini par les articles précédents</w:t>
      </w:r>
      <w:r w:rsidRPr="00D734A7">
        <w:rPr>
          <w:b w:val="0"/>
          <w:sz w:val="16"/>
          <w:lang w:val="fr-FR"/>
        </w:rPr>
        <w:t>.</w:t>
      </w:r>
    </w:p>
    <w:p w:rsidR="005668C6" w:rsidRPr="00D734A7" w:rsidRDefault="005668C6" w:rsidP="003E54C1">
      <w:pPr>
        <w:pStyle w:val="Ttulo5"/>
        <w:spacing w:before="0" w:beforeAutospacing="0" w:after="0" w:afterAutospacing="0"/>
        <w:rPr>
          <w:b w:val="0"/>
          <w:sz w:val="16"/>
          <w:lang w:val="fr-FR"/>
        </w:rPr>
      </w:pPr>
      <w:r w:rsidRPr="00D734A7">
        <w:rPr>
          <w:sz w:val="16"/>
          <w:lang w:val="fr-FR"/>
        </w:rPr>
        <w:t xml:space="preserve">Article 4 </w:t>
      </w:r>
      <w:r w:rsidR="00D734A7" w:rsidRPr="00D734A7">
        <w:rPr>
          <w:b w:val="0"/>
          <w:sz w:val="16"/>
          <w:lang w:val="fr-FR"/>
        </w:rPr>
        <w:t>Des mesures appropriées aux conditions nationales doivent, si nécessaire, être prises pour encourager et promouvoir le développement et l'utilisation les plus larges de procédures de négociation volontaire de conventions collectives entre les employeurs et les organisations d'employeurs d'une part, et les organisations de travailleurs d'autre part, en vue de régler par ce moyen les conditions d'emploi</w:t>
      </w:r>
      <w:r w:rsidRPr="00D734A7">
        <w:rPr>
          <w:b w:val="0"/>
          <w:sz w:val="16"/>
          <w:lang w:val="fr-FR"/>
        </w:rPr>
        <w:t>.</w:t>
      </w:r>
    </w:p>
    <w:p w:rsidR="005668C6" w:rsidRPr="00FF2515" w:rsidRDefault="005668C6" w:rsidP="003E54C1">
      <w:pPr>
        <w:pStyle w:val="Textonotapie"/>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C6" w:rsidRDefault="009217BE">
    <w:pPr>
      <w:pStyle w:val="Encabezado"/>
    </w:pPr>
    <w:r w:rsidRPr="009217B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C6" w:rsidRDefault="009217BE">
    <w:pPr>
      <w:pStyle w:val="Encabezado"/>
    </w:pPr>
    <w:r w:rsidRPr="009217B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C6" w:rsidRDefault="009217BE">
    <w:pPr>
      <w:pStyle w:val="Encabezado"/>
    </w:pPr>
    <w:r w:rsidRPr="009217B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63227"/>
    <w:rsid w:val="00037317"/>
    <w:rsid w:val="00090EA6"/>
    <w:rsid w:val="00105D9B"/>
    <w:rsid w:val="001175CD"/>
    <w:rsid w:val="001351B9"/>
    <w:rsid w:val="001359DD"/>
    <w:rsid w:val="00191B22"/>
    <w:rsid w:val="0019279A"/>
    <w:rsid w:val="002450F8"/>
    <w:rsid w:val="002924CC"/>
    <w:rsid w:val="002B5A6B"/>
    <w:rsid w:val="002E6E54"/>
    <w:rsid w:val="002F4CD7"/>
    <w:rsid w:val="00325660"/>
    <w:rsid w:val="00393940"/>
    <w:rsid w:val="003A0DF9"/>
    <w:rsid w:val="003E54C1"/>
    <w:rsid w:val="00426DD8"/>
    <w:rsid w:val="0043404F"/>
    <w:rsid w:val="00463227"/>
    <w:rsid w:val="00464297"/>
    <w:rsid w:val="004E7CDD"/>
    <w:rsid w:val="00534BB1"/>
    <w:rsid w:val="005551A7"/>
    <w:rsid w:val="005613F6"/>
    <w:rsid w:val="005668C6"/>
    <w:rsid w:val="00583C45"/>
    <w:rsid w:val="005A21D0"/>
    <w:rsid w:val="00606ABE"/>
    <w:rsid w:val="00691B4C"/>
    <w:rsid w:val="006F0D56"/>
    <w:rsid w:val="00837765"/>
    <w:rsid w:val="008F7B6C"/>
    <w:rsid w:val="0091141C"/>
    <w:rsid w:val="009217BE"/>
    <w:rsid w:val="00960D00"/>
    <w:rsid w:val="009766A3"/>
    <w:rsid w:val="00A10D3D"/>
    <w:rsid w:val="00A635A2"/>
    <w:rsid w:val="00A71C0F"/>
    <w:rsid w:val="00B22128"/>
    <w:rsid w:val="00B50CDC"/>
    <w:rsid w:val="00B55C5F"/>
    <w:rsid w:val="00BC2F49"/>
    <w:rsid w:val="00C97769"/>
    <w:rsid w:val="00D734A7"/>
    <w:rsid w:val="00D943CF"/>
    <w:rsid w:val="00DA4368"/>
    <w:rsid w:val="00E96934"/>
    <w:rsid w:val="00EC726E"/>
    <w:rsid w:val="00ED1856"/>
    <w:rsid w:val="00F036F2"/>
    <w:rsid w:val="00FF39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F7B6C"/>
  </w:style>
  <w:style w:type="paragraph" w:styleId="Ttulo5">
    <w:name w:val="heading 5"/>
    <w:basedOn w:val="Normal"/>
    <w:link w:val="Ttulo5C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322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63227"/>
  </w:style>
  <w:style w:type="paragraph" w:styleId="Piedepgina">
    <w:name w:val="footer"/>
    <w:basedOn w:val="Normal"/>
    <w:link w:val="PiedepginaCar"/>
    <w:uiPriority w:val="99"/>
    <w:unhideWhenUsed/>
    <w:rsid w:val="0046322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Fuentedeprrafopredeter"/>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Fuentedeprrafopredeter"/>
    <w:link w:val="Titulo"/>
    <w:rsid w:val="003A0DF9"/>
    <w:rPr>
      <w:b/>
      <w:sz w:val="52"/>
      <w:szCs w:val="52"/>
    </w:rPr>
  </w:style>
  <w:style w:type="character" w:customStyle="1" w:styleId="SubTituloChar">
    <w:name w:val="SubTitulo Char"/>
    <w:basedOn w:val="Fuentedeprrafopredeter"/>
    <w:link w:val="SubTitulo"/>
    <w:rsid w:val="005613F6"/>
    <w:rPr>
      <w:sz w:val="36"/>
      <w:szCs w:val="36"/>
    </w:rPr>
  </w:style>
  <w:style w:type="character" w:customStyle="1" w:styleId="Ttulo5Car">
    <w:name w:val="Título 5 Car"/>
    <w:basedOn w:val="Fuentedeprrafopredeter"/>
    <w:link w:val="Ttulo5"/>
    <w:uiPriority w:val="9"/>
    <w:rsid w:val="00A71C0F"/>
    <w:rPr>
      <w:rFonts w:ascii="Times New Roman" w:eastAsia="Times New Roman" w:hAnsi="Times New Roman" w:cs="Times New Roman"/>
      <w:b/>
      <w:bCs/>
      <w:sz w:val="20"/>
      <w:szCs w:val="20"/>
      <w:lang w:val="nl-BE" w:eastAsia="nl-BE"/>
    </w:rPr>
  </w:style>
  <w:style w:type="paragraph" w:styleId="Prrafodelista">
    <w:name w:val="List Paragraph"/>
    <w:basedOn w:val="Normal"/>
    <w:uiPriority w:val="34"/>
    <w:qFormat/>
    <w:rsid w:val="00A71C0F"/>
    <w:pPr>
      <w:ind w:left="720"/>
      <w:contextualSpacing/>
    </w:pPr>
    <w:rPr>
      <w:lang w:val="nl-BE"/>
    </w:rPr>
  </w:style>
  <w:style w:type="paragraph" w:styleId="Textonotapie">
    <w:name w:val="footnote text"/>
    <w:basedOn w:val="Normal"/>
    <w:link w:val="TextonotapieCar"/>
    <w:uiPriority w:val="99"/>
    <w:semiHidden/>
    <w:unhideWhenUsed/>
    <w:rsid w:val="00A71C0F"/>
    <w:pPr>
      <w:spacing w:after="0" w:line="240" w:lineRule="auto"/>
    </w:pPr>
    <w:rPr>
      <w:sz w:val="20"/>
      <w:szCs w:val="20"/>
      <w:lang w:val="nl-BE"/>
    </w:rPr>
  </w:style>
  <w:style w:type="character" w:customStyle="1" w:styleId="TextonotapieCar">
    <w:name w:val="Texto nota pie Car"/>
    <w:basedOn w:val="Fuentedeprrafopredeter"/>
    <w:link w:val="Textonotapie"/>
    <w:uiPriority w:val="99"/>
    <w:semiHidden/>
    <w:rsid w:val="00A71C0F"/>
    <w:rPr>
      <w:sz w:val="20"/>
      <w:szCs w:val="20"/>
      <w:lang w:val="nl-BE"/>
    </w:rPr>
  </w:style>
  <w:style w:type="character" w:styleId="Refdenotaalpie">
    <w:name w:val="footnote reference"/>
    <w:basedOn w:val="Fuentedeprrafopredeter"/>
    <w:uiPriority w:val="99"/>
    <w:semiHidden/>
    <w:unhideWhenUsed/>
    <w:rsid w:val="00A71C0F"/>
    <w:rPr>
      <w:vertAlign w:val="superscript"/>
    </w:rPr>
  </w:style>
  <w:style w:type="character" w:styleId="Hipervnculo">
    <w:name w:val="Hyperlink"/>
    <w:basedOn w:val="Fuentedeprrafopredeter"/>
    <w:uiPriority w:val="99"/>
    <w:unhideWhenUsed/>
    <w:rsid w:val="00A71C0F"/>
    <w:rPr>
      <w:color w:val="0000FF" w:themeColor="hyperlink"/>
      <w:u w:val="single"/>
    </w:rPr>
  </w:style>
  <w:style w:type="table" w:styleId="Tablaconcuadrcula">
    <w:name w:val="Table Grid"/>
    <w:basedOn w:val="Tabla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4E7C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lo.org/global/standards/introduction-to-international-labour-standards/conventions-and-recommendations/lang--fr/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D92D-A779-4C95-BD24-C29A59A5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1898</Words>
  <Characters>10443</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International Trade Union Confederation</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DY Translations</cp:lastModifiedBy>
  <cp:revision>3</cp:revision>
  <dcterms:created xsi:type="dcterms:W3CDTF">2014-09-26T09:40:00Z</dcterms:created>
  <dcterms:modified xsi:type="dcterms:W3CDTF">2014-09-26T09:46:00Z</dcterms:modified>
</cp:coreProperties>
</file>