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FC6A7" w14:textId="77777777" w:rsidR="00A5170A" w:rsidRPr="00496C15" w:rsidRDefault="00A5170A" w:rsidP="00A5170A">
      <w:pPr>
        <w:spacing w:after="0" w:line="240" w:lineRule="auto"/>
        <w:jc w:val="both"/>
        <w:rPr>
          <w:rFonts w:ascii="Times New Roman" w:eastAsia="Times New Roman" w:hAnsi="Times New Roman" w:cs="Times New Roman"/>
          <w:b/>
          <w:color w:val="C00000"/>
          <w:sz w:val="32"/>
          <w:szCs w:val="32"/>
          <w:u w:val="single"/>
          <w:lang w:val="fr-BE"/>
        </w:rPr>
      </w:pPr>
      <w:r w:rsidRPr="00496C15">
        <w:rPr>
          <w:rFonts w:ascii="Times New Roman" w:eastAsia="Times New Roman" w:hAnsi="Times New Roman" w:cs="Times New Roman"/>
          <w:b/>
          <w:color w:val="C00000"/>
          <w:sz w:val="32"/>
          <w:szCs w:val="32"/>
          <w:u w:val="single"/>
          <w:lang w:val="fr-BE"/>
        </w:rPr>
        <w:t>Financements européens pour les syndicats : Approche future</w:t>
      </w:r>
    </w:p>
    <w:p w14:paraId="48D4D45A" w14:textId="77777777" w:rsidR="00A5170A" w:rsidRPr="00A5170A" w:rsidRDefault="00A5170A" w:rsidP="00A5170A">
      <w:pPr>
        <w:spacing w:after="0" w:line="240" w:lineRule="auto"/>
        <w:jc w:val="both"/>
        <w:rPr>
          <w:rFonts w:ascii="Times New Roman" w:eastAsia="Times New Roman" w:hAnsi="Times New Roman" w:cs="Times New Roman"/>
          <w:sz w:val="32"/>
          <w:szCs w:val="32"/>
          <w:lang w:val="fr-BE"/>
        </w:rPr>
      </w:pPr>
    </w:p>
    <w:p w14:paraId="27E358D0" w14:textId="77777777" w:rsidR="00A5170A" w:rsidRPr="00A5170A" w:rsidRDefault="00A5170A" w:rsidP="00A5170A">
      <w:pPr>
        <w:spacing w:after="0" w:line="240" w:lineRule="auto"/>
        <w:jc w:val="both"/>
        <w:rPr>
          <w:rFonts w:ascii="Times New Roman" w:eastAsia="Times New Roman" w:hAnsi="Times New Roman" w:cs="Times New Roman"/>
          <w:sz w:val="32"/>
          <w:szCs w:val="32"/>
          <w:lang w:val="fr-BE"/>
        </w:rPr>
      </w:pPr>
    </w:p>
    <w:p w14:paraId="57D2EE6A" w14:textId="77777777" w:rsidR="00A5170A" w:rsidRPr="00A5170A" w:rsidRDefault="00A5170A" w:rsidP="00A5170A">
      <w:pPr>
        <w:spacing w:after="0" w:line="240" w:lineRule="auto"/>
        <w:jc w:val="both"/>
        <w:rPr>
          <w:rFonts w:ascii="Times New Roman" w:eastAsia="Times New Roman" w:hAnsi="Times New Roman" w:cs="Times New Roman"/>
          <w:i/>
          <w:sz w:val="32"/>
          <w:szCs w:val="32"/>
          <w:lang w:val="fr-BE"/>
        </w:rPr>
      </w:pPr>
      <w:r w:rsidRPr="00A91951">
        <w:rPr>
          <w:rFonts w:ascii="Times New Roman" w:eastAsia="Times New Roman" w:hAnsi="Times New Roman" w:cs="Times New Roman"/>
          <w:i/>
          <w:sz w:val="32"/>
          <w:szCs w:val="32"/>
          <w:lang w:val="fr-BE"/>
        </w:rPr>
        <w:t>Contexte</w:t>
      </w:r>
      <w:r w:rsidRPr="00A5170A">
        <w:rPr>
          <w:rFonts w:ascii="Times New Roman" w:eastAsia="Times New Roman" w:hAnsi="Times New Roman" w:cs="Times New Roman"/>
          <w:i/>
          <w:sz w:val="32"/>
          <w:szCs w:val="32"/>
          <w:lang w:val="fr-BE"/>
        </w:rPr>
        <w:t xml:space="preserve"> </w:t>
      </w:r>
    </w:p>
    <w:p w14:paraId="521143F4" w14:textId="77777777" w:rsidR="00A5170A" w:rsidRPr="00A5170A" w:rsidRDefault="00A5170A" w:rsidP="00A5170A">
      <w:pPr>
        <w:spacing w:after="0" w:line="240" w:lineRule="auto"/>
        <w:jc w:val="both"/>
        <w:rPr>
          <w:rFonts w:ascii="Times New Roman" w:eastAsia="Times New Roman" w:hAnsi="Times New Roman" w:cs="Times New Roman"/>
          <w:sz w:val="32"/>
          <w:szCs w:val="32"/>
          <w:lang w:val="fr-BE"/>
        </w:rPr>
      </w:pPr>
    </w:p>
    <w:p w14:paraId="7B68D39C" w14:textId="77777777" w:rsidR="00A5170A" w:rsidRPr="00A5170A" w:rsidRDefault="00A5170A" w:rsidP="00A5170A">
      <w:pPr>
        <w:spacing w:after="0" w:line="240" w:lineRule="auto"/>
        <w:jc w:val="both"/>
        <w:rPr>
          <w:rFonts w:ascii="Times New Roman" w:eastAsia="Times New Roman" w:hAnsi="Times New Roman" w:cs="Times New Roman"/>
          <w:color w:val="000000"/>
          <w:sz w:val="24"/>
          <w:szCs w:val="24"/>
          <w:lang w:val="fr-BE"/>
        </w:rPr>
      </w:pPr>
      <w:r w:rsidRPr="00A91951">
        <w:rPr>
          <w:rFonts w:ascii="Times New Roman" w:eastAsia="Times New Roman" w:hAnsi="Times New Roman" w:cs="Times New Roman"/>
          <w:color w:val="000000"/>
          <w:sz w:val="24"/>
          <w:szCs w:val="24"/>
          <w:lang w:val="fr-BE"/>
        </w:rPr>
        <w:t>En 2014, la Commission européenne (CE) a lancé deux appels à propositions :</w:t>
      </w:r>
      <w:r w:rsidRPr="00A5170A">
        <w:rPr>
          <w:rFonts w:ascii="Times New Roman" w:eastAsia="Times New Roman" w:hAnsi="Times New Roman" w:cs="Times New Roman"/>
          <w:color w:val="000000"/>
          <w:sz w:val="24"/>
          <w:szCs w:val="24"/>
          <w:lang w:val="fr-BE"/>
        </w:rPr>
        <w:t xml:space="preserve"> </w:t>
      </w:r>
    </w:p>
    <w:p w14:paraId="7F8AFE0E" w14:textId="77777777" w:rsidR="00A5170A" w:rsidRPr="00A5170A" w:rsidRDefault="00A5170A" w:rsidP="00A5170A">
      <w:pPr>
        <w:spacing w:after="0" w:line="240" w:lineRule="auto"/>
        <w:jc w:val="both"/>
        <w:rPr>
          <w:rFonts w:ascii="Times New Roman" w:eastAsia="Times New Roman" w:hAnsi="Times New Roman" w:cs="Times New Roman"/>
          <w:color w:val="000000"/>
          <w:sz w:val="24"/>
          <w:szCs w:val="24"/>
          <w:lang w:val="fr-BE"/>
        </w:rPr>
      </w:pPr>
    </w:p>
    <w:p w14:paraId="12415EFE" w14:textId="77777777" w:rsidR="00A5170A" w:rsidRPr="00A5170A" w:rsidRDefault="00A5170A" w:rsidP="00A5170A">
      <w:pPr>
        <w:spacing w:after="0" w:line="240" w:lineRule="auto"/>
        <w:jc w:val="both"/>
        <w:rPr>
          <w:rFonts w:ascii="Times New Roman" w:eastAsia="Times New Roman" w:hAnsi="Times New Roman" w:cs="Times New Roman"/>
          <w:color w:val="000000"/>
          <w:sz w:val="24"/>
          <w:szCs w:val="24"/>
          <w:lang w:val="fr-BE"/>
        </w:rPr>
      </w:pPr>
      <w:r>
        <w:rPr>
          <w:rFonts w:ascii="Times New Roman" w:eastAsia="Times New Roman" w:hAnsi="Times New Roman" w:cs="Times New Roman"/>
          <w:color w:val="000000"/>
          <w:sz w:val="24"/>
          <w:szCs w:val="24"/>
          <w:lang w:val="fr-BE"/>
        </w:rPr>
        <w:t xml:space="preserve">1) </w:t>
      </w:r>
      <w:r w:rsidRPr="00A91951">
        <w:rPr>
          <w:rFonts w:ascii="Times New Roman" w:eastAsia="Times New Roman" w:hAnsi="Times New Roman" w:cs="Times New Roman"/>
          <w:color w:val="000000"/>
          <w:sz w:val="24"/>
          <w:szCs w:val="24"/>
          <w:lang w:val="fr-BE"/>
        </w:rPr>
        <w:t>sur l'éducation au développement et la sensibilisation au sein de l’UE (Programme DEAR) et</w:t>
      </w:r>
      <w:r w:rsidRPr="00A5170A">
        <w:rPr>
          <w:rFonts w:ascii="Times New Roman" w:eastAsia="Times New Roman" w:hAnsi="Times New Roman" w:cs="Times New Roman"/>
          <w:color w:val="000000"/>
          <w:sz w:val="24"/>
          <w:szCs w:val="24"/>
          <w:lang w:val="fr-BE"/>
        </w:rPr>
        <w:t xml:space="preserve"> </w:t>
      </w:r>
    </w:p>
    <w:p w14:paraId="70E5EC25" w14:textId="77777777" w:rsidR="00A5170A" w:rsidRPr="00A5170A" w:rsidRDefault="00A5170A" w:rsidP="00A5170A">
      <w:pPr>
        <w:spacing w:after="0" w:line="240" w:lineRule="auto"/>
        <w:jc w:val="both"/>
        <w:rPr>
          <w:rFonts w:ascii="Times New Roman" w:eastAsia="Times New Roman" w:hAnsi="Times New Roman" w:cs="Times New Roman"/>
          <w:color w:val="000000"/>
          <w:sz w:val="24"/>
          <w:szCs w:val="24"/>
          <w:lang w:val="fr-BE"/>
        </w:rPr>
      </w:pPr>
      <w:r w:rsidRPr="00A91951">
        <w:rPr>
          <w:rFonts w:ascii="Times New Roman" w:eastAsia="Times New Roman" w:hAnsi="Times New Roman" w:cs="Times New Roman"/>
          <w:color w:val="000000"/>
          <w:sz w:val="24"/>
          <w:szCs w:val="24"/>
          <w:lang w:val="fr-BE"/>
        </w:rPr>
        <w:t>2) sur l’Économie informelle dans les pays en développement.</w:t>
      </w:r>
      <w:r w:rsidRPr="00A5170A">
        <w:rPr>
          <w:rFonts w:ascii="Times New Roman" w:eastAsia="Times New Roman" w:hAnsi="Times New Roman" w:cs="Times New Roman"/>
          <w:color w:val="000000"/>
          <w:sz w:val="24"/>
          <w:szCs w:val="24"/>
          <w:lang w:val="fr-BE"/>
        </w:rPr>
        <w:t xml:space="preserve"> </w:t>
      </w:r>
    </w:p>
    <w:p w14:paraId="3FA13849" w14:textId="77777777" w:rsidR="00A5170A" w:rsidRPr="00A5170A" w:rsidRDefault="00A5170A" w:rsidP="00A5170A">
      <w:pPr>
        <w:spacing w:after="0" w:line="240" w:lineRule="auto"/>
        <w:jc w:val="both"/>
        <w:rPr>
          <w:rFonts w:ascii="Times New Roman" w:eastAsia="Times New Roman" w:hAnsi="Times New Roman" w:cs="Times New Roman"/>
          <w:color w:val="000000"/>
          <w:sz w:val="24"/>
          <w:szCs w:val="24"/>
          <w:lang w:val="fr-BE"/>
        </w:rPr>
      </w:pPr>
    </w:p>
    <w:p w14:paraId="26F91147" w14:textId="77777777" w:rsidR="00A5170A" w:rsidRPr="00A5170A" w:rsidRDefault="00A5170A" w:rsidP="00A5170A">
      <w:pPr>
        <w:spacing w:after="0" w:line="240" w:lineRule="auto"/>
        <w:jc w:val="both"/>
        <w:rPr>
          <w:rFonts w:ascii="Times New Roman" w:eastAsia="Times New Roman" w:hAnsi="Times New Roman" w:cs="Times New Roman"/>
          <w:color w:val="000000"/>
          <w:sz w:val="24"/>
          <w:szCs w:val="24"/>
          <w:lang w:val="fr-BE"/>
        </w:rPr>
      </w:pPr>
      <w:r w:rsidRPr="00A91951">
        <w:rPr>
          <w:rFonts w:ascii="Times New Roman" w:eastAsia="Times New Roman" w:hAnsi="Times New Roman" w:cs="Times New Roman"/>
          <w:color w:val="000000"/>
          <w:sz w:val="24"/>
          <w:szCs w:val="24"/>
          <w:lang w:val="fr-BE"/>
        </w:rPr>
        <w:t>Suite à l’intérêt exprimé par les organisations du RSCD, le secrétariat a organisé deux séminaires de réflexion</w:t>
      </w:r>
      <w:r w:rsidRPr="00A91951">
        <w:rPr>
          <w:rFonts w:ascii="Times New Roman" w:eastAsia="Times New Roman" w:hAnsi="Times New Roman" w:cs="Times New Roman"/>
          <w:color w:val="000000"/>
          <w:sz w:val="24"/>
          <w:szCs w:val="24"/>
          <w:vertAlign w:val="superscript"/>
          <w:lang w:val="fr-BE"/>
        </w:rPr>
        <w:footnoteReference w:id="1"/>
      </w:r>
      <w:r w:rsidRPr="00A91951">
        <w:rPr>
          <w:rFonts w:ascii="Times New Roman" w:eastAsia="Times New Roman" w:hAnsi="Times New Roman" w:cs="Times New Roman"/>
          <w:color w:val="000000"/>
          <w:sz w:val="24"/>
          <w:szCs w:val="24"/>
          <w:lang w:val="fr-BE"/>
        </w:rPr>
        <w:t xml:space="preserve"> </w:t>
      </w:r>
      <w:r>
        <w:rPr>
          <w:rFonts w:ascii="Times New Roman" w:eastAsia="Times New Roman" w:hAnsi="Times New Roman" w:cs="Times New Roman"/>
          <w:color w:val="000000"/>
          <w:sz w:val="24"/>
          <w:szCs w:val="24"/>
          <w:lang w:val="fr-BE"/>
        </w:rPr>
        <w:t>qui avaient pour but de</w:t>
      </w:r>
      <w:r w:rsidRPr="00A91951">
        <w:rPr>
          <w:rFonts w:ascii="Times New Roman" w:eastAsia="Times New Roman" w:hAnsi="Times New Roman" w:cs="Times New Roman"/>
          <w:color w:val="000000"/>
          <w:sz w:val="24"/>
          <w:szCs w:val="24"/>
          <w:lang w:val="fr-BE"/>
        </w:rPr>
        <w:t xml:space="preserve"> définir des stratégies communes sur la meilleure façon de mettre à profit ce potentiel.</w:t>
      </w:r>
      <w:r>
        <w:rPr>
          <w:rFonts w:ascii="Times New Roman" w:eastAsia="Times New Roman" w:hAnsi="Times New Roman" w:cs="Times New Roman"/>
          <w:color w:val="000000"/>
          <w:sz w:val="24"/>
          <w:szCs w:val="24"/>
          <w:lang w:val="fr-BE"/>
        </w:rPr>
        <w:t xml:space="preserve"> </w:t>
      </w:r>
    </w:p>
    <w:p w14:paraId="3C189295" w14:textId="77777777" w:rsidR="00A5170A" w:rsidRDefault="00A5170A" w:rsidP="00A5170A">
      <w:pPr>
        <w:spacing w:after="0" w:line="240" w:lineRule="auto"/>
        <w:jc w:val="both"/>
        <w:rPr>
          <w:rFonts w:ascii="Times New Roman" w:eastAsia="Times New Roman" w:hAnsi="Times New Roman" w:cs="Times New Roman"/>
          <w:color w:val="000000"/>
          <w:sz w:val="24"/>
          <w:szCs w:val="24"/>
          <w:lang w:val="fr-BE"/>
        </w:rPr>
      </w:pPr>
    </w:p>
    <w:p w14:paraId="15BC240A" w14:textId="77777777" w:rsidR="00A5170A" w:rsidRPr="00440099" w:rsidRDefault="00A5170A" w:rsidP="00A5170A">
      <w:pPr>
        <w:spacing w:after="0" w:line="240" w:lineRule="auto"/>
        <w:jc w:val="both"/>
        <w:rPr>
          <w:rFonts w:ascii="Times New Roman" w:eastAsia="Times New Roman" w:hAnsi="Times New Roman" w:cs="Times New Roman"/>
          <w:color w:val="000000"/>
          <w:sz w:val="24"/>
          <w:szCs w:val="24"/>
          <w:lang w:val="fr-BE"/>
        </w:rPr>
      </w:pPr>
      <w:r w:rsidRPr="00A91951">
        <w:rPr>
          <w:rFonts w:ascii="Times New Roman" w:eastAsia="Times New Roman" w:hAnsi="Times New Roman" w:cs="Times New Roman"/>
          <w:color w:val="000000"/>
          <w:sz w:val="24"/>
          <w:szCs w:val="24"/>
          <w:lang w:val="fr-BE"/>
        </w:rPr>
        <w:t xml:space="preserve">Ces séminaires ont débouché sur deux propositions de projet (notes </w:t>
      </w:r>
      <w:r>
        <w:rPr>
          <w:rFonts w:ascii="Times New Roman" w:eastAsia="Times New Roman" w:hAnsi="Times New Roman" w:cs="Times New Roman"/>
          <w:color w:val="000000"/>
          <w:sz w:val="24"/>
          <w:szCs w:val="24"/>
          <w:lang w:val="fr-BE"/>
        </w:rPr>
        <w:t>de synthèse</w:t>
      </w:r>
      <w:r w:rsidRPr="00A91951">
        <w:rPr>
          <w:rFonts w:ascii="Times New Roman" w:eastAsia="Times New Roman" w:hAnsi="Times New Roman" w:cs="Times New Roman"/>
          <w:color w:val="000000"/>
          <w:sz w:val="24"/>
          <w:szCs w:val="24"/>
          <w:lang w:val="fr-BE"/>
        </w:rPr>
        <w:t>) qui ont finalement été soumises à l’UE.</w:t>
      </w:r>
      <w:r w:rsidRPr="00440099">
        <w:rPr>
          <w:rFonts w:ascii="Times New Roman" w:eastAsia="Times New Roman" w:hAnsi="Times New Roman" w:cs="Times New Roman"/>
          <w:color w:val="000000"/>
          <w:sz w:val="24"/>
          <w:szCs w:val="24"/>
          <w:lang w:val="fr-BE"/>
        </w:rPr>
        <w:t xml:space="preserve"> </w:t>
      </w:r>
    </w:p>
    <w:p w14:paraId="6DBF592A" w14:textId="77777777" w:rsidR="00A5170A" w:rsidRPr="00440099" w:rsidRDefault="00A5170A" w:rsidP="00A5170A">
      <w:pPr>
        <w:spacing w:after="0" w:line="240" w:lineRule="auto"/>
        <w:jc w:val="both"/>
        <w:rPr>
          <w:rFonts w:ascii="Times New Roman" w:eastAsia="Times New Roman" w:hAnsi="Times New Roman" w:cs="Times New Roman"/>
          <w:color w:val="000000"/>
          <w:lang w:val="fr-BE"/>
        </w:rPr>
      </w:pPr>
    </w:p>
    <w:p w14:paraId="60CC8FAD" w14:textId="77777777" w:rsidR="00A5170A" w:rsidRPr="00A5170A" w:rsidRDefault="00A5170A" w:rsidP="00A5170A">
      <w:pPr>
        <w:spacing w:after="0" w:line="240" w:lineRule="auto"/>
        <w:jc w:val="both"/>
        <w:rPr>
          <w:rFonts w:ascii="Times New Roman" w:eastAsia="Times New Roman" w:hAnsi="Times New Roman" w:cs="Times New Roman"/>
          <w:i/>
          <w:sz w:val="32"/>
          <w:szCs w:val="32"/>
          <w:lang w:val="fr-BE"/>
        </w:rPr>
      </w:pPr>
      <w:r w:rsidRPr="00A91951">
        <w:rPr>
          <w:rFonts w:ascii="Times New Roman" w:eastAsia="Times New Roman" w:hAnsi="Times New Roman" w:cs="Times New Roman"/>
          <w:i/>
          <w:sz w:val="32"/>
          <w:szCs w:val="32"/>
          <w:lang w:val="fr-BE"/>
        </w:rPr>
        <w:t>À la pointe</w:t>
      </w:r>
    </w:p>
    <w:p w14:paraId="22B0BD96" w14:textId="77777777" w:rsidR="00A5170A" w:rsidRPr="00A5170A" w:rsidRDefault="00A5170A" w:rsidP="00A5170A">
      <w:pPr>
        <w:spacing w:after="0" w:line="240" w:lineRule="auto"/>
        <w:jc w:val="both"/>
        <w:rPr>
          <w:rFonts w:ascii="Times New Roman" w:eastAsia="Times New Roman" w:hAnsi="Times New Roman" w:cs="Times New Roman"/>
          <w:sz w:val="32"/>
          <w:szCs w:val="32"/>
          <w:lang w:val="fr-BE"/>
        </w:rPr>
      </w:pPr>
    </w:p>
    <w:p w14:paraId="7165DFE2" w14:textId="77777777" w:rsidR="00A5170A" w:rsidRPr="00A5170A" w:rsidRDefault="00A5170A" w:rsidP="00A5170A">
      <w:pPr>
        <w:spacing w:after="0" w:line="280" w:lineRule="auto"/>
        <w:jc w:val="both"/>
        <w:rPr>
          <w:rFonts w:ascii="Times New Roman" w:eastAsia="Times New Roman" w:hAnsi="Times New Roman" w:cs="Times New Roman"/>
          <w:color w:val="000000"/>
          <w:lang w:val="fr-BE"/>
        </w:rPr>
      </w:pPr>
      <w:r w:rsidRPr="00A91951">
        <w:rPr>
          <w:rFonts w:ascii="Times New Roman" w:eastAsia="Times New Roman" w:hAnsi="Times New Roman" w:cs="Times New Roman"/>
          <w:color w:val="000000"/>
          <w:lang w:val="fr-BE"/>
        </w:rPr>
        <w:t xml:space="preserve">Bien que ces propositions aient, toutes deux, été rejetées par </w:t>
      </w:r>
      <w:proofErr w:type="spellStart"/>
      <w:r w:rsidRPr="00A91951">
        <w:rPr>
          <w:rFonts w:ascii="Times New Roman" w:eastAsia="Times New Roman" w:hAnsi="Times New Roman" w:cs="Times New Roman"/>
          <w:color w:val="000000"/>
          <w:lang w:val="fr-BE"/>
        </w:rPr>
        <w:t>la</w:t>
      </w:r>
      <w:proofErr w:type="spellEnd"/>
      <w:r w:rsidRPr="00A91951">
        <w:rPr>
          <w:rFonts w:ascii="Times New Roman" w:eastAsia="Times New Roman" w:hAnsi="Times New Roman" w:cs="Times New Roman"/>
          <w:color w:val="000000"/>
          <w:lang w:val="fr-BE"/>
        </w:rPr>
        <w:t xml:space="preserve"> CE, les grilles d’évaluation font clairement ressortir des différences d’appréciation basées sur le contenu mais aussi sur le rôle-même des syndicats dans les domaines concernés par les appels à propositions.</w:t>
      </w:r>
      <w:r w:rsidRPr="00A5170A">
        <w:rPr>
          <w:rFonts w:ascii="Times New Roman" w:eastAsia="Times New Roman" w:hAnsi="Times New Roman" w:cs="Times New Roman"/>
          <w:color w:val="000000"/>
          <w:lang w:val="fr-BE"/>
        </w:rPr>
        <w:t xml:space="preserve"> </w:t>
      </w:r>
    </w:p>
    <w:p w14:paraId="6C4ACA60" w14:textId="77777777" w:rsidR="00A5170A" w:rsidRPr="00A5170A" w:rsidRDefault="00A5170A" w:rsidP="00A5170A">
      <w:pPr>
        <w:spacing w:after="0"/>
        <w:jc w:val="both"/>
        <w:rPr>
          <w:rFonts w:ascii="Times New Roman" w:eastAsia="Times New Roman" w:hAnsi="Times New Roman" w:cs="Times New Roman"/>
          <w:color w:val="000000"/>
          <w:lang w:val="fr-BE"/>
        </w:rPr>
      </w:pPr>
    </w:p>
    <w:p w14:paraId="0C42A6A9" w14:textId="77777777" w:rsidR="00A5170A" w:rsidRPr="00A5170A" w:rsidRDefault="00A5170A" w:rsidP="00A5170A">
      <w:pPr>
        <w:spacing w:after="0" w:line="280" w:lineRule="auto"/>
        <w:jc w:val="both"/>
        <w:rPr>
          <w:u w:val="single"/>
          <w:lang w:val="fr-BE"/>
        </w:rPr>
      </w:pPr>
      <w:r w:rsidRPr="00A91951">
        <w:rPr>
          <w:rFonts w:ascii="Times New Roman" w:eastAsia="Times New Roman" w:hAnsi="Times New Roman" w:cs="Times New Roman"/>
          <w:color w:val="000000"/>
          <w:u w:val="single"/>
          <w:lang w:val="fr-BE"/>
        </w:rPr>
        <w:t>Résultats concernant le programme DEAR :</w:t>
      </w:r>
      <w:r w:rsidRPr="00A5170A">
        <w:rPr>
          <w:u w:val="single"/>
          <w:lang w:val="fr-BE"/>
        </w:rPr>
        <w:t xml:space="preserve"> </w:t>
      </w:r>
    </w:p>
    <w:p w14:paraId="74005684" w14:textId="77777777" w:rsidR="00A5170A" w:rsidRPr="00A5170A" w:rsidRDefault="00A5170A" w:rsidP="00A5170A">
      <w:pPr>
        <w:spacing w:after="0"/>
        <w:jc w:val="both"/>
        <w:rPr>
          <w:lang w:val="fr-BE"/>
        </w:rPr>
      </w:pPr>
    </w:p>
    <w:p w14:paraId="4C03FDD7" w14:textId="77777777" w:rsidR="00A5170A" w:rsidRPr="00A5170A" w:rsidRDefault="00A5170A" w:rsidP="00A5170A">
      <w:pPr>
        <w:spacing w:after="0" w:line="28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La Note de synthèse a obtenu une note inférieure aux propositions approuvées pour l’étape suivante du processus.</w:t>
      </w:r>
      <w:r>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Cela signifie qu’elle était adéquate du point de vue technique mais que d’autres propositions étaient meilleures qu’elle.</w:t>
      </w:r>
      <w:r>
        <w:rPr>
          <w:rFonts w:ascii="Times New Roman" w:eastAsia="Times New Roman" w:hAnsi="Times New Roman" w:cs="Times New Roman"/>
          <w:color w:val="000000"/>
          <w:lang w:val="fr-BE"/>
        </w:rPr>
        <w:t xml:space="preserve"> </w:t>
      </w:r>
    </w:p>
    <w:p w14:paraId="502DEC8F" w14:textId="77777777" w:rsidR="00A5170A" w:rsidRPr="00A5170A" w:rsidRDefault="00A5170A" w:rsidP="00A5170A">
      <w:pPr>
        <w:spacing w:after="0"/>
        <w:jc w:val="both"/>
        <w:rPr>
          <w:rFonts w:ascii="Times New Roman" w:eastAsia="Times New Roman" w:hAnsi="Times New Roman" w:cs="Times New Roman"/>
          <w:color w:val="000000"/>
          <w:lang w:val="fr-BE"/>
        </w:rPr>
      </w:pPr>
    </w:p>
    <w:p w14:paraId="0CD9006B" w14:textId="77777777" w:rsidR="00A5170A" w:rsidRPr="00A5170A" w:rsidRDefault="00A5170A" w:rsidP="00A5170A">
      <w:pPr>
        <w:spacing w:after="0" w:line="28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Points forts :</w:t>
      </w:r>
      <w:r w:rsidRPr="00A5170A">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Pertinence générale ; cohérence d</w:t>
      </w:r>
      <w:r>
        <w:rPr>
          <w:rFonts w:ascii="Times New Roman" w:eastAsia="Times New Roman" w:hAnsi="Times New Roman" w:cs="Times New Roman"/>
          <w:color w:val="000000"/>
          <w:lang w:val="fr-BE"/>
        </w:rPr>
        <w:t>e l</w:t>
      </w:r>
      <w:r w:rsidRPr="00323B90">
        <w:rPr>
          <w:rFonts w:ascii="Times New Roman" w:eastAsia="Times New Roman" w:hAnsi="Times New Roman" w:cs="Times New Roman"/>
          <w:color w:val="000000"/>
          <w:lang w:val="fr-BE"/>
        </w:rPr>
        <w:t>’action ; analyse de la problématique</w:t>
      </w:r>
    </w:p>
    <w:p w14:paraId="7BF1D3DF" w14:textId="77777777" w:rsidR="00A5170A" w:rsidRPr="00A5170A" w:rsidRDefault="00A5170A" w:rsidP="00A5170A">
      <w:pPr>
        <w:spacing w:after="0"/>
        <w:jc w:val="both"/>
        <w:rPr>
          <w:rFonts w:ascii="Times New Roman" w:eastAsia="Times New Roman" w:hAnsi="Times New Roman" w:cs="Times New Roman"/>
          <w:color w:val="000000"/>
          <w:lang w:val="fr-BE"/>
        </w:rPr>
      </w:pPr>
    </w:p>
    <w:p w14:paraId="075A0B66" w14:textId="77777777" w:rsidR="00A5170A" w:rsidRPr="00A5170A" w:rsidRDefault="00A5170A" w:rsidP="00A5170A">
      <w:pPr>
        <w:spacing w:after="0" w:line="28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Points les plus faibles :</w:t>
      </w:r>
    </w:p>
    <w:p w14:paraId="2474056C" w14:textId="77777777" w:rsidR="00A5170A" w:rsidRPr="00440099" w:rsidRDefault="00A5170A" w:rsidP="00A5170A">
      <w:pPr>
        <w:spacing w:after="0" w:line="280" w:lineRule="auto"/>
        <w:jc w:val="both"/>
        <w:rPr>
          <w:rFonts w:ascii="Times New Roman" w:eastAsia="Times New Roman" w:hAnsi="Times New Roman" w:cs="Times New Roman"/>
          <w:color w:val="000000"/>
          <w:lang w:val="fr-BE"/>
        </w:rPr>
      </w:pPr>
      <w:r w:rsidRPr="00440099">
        <w:rPr>
          <w:rFonts w:ascii="Times New Roman" w:eastAsia="Times New Roman" w:hAnsi="Times New Roman" w:cs="Times New Roman"/>
          <w:color w:val="000000"/>
          <w:lang w:val="fr-BE"/>
        </w:rPr>
        <w:t>-</w:t>
      </w:r>
      <w:r w:rsidRPr="00440099">
        <w:rPr>
          <w:rFonts w:ascii="Times New Roman" w:eastAsia="Times New Roman" w:hAnsi="Times New Roman" w:cs="Times New Roman"/>
          <w:color w:val="000000"/>
          <w:lang w:val="fr-BE"/>
        </w:rPr>
        <w:tab/>
      </w:r>
      <w:r w:rsidRPr="00323B90">
        <w:rPr>
          <w:rFonts w:ascii="Times New Roman" w:eastAsia="Times New Roman" w:hAnsi="Times New Roman" w:cs="Times New Roman"/>
          <w:color w:val="000000"/>
          <w:lang w:val="fr-BE"/>
        </w:rPr>
        <w:t>Pertinence aux besoins et contraintes particuliers des pays cibles :</w:t>
      </w:r>
      <w:r>
        <w:rPr>
          <w:rFonts w:ascii="Times New Roman" w:eastAsia="Times New Roman" w:hAnsi="Times New Roman" w:cs="Times New Roman"/>
          <w:color w:val="000000"/>
          <w:lang w:val="fr-BE"/>
        </w:rPr>
        <w:t xml:space="preserve"> </w:t>
      </w:r>
      <w:r w:rsidRPr="00440099">
        <w:rPr>
          <w:rFonts w:ascii="Times New Roman" w:eastAsia="Times New Roman" w:hAnsi="Times New Roman" w:cs="Times New Roman"/>
          <w:color w:val="000000"/>
          <w:lang w:val="fr-BE"/>
        </w:rPr>
        <w:t>2.5/5</w:t>
      </w:r>
    </w:p>
    <w:p w14:paraId="1200D103" w14:textId="77777777" w:rsidR="00A5170A" w:rsidRPr="00440099" w:rsidRDefault="00A5170A" w:rsidP="00A5170A">
      <w:pPr>
        <w:spacing w:after="0" w:line="280" w:lineRule="auto"/>
        <w:jc w:val="both"/>
        <w:rPr>
          <w:rFonts w:ascii="Times New Roman" w:eastAsia="Times New Roman" w:hAnsi="Times New Roman" w:cs="Times New Roman"/>
          <w:color w:val="000000"/>
          <w:lang w:val="fr-BE"/>
        </w:rPr>
      </w:pPr>
      <w:r w:rsidRPr="00440099">
        <w:rPr>
          <w:rFonts w:ascii="Times New Roman" w:eastAsia="Times New Roman" w:hAnsi="Times New Roman" w:cs="Times New Roman"/>
          <w:color w:val="000000"/>
          <w:lang w:val="fr-BE"/>
        </w:rPr>
        <w:t>-</w:t>
      </w:r>
      <w:r w:rsidRPr="00440099">
        <w:rPr>
          <w:rFonts w:ascii="Times New Roman" w:eastAsia="Times New Roman" w:hAnsi="Times New Roman" w:cs="Times New Roman"/>
          <w:color w:val="000000"/>
          <w:lang w:val="fr-BE"/>
        </w:rPr>
        <w:tab/>
      </w:r>
      <w:r w:rsidRPr="00323B90">
        <w:rPr>
          <w:rFonts w:ascii="Times New Roman" w:eastAsia="Times New Roman" w:hAnsi="Times New Roman" w:cs="Times New Roman"/>
          <w:color w:val="000000"/>
          <w:lang w:val="fr-BE"/>
        </w:rPr>
        <w:t xml:space="preserve">Définition et choix des bénéficiaires finaux et des groupes </w:t>
      </w:r>
      <w:proofErr w:type="gramStart"/>
      <w:r w:rsidRPr="00323B90">
        <w:rPr>
          <w:rFonts w:ascii="Times New Roman" w:eastAsia="Times New Roman" w:hAnsi="Times New Roman" w:cs="Times New Roman"/>
          <w:color w:val="000000"/>
          <w:lang w:val="fr-BE"/>
        </w:rPr>
        <w:t>cibles</w:t>
      </w:r>
      <w:proofErr w:type="gramEnd"/>
      <w:r w:rsidRPr="00323B90">
        <w:rPr>
          <w:rFonts w:ascii="Times New Roman" w:eastAsia="Times New Roman" w:hAnsi="Times New Roman" w:cs="Times New Roman"/>
          <w:color w:val="000000"/>
          <w:lang w:val="fr-BE"/>
        </w:rPr>
        <w:t> :</w:t>
      </w:r>
      <w:r>
        <w:rPr>
          <w:rFonts w:ascii="Times New Roman" w:eastAsia="Times New Roman" w:hAnsi="Times New Roman" w:cs="Times New Roman"/>
          <w:color w:val="000000"/>
          <w:lang w:val="fr-BE"/>
        </w:rPr>
        <w:t xml:space="preserve"> </w:t>
      </w:r>
      <w:r w:rsidRPr="00440099">
        <w:rPr>
          <w:rFonts w:ascii="Times New Roman" w:eastAsia="Times New Roman" w:hAnsi="Times New Roman" w:cs="Times New Roman"/>
          <w:color w:val="000000"/>
          <w:lang w:val="fr-BE"/>
        </w:rPr>
        <w:t>3/5</w:t>
      </w:r>
    </w:p>
    <w:p w14:paraId="445F0C39" w14:textId="77777777" w:rsidR="00A5170A" w:rsidRDefault="00A5170A" w:rsidP="00A5170A">
      <w:pPr>
        <w:spacing w:after="0" w:line="280" w:lineRule="auto"/>
        <w:jc w:val="both"/>
        <w:rPr>
          <w:rFonts w:ascii="Times New Roman" w:eastAsia="Times New Roman" w:hAnsi="Times New Roman" w:cs="Times New Roman"/>
          <w:color w:val="000000"/>
          <w:lang w:val="fr-BE"/>
        </w:rPr>
      </w:pPr>
      <w:r w:rsidRPr="00440099">
        <w:rPr>
          <w:rFonts w:ascii="Times New Roman" w:eastAsia="Times New Roman" w:hAnsi="Times New Roman" w:cs="Times New Roman"/>
          <w:color w:val="000000"/>
          <w:lang w:val="fr-BE"/>
        </w:rPr>
        <w:t>-</w:t>
      </w:r>
      <w:r w:rsidRPr="00440099">
        <w:rPr>
          <w:rFonts w:ascii="Times New Roman" w:eastAsia="Times New Roman" w:hAnsi="Times New Roman" w:cs="Times New Roman"/>
          <w:color w:val="000000"/>
          <w:lang w:val="fr-BE"/>
        </w:rPr>
        <w:tab/>
      </w:r>
      <w:r w:rsidRPr="00323B90">
        <w:rPr>
          <w:rFonts w:ascii="Times New Roman" w:eastAsia="Times New Roman" w:hAnsi="Times New Roman" w:cs="Times New Roman"/>
          <w:color w:val="000000"/>
          <w:lang w:val="fr-BE"/>
        </w:rPr>
        <w:t xml:space="preserve">Faisabilité de l’action au regard des objectifs et des résultats </w:t>
      </w:r>
      <w:r>
        <w:rPr>
          <w:rFonts w:ascii="Times New Roman" w:eastAsia="Times New Roman" w:hAnsi="Times New Roman" w:cs="Times New Roman"/>
          <w:color w:val="000000"/>
          <w:lang w:val="fr-BE"/>
        </w:rPr>
        <w:t>attendus</w:t>
      </w:r>
      <w:r w:rsidRPr="00323B90">
        <w:rPr>
          <w:rFonts w:ascii="Times New Roman" w:eastAsia="Times New Roman" w:hAnsi="Times New Roman" w:cs="Times New Roman"/>
          <w:color w:val="000000"/>
          <w:lang w:val="fr-BE"/>
        </w:rPr>
        <w:t> :</w:t>
      </w:r>
      <w:r>
        <w:rPr>
          <w:rFonts w:ascii="Times New Roman" w:eastAsia="Times New Roman" w:hAnsi="Times New Roman" w:cs="Times New Roman"/>
          <w:color w:val="000000"/>
          <w:lang w:val="fr-BE"/>
        </w:rPr>
        <w:t xml:space="preserve"> </w:t>
      </w:r>
      <w:r w:rsidRPr="00440099">
        <w:rPr>
          <w:rFonts w:ascii="Times New Roman" w:eastAsia="Times New Roman" w:hAnsi="Times New Roman" w:cs="Times New Roman"/>
          <w:color w:val="000000"/>
          <w:lang w:val="fr-BE"/>
        </w:rPr>
        <w:t>3/5</w:t>
      </w:r>
    </w:p>
    <w:p w14:paraId="2D1BCA19" w14:textId="77777777" w:rsidR="00496C15" w:rsidRPr="00440099" w:rsidRDefault="00496C15" w:rsidP="00A5170A">
      <w:pPr>
        <w:spacing w:after="0" w:line="280" w:lineRule="auto"/>
        <w:jc w:val="both"/>
        <w:rPr>
          <w:rFonts w:ascii="Times New Roman" w:eastAsia="Times New Roman" w:hAnsi="Times New Roman" w:cs="Times New Roman"/>
          <w:color w:val="000000"/>
          <w:lang w:val="fr-BE"/>
        </w:rPr>
      </w:pPr>
      <w:bookmarkStart w:id="0" w:name="_GoBack"/>
      <w:bookmarkEnd w:id="0"/>
    </w:p>
    <w:p w14:paraId="0D64C006" w14:textId="77777777" w:rsidR="00A5170A" w:rsidRPr="00440099" w:rsidRDefault="00A5170A" w:rsidP="00A5170A">
      <w:pPr>
        <w:spacing w:after="0"/>
        <w:jc w:val="both"/>
        <w:rPr>
          <w:rFonts w:ascii="Times New Roman" w:eastAsia="Times New Roman" w:hAnsi="Times New Roman" w:cs="Times New Roman"/>
          <w:color w:val="000000"/>
          <w:lang w:val="fr-BE"/>
        </w:rPr>
      </w:pPr>
    </w:p>
    <w:p w14:paraId="6D276D6F" w14:textId="77777777" w:rsidR="00A5170A" w:rsidRPr="003206CF" w:rsidRDefault="00A5170A" w:rsidP="00A5170A">
      <w:pPr>
        <w:spacing w:after="0" w:line="280" w:lineRule="auto"/>
        <w:jc w:val="both"/>
        <w:rPr>
          <w:rFonts w:ascii="Times New Roman" w:eastAsia="Times New Roman" w:hAnsi="Times New Roman" w:cs="Times New Roman"/>
          <w:color w:val="000000"/>
          <w:u w:val="single"/>
          <w:lang w:val="en-US"/>
        </w:rPr>
      </w:pPr>
      <w:r w:rsidRPr="00323B90">
        <w:rPr>
          <w:rFonts w:ascii="Times New Roman" w:eastAsia="Times New Roman" w:hAnsi="Times New Roman" w:cs="Times New Roman"/>
          <w:color w:val="000000"/>
          <w:u w:val="single"/>
          <w:lang w:val="fr-BE"/>
        </w:rPr>
        <w:lastRenderedPageBreak/>
        <w:t>Résultats concernant l’économie informelle :</w:t>
      </w:r>
    </w:p>
    <w:p w14:paraId="1C9E3190" w14:textId="77777777" w:rsidR="00A5170A" w:rsidRDefault="00A5170A" w:rsidP="00A5170A">
      <w:pPr>
        <w:spacing w:after="0"/>
        <w:jc w:val="both"/>
        <w:rPr>
          <w:rFonts w:ascii="Times New Roman" w:eastAsia="Times New Roman" w:hAnsi="Times New Roman" w:cs="Times New Roman"/>
          <w:color w:val="000000"/>
          <w:lang w:val="en-US"/>
        </w:rPr>
      </w:pPr>
    </w:p>
    <w:p w14:paraId="7BE02D10" w14:textId="77777777" w:rsidR="00A5170A" w:rsidRPr="00F0172C" w:rsidRDefault="00A5170A" w:rsidP="00A5170A">
      <w:pPr>
        <w:pStyle w:val="ListParagraph"/>
        <w:numPr>
          <w:ilvl w:val="0"/>
          <w:numId w:val="2"/>
        </w:numPr>
        <w:tabs>
          <w:tab w:val="left" w:pos="709"/>
        </w:tabs>
        <w:spacing w:after="0" w:line="280" w:lineRule="auto"/>
        <w:ind w:left="0" w:firstLine="0"/>
        <w:jc w:val="both"/>
        <w:rPr>
          <w:rFonts w:ascii="Times New Roman" w:eastAsia="Times New Roman" w:hAnsi="Times New Roman" w:cs="Times New Roman"/>
          <w:color w:val="000000"/>
          <w:lang w:val="en-US"/>
        </w:rPr>
      </w:pPr>
      <w:r w:rsidRPr="00323B90">
        <w:rPr>
          <w:rFonts w:ascii="Times New Roman" w:eastAsia="Times New Roman" w:hAnsi="Times New Roman" w:cs="Times New Roman"/>
          <w:color w:val="000000"/>
          <w:lang w:val="fr-BE"/>
        </w:rPr>
        <w:t>Pertinence de l’action :</w:t>
      </w:r>
      <w:r w:rsidRPr="00F0172C">
        <w:rPr>
          <w:rFonts w:ascii="Times New Roman" w:eastAsia="Times New Roman" w:hAnsi="Times New Roman" w:cs="Times New Roman"/>
          <w:color w:val="000000"/>
          <w:lang w:val="en-US"/>
        </w:rPr>
        <w:t xml:space="preserve"> 6/10</w:t>
      </w:r>
    </w:p>
    <w:p w14:paraId="622DB127" w14:textId="77777777" w:rsidR="00A5170A" w:rsidRPr="00A5170A" w:rsidRDefault="00A5170A" w:rsidP="00A5170A">
      <w:pPr>
        <w:pStyle w:val="ListParagraph"/>
        <w:numPr>
          <w:ilvl w:val="0"/>
          <w:numId w:val="2"/>
        </w:numPr>
        <w:tabs>
          <w:tab w:val="left" w:pos="709"/>
        </w:tabs>
        <w:spacing w:after="0" w:line="280" w:lineRule="auto"/>
        <w:ind w:left="0" w:firstLine="0"/>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Pertinence aux besoins et contraintes particuliers des pays cibles :</w:t>
      </w:r>
      <w:r>
        <w:rPr>
          <w:rFonts w:ascii="Times New Roman" w:eastAsia="Times New Roman" w:hAnsi="Times New Roman" w:cs="Times New Roman"/>
          <w:color w:val="000000"/>
          <w:lang w:val="fr-BE"/>
        </w:rPr>
        <w:t xml:space="preserve"> </w:t>
      </w:r>
      <w:r w:rsidRPr="00A5170A">
        <w:rPr>
          <w:rFonts w:ascii="Times New Roman" w:eastAsia="Times New Roman" w:hAnsi="Times New Roman" w:cs="Times New Roman"/>
          <w:color w:val="000000"/>
          <w:lang w:val="fr-BE"/>
        </w:rPr>
        <w:t>3/10</w:t>
      </w:r>
    </w:p>
    <w:p w14:paraId="0DF20634" w14:textId="77777777" w:rsidR="00A5170A" w:rsidRPr="00A5170A" w:rsidRDefault="00A5170A" w:rsidP="00A5170A">
      <w:pPr>
        <w:pStyle w:val="ListParagraph"/>
        <w:numPr>
          <w:ilvl w:val="0"/>
          <w:numId w:val="2"/>
        </w:numPr>
        <w:tabs>
          <w:tab w:val="left" w:pos="709"/>
        </w:tabs>
        <w:spacing w:after="0" w:line="280" w:lineRule="auto"/>
        <w:ind w:left="709" w:hanging="709"/>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Définition des groupes cibles et des bénéficiaires et pertinence des propositions à leurs besoins :</w:t>
      </w:r>
      <w:r w:rsidRPr="00A5170A">
        <w:rPr>
          <w:rFonts w:ascii="Times New Roman" w:eastAsia="Times New Roman" w:hAnsi="Times New Roman" w:cs="Times New Roman"/>
          <w:color w:val="000000"/>
          <w:lang w:val="fr-BE"/>
        </w:rPr>
        <w:t xml:space="preserve"> 1.5/5</w:t>
      </w:r>
    </w:p>
    <w:p w14:paraId="18E4B4FC" w14:textId="77777777" w:rsidR="00A5170A" w:rsidRPr="00A5170A" w:rsidRDefault="00A5170A" w:rsidP="00A5170A">
      <w:pPr>
        <w:pStyle w:val="ListParagraph"/>
        <w:numPr>
          <w:ilvl w:val="0"/>
          <w:numId w:val="2"/>
        </w:numPr>
        <w:tabs>
          <w:tab w:val="left" w:pos="709"/>
        </w:tabs>
        <w:spacing w:after="0" w:line="280" w:lineRule="auto"/>
        <w:ind w:left="0" w:firstLine="0"/>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Aspects à valeur ajoutée spécifiques (environnement, genre, handicap, minorités) :</w:t>
      </w:r>
      <w:r>
        <w:rPr>
          <w:rFonts w:ascii="Times New Roman" w:eastAsia="Times New Roman" w:hAnsi="Times New Roman" w:cs="Times New Roman"/>
          <w:color w:val="000000"/>
          <w:lang w:val="fr-BE"/>
        </w:rPr>
        <w:t xml:space="preserve"> </w:t>
      </w:r>
      <w:r w:rsidRPr="00A5170A">
        <w:rPr>
          <w:rFonts w:ascii="Times New Roman" w:eastAsia="Times New Roman" w:hAnsi="Times New Roman" w:cs="Times New Roman"/>
          <w:color w:val="000000"/>
          <w:lang w:val="fr-BE"/>
        </w:rPr>
        <w:t>2/5</w:t>
      </w:r>
    </w:p>
    <w:p w14:paraId="18FFF4F3" w14:textId="77777777" w:rsidR="00A5170A" w:rsidRPr="00A5170A" w:rsidRDefault="00A5170A" w:rsidP="00A5170A">
      <w:pPr>
        <w:pStyle w:val="ListParagraph"/>
        <w:numPr>
          <w:ilvl w:val="0"/>
          <w:numId w:val="2"/>
        </w:numPr>
        <w:tabs>
          <w:tab w:val="left" w:pos="709"/>
        </w:tabs>
        <w:spacing w:after="0" w:line="280" w:lineRule="auto"/>
        <w:ind w:left="0" w:firstLine="0"/>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Cohérence d</w:t>
      </w:r>
      <w:r>
        <w:rPr>
          <w:rFonts w:ascii="Times New Roman" w:eastAsia="Times New Roman" w:hAnsi="Times New Roman" w:cs="Times New Roman"/>
          <w:color w:val="000000"/>
          <w:lang w:val="fr-BE"/>
        </w:rPr>
        <w:t>e l</w:t>
      </w:r>
      <w:r w:rsidRPr="00323B90">
        <w:rPr>
          <w:rFonts w:ascii="Times New Roman" w:eastAsia="Times New Roman" w:hAnsi="Times New Roman" w:cs="Times New Roman"/>
          <w:color w:val="000000"/>
          <w:lang w:val="fr-BE"/>
        </w:rPr>
        <w:t>’action et analyse de la problématique :</w:t>
      </w:r>
      <w:r>
        <w:rPr>
          <w:rFonts w:ascii="Times New Roman" w:eastAsia="Times New Roman" w:hAnsi="Times New Roman" w:cs="Times New Roman"/>
          <w:color w:val="000000"/>
          <w:lang w:val="fr-BE"/>
        </w:rPr>
        <w:t xml:space="preserve"> </w:t>
      </w:r>
      <w:r w:rsidRPr="00A5170A">
        <w:rPr>
          <w:rFonts w:ascii="Times New Roman" w:eastAsia="Times New Roman" w:hAnsi="Times New Roman" w:cs="Times New Roman"/>
          <w:color w:val="000000"/>
          <w:lang w:val="fr-BE"/>
        </w:rPr>
        <w:t>4/10</w:t>
      </w:r>
    </w:p>
    <w:p w14:paraId="2E64DA1B" w14:textId="77777777" w:rsidR="00A5170A" w:rsidRPr="00A5170A" w:rsidRDefault="00A5170A" w:rsidP="00A5170A">
      <w:pPr>
        <w:pStyle w:val="ListParagraph"/>
        <w:numPr>
          <w:ilvl w:val="0"/>
          <w:numId w:val="2"/>
        </w:numPr>
        <w:tabs>
          <w:tab w:val="left" w:pos="709"/>
        </w:tabs>
        <w:spacing w:after="0" w:line="280" w:lineRule="auto"/>
        <w:ind w:left="0" w:firstLine="0"/>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Faisabilité de l’action et cohérence avec les objectifs/résultats :</w:t>
      </w:r>
      <w:r>
        <w:rPr>
          <w:rFonts w:ascii="Times New Roman" w:eastAsia="Times New Roman" w:hAnsi="Times New Roman" w:cs="Times New Roman"/>
          <w:color w:val="000000"/>
          <w:lang w:val="fr-BE"/>
        </w:rPr>
        <w:t xml:space="preserve"> </w:t>
      </w:r>
      <w:r w:rsidRPr="00A5170A">
        <w:rPr>
          <w:rFonts w:ascii="Times New Roman" w:eastAsia="Times New Roman" w:hAnsi="Times New Roman" w:cs="Times New Roman"/>
          <w:color w:val="000000"/>
          <w:lang w:val="fr-BE"/>
        </w:rPr>
        <w:t>4/10</w:t>
      </w:r>
    </w:p>
    <w:p w14:paraId="6E1010C0" w14:textId="77777777" w:rsidR="00A5170A" w:rsidRDefault="00A5170A" w:rsidP="00A5170A">
      <w:pPr>
        <w:spacing w:after="0" w:line="240" w:lineRule="auto"/>
        <w:jc w:val="both"/>
        <w:rPr>
          <w:rFonts w:ascii="Times New Roman" w:eastAsia="Times New Roman" w:hAnsi="Times New Roman" w:cs="Times New Roman"/>
          <w:i/>
          <w:sz w:val="32"/>
          <w:szCs w:val="32"/>
          <w:lang w:val="fr-BE"/>
        </w:rPr>
      </w:pPr>
    </w:p>
    <w:p w14:paraId="795F98DF" w14:textId="77777777" w:rsidR="00A5170A" w:rsidRPr="00A5170A" w:rsidRDefault="00A5170A" w:rsidP="00A5170A">
      <w:pPr>
        <w:spacing w:after="0" w:line="240" w:lineRule="auto"/>
        <w:jc w:val="both"/>
        <w:rPr>
          <w:rFonts w:ascii="Times New Roman" w:eastAsia="Times New Roman" w:hAnsi="Times New Roman" w:cs="Times New Roman"/>
          <w:i/>
          <w:sz w:val="32"/>
          <w:szCs w:val="32"/>
          <w:lang w:val="fr-BE"/>
        </w:rPr>
      </w:pPr>
      <w:r w:rsidRPr="00323B90">
        <w:rPr>
          <w:rFonts w:ascii="Times New Roman" w:eastAsia="Times New Roman" w:hAnsi="Times New Roman" w:cs="Times New Roman"/>
          <w:i/>
          <w:sz w:val="32"/>
          <w:szCs w:val="32"/>
          <w:lang w:val="fr-BE"/>
        </w:rPr>
        <w:t>Perspectives et défis futurs</w:t>
      </w:r>
      <w:r w:rsidRPr="00A5170A">
        <w:rPr>
          <w:rFonts w:ascii="Times New Roman" w:eastAsia="Times New Roman" w:hAnsi="Times New Roman" w:cs="Times New Roman"/>
          <w:i/>
          <w:sz w:val="32"/>
          <w:szCs w:val="32"/>
          <w:lang w:val="fr-BE"/>
        </w:rPr>
        <w:t xml:space="preserve"> </w:t>
      </w:r>
    </w:p>
    <w:p w14:paraId="63789E6B" w14:textId="77777777" w:rsidR="00A5170A" w:rsidRPr="00A5170A" w:rsidRDefault="00A5170A" w:rsidP="00A5170A">
      <w:pPr>
        <w:spacing w:after="0" w:line="240" w:lineRule="auto"/>
        <w:jc w:val="both"/>
        <w:rPr>
          <w:rFonts w:ascii="Times New Roman" w:eastAsia="Times New Roman" w:hAnsi="Times New Roman" w:cs="Times New Roman"/>
          <w:sz w:val="32"/>
          <w:szCs w:val="32"/>
          <w:lang w:val="fr-BE"/>
        </w:rPr>
      </w:pPr>
    </w:p>
    <w:p w14:paraId="25624F02" w14:textId="77777777" w:rsidR="00A5170A" w:rsidRPr="00A5170A" w:rsidRDefault="00A5170A" w:rsidP="00A5170A">
      <w:pPr>
        <w:spacing w:after="0" w:line="240" w:lineRule="auto"/>
        <w:jc w:val="both"/>
        <w:rPr>
          <w:rFonts w:ascii="Times New Roman" w:eastAsia="Times New Roman" w:hAnsi="Times New Roman" w:cs="Times New Roman"/>
          <w:i/>
          <w:color w:val="000000"/>
          <w:lang w:val="fr-BE"/>
        </w:rPr>
      </w:pPr>
      <w:r w:rsidRPr="00323B90">
        <w:rPr>
          <w:rFonts w:ascii="Times New Roman" w:eastAsia="Times New Roman" w:hAnsi="Times New Roman" w:cs="Times New Roman"/>
          <w:i/>
          <w:color w:val="000000"/>
          <w:lang w:val="fr-BE"/>
        </w:rPr>
        <w:t>Perspectives</w:t>
      </w:r>
      <w:r w:rsidRPr="00A5170A">
        <w:rPr>
          <w:rFonts w:ascii="Times New Roman" w:eastAsia="Times New Roman" w:hAnsi="Times New Roman" w:cs="Times New Roman"/>
          <w:i/>
          <w:color w:val="000000"/>
          <w:lang w:val="fr-BE"/>
        </w:rPr>
        <w:t xml:space="preserve"> </w:t>
      </w:r>
    </w:p>
    <w:p w14:paraId="477DB4ED" w14:textId="77777777" w:rsidR="00A5170A" w:rsidRPr="00A5170A" w:rsidRDefault="00A5170A" w:rsidP="00A5170A">
      <w:pPr>
        <w:spacing w:after="0" w:line="240" w:lineRule="auto"/>
        <w:jc w:val="both"/>
        <w:rPr>
          <w:rFonts w:ascii="Times New Roman" w:eastAsia="Times New Roman" w:hAnsi="Times New Roman" w:cs="Times New Roman"/>
          <w:i/>
          <w:color w:val="000000"/>
          <w:lang w:val="fr-BE"/>
        </w:rPr>
      </w:pPr>
    </w:p>
    <w:p w14:paraId="3C92C097"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Deux appels à propositions seront lancés en 2015 dans le cadre du Programme de la CE en faveur du rôle joué par les organisations de la société civile et les autorités locales dans le développement :</w:t>
      </w:r>
      <w:r>
        <w:rPr>
          <w:rFonts w:ascii="Times New Roman" w:eastAsia="Times New Roman" w:hAnsi="Times New Roman" w:cs="Times New Roman"/>
          <w:color w:val="000000"/>
          <w:lang w:val="fr-BE"/>
        </w:rPr>
        <w:t xml:space="preserve"> </w:t>
      </w:r>
    </w:p>
    <w:p w14:paraId="64F3282F"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p>
    <w:p w14:paraId="5F599047" w14:textId="77777777" w:rsidR="00A5170A" w:rsidRPr="00A5170A" w:rsidRDefault="00A5170A" w:rsidP="00A5170A">
      <w:pPr>
        <w:numPr>
          <w:ilvl w:val="0"/>
          <w:numId w:val="1"/>
        </w:numPr>
        <w:spacing w:after="0" w:line="24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Éducation au développement et sensibilisation (DEAR)</w:t>
      </w:r>
    </w:p>
    <w:p w14:paraId="0A00E1A4" w14:textId="77777777" w:rsidR="00A5170A" w:rsidRPr="00A5170A" w:rsidRDefault="00A5170A" w:rsidP="00A5170A">
      <w:pPr>
        <w:numPr>
          <w:ilvl w:val="0"/>
          <w:numId w:val="1"/>
        </w:numPr>
        <w:spacing w:after="0" w:line="24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Soutien aux réseaux régionaux du Sud</w:t>
      </w:r>
      <w:r w:rsidRPr="00A5170A">
        <w:rPr>
          <w:rFonts w:ascii="Times New Roman" w:eastAsia="Times New Roman" w:hAnsi="Times New Roman" w:cs="Times New Roman"/>
          <w:color w:val="000000"/>
          <w:lang w:val="fr-BE"/>
        </w:rPr>
        <w:t xml:space="preserve"> </w:t>
      </w:r>
    </w:p>
    <w:p w14:paraId="5EDD0EFE"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p>
    <w:p w14:paraId="61950BE0"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Voir Priorités 2 et 3 dans le document accessible via le lien suivant :</w:t>
      </w:r>
      <w:r>
        <w:rPr>
          <w:rFonts w:ascii="Times New Roman" w:eastAsia="Times New Roman" w:hAnsi="Times New Roman" w:cs="Times New Roman"/>
          <w:color w:val="000000"/>
          <w:lang w:val="fr-BE"/>
        </w:rPr>
        <w:t xml:space="preserve"> </w:t>
      </w:r>
    </w:p>
    <w:p w14:paraId="2DF575E7" w14:textId="77777777" w:rsidR="00A5170A" w:rsidRPr="00813CCA" w:rsidRDefault="00A5170A" w:rsidP="00A5170A">
      <w:pPr>
        <w:spacing w:after="0" w:line="240" w:lineRule="auto"/>
        <w:jc w:val="both"/>
        <w:rPr>
          <w:rFonts w:ascii="Times New Roman" w:eastAsia="Times New Roman" w:hAnsi="Times New Roman" w:cs="Times New Roman"/>
          <w:color w:val="000000"/>
          <w:lang w:val="fr-FR"/>
        </w:rPr>
      </w:pPr>
      <w:r w:rsidRPr="00A5170A">
        <w:rPr>
          <w:lang w:val="fr-BE"/>
        </w:rPr>
        <w:t xml:space="preserve"> </w:t>
      </w:r>
      <w:hyperlink r:id="rId9" w:tooltip="CSO LA MIP CSO LA 2014 2020 EN.pdf" w:history="1">
        <w:r>
          <w:rPr>
            <w:color w:val="0000FF"/>
            <w:u w:val="single"/>
            <w:lang w:val="fr-FR"/>
          </w:rPr>
          <w:t>Programme pluriannuel OSC-AL</w:t>
        </w:r>
        <w:r w:rsidRPr="00813CCA">
          <w:rPr>
            <w:color w:val="0000FF"/>
            <w:u w:val="single"/>
            <w:lang w:val="fr-FR"/>
          </w:rPr>
          <w:t xml:space="preserve"> 2014-2020</w:t>
        </w:r>
      </w:hyperlink>
      <w:r w:rsidRPr="00813CCA">
        <w:rPr>
          <w:lang w:val="fr-FR"/>
        </w:rPr>
        <w:t xml:space="preserve"> </w:t>
      </w:r>
      <w:r w:rsidRPr="003206CF">
        <w:rPr>
          <w:noProof/>
          <w:color w:val="0000FF"/>
          <w:lang w:val="fr-BE" w:eastAsia="fr-BE"/>
        </w:rPr>
        <w:drawing>
          <wp:inline distT="0" distB="0" distL="0" distR="0" wp14:anchorId="5B63ED81" wp14:editId="239B460E">
            <wp:extent cx="476250" cy="419100"/>
            <wp:effectExtent l="0" t="0" r="0" b="0"/>
            <wp:docPr id="1" name="Picture 1" descr="Ne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3CB8FD7A" w14:textId="77777777" w:rsidR="00A5170A" w:rsidRPr="00813CCA" w:rsidRDefault="00A5170A" w:rsidP="00A5170A">
      <w:pPr>
        <w:spacing w:after="0" w:line="240" w:lineRule="auto"/>
        <w:jc w:val="both"/>
        <w:rPr>
          <w:rFonts w:ascii="Times New Roman" w:eastAsia="Times New Roman" w:hAnsi="Times New Roman" w:cs="Times New Roman"/>
          <w:color w:val="000000"/>
          <w:lang w:val="fr-FR"/>
        </w:rPr>
      </w:pPr>
    </w:p>
    <w:p w14:paraId="1FE11401"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p>
    <w:p w14:paraId="18C9264F" w14:textId="77777777" w:rsidR="00A5170A" w:rsidRDefault="00A5170A" w:rsidP="00A5170A">
      <w:pPr>
        <w:spacing w:after="0" w:line="240" w:lineRule="auto"/>
        <w:jc w:val="both"/>
        <w:rPr>
          <w:rFonts w:ascii="Times New Roman" w:eastAsia="Times New Roman" w:hAnsi="Times New Roman" w:cs="Times New Roman"/>
          <w:color w:val="000000"/>
          <w:lang w:val="en-US"/>
        </w:rPr>
      </w:pPr>
      <w:r w:rsidRPr="00323B90">
        <w:rPr>
          <w:rFonts w:ascii="Times New Roman" w:eastAsia="Times New Roman" w:hAnsi="Times New Roman" w:cs="Times New Roman"/>
          <w:color w:val="000000"/>
          <w:lang w:val="fr-BE"/>
        </w:rPr>
        <w:t xml:space="preserve">En 2016, des appels à propositions seront lancés dans le cadre du Programme de la CE sur les biens publics mondiaux et les défis (BPMD). Le BPMD s’articule autour de plusieurs domaines stratégiques : </w:t>
      </w:r>
    </w:p>
    <w:p w14:paraId="77CF6429" w14:textId="77777777" w:rsidR="00A5170A" w:rsidRDefault="00A5170A" w:rsidP="00A5170A">
      <w:pPr>
        <w:spacing w:after="0" w:line="240" w:lineRule="auto"/>
        <w:jc w:val="both"/>
        <w:rPr>
          <w:rFonts w:ascii="Times New Roman" w:eastAsia="Times New Roman" w:hAnsi="Times New Roman" w:cs="Times New Roman"/>
          <w:color w:val="000000"/>
          <w:lang w:val="en-US"/>
        </w:rPr>
      </w:pPr>
    </w:p>
    <w:p w14:paraId="6A427353" w14:textId="77777777" w:rsidR="00A5170A" w:rsidRDefault="00A5170A" w:rsidP="00A5170A">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sidRPr="00323B90">
        <w:rPr>
          <w:rFonts w:ascii="Times New Roman" w:eastAsia="Times New Roman" w:hAnsi="Times New Roman" w:cs="Times New Roman"/>
          <w:color w:val="000000"/>
          <w:lang w:val="fr-BE"/>
        </w:rPr>
        <w:t>Environnement et changement climatique</w:t>
      </w:r>
    </w:p>
    <w:p w14:paraId="124F2FDD" w14:textId="77777777" w:rsidR="00A5170A" w:rsidRDefault="00A5170A" w:rsidP="00A5170A">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sidRPr="00323B90">
        <w:rPr>
          <w:rFonts w:ascii="Times New Roman" w:eastAsia="Times New Roman" w:hAnsi="Times New Roman" w:cs="Times New Roman"/>
          <w:color w:val="000000"/>
          <w:lang w:val="fr-BE"/>
        </w:rPr>
        <w:t>Énergie renouvelable</w:t>
      </w:r>
    </w:p>
    <w:p w14:paraId="02EBFCAB" w14:textId="77777777" w:rsidR="00A5170A" w:rsidRPr="00A5170A" w:rsidRDefault="00A5170A" w:rsidP="00A5170A">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Développement humain (santé, éducation, égalité hommes-femmes, protection de l’enfance, emploi/travail décent/inclusion sociale/protection sociale, croissance/emplois/secteur privé)</w:t>
      </w:r>
    </w:p>
    <w:p w14:paraId="3248D542" w14:textId="77777777" w:rsidR="00A5170A" w:rsidRPr="00C2447A" w:rsidRDefault="00A5170A" w:rsidP="00A5170A">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sidRPr="00323B90">
        <w:rPr>
          <w:rFonts w:ascii="Times New Roman" w:eastAsia="Times New Roman" w:hAnsi="Times New Roman" w:cs="Times New Roman"/>
          <w:color w:val="000000"/>
          <w:lang w:val="fr-BE"/>
        </w:rPr>
        <w:t>Sécurité alimentaire et agriculture durable</w:t>
      </w:r>
    </w:p>
    <w:p w14:paraId="2F2A141B" w14:textId="77777777" w:rsidR="00A5170A" w:rsidRDefault="00A5170A" w:rsidP="00A5170A">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sidRPr="00323B90">
        <w:rPr>
          <w:rFonts w:ascii="Times New Roman" w:eastAsia="Times New Roman" w:hAnsi="Times New Roman" w:cs="Times New Roman"/>
          <w:color w:val="000000"/>
          <w:lang w:val="fr-BE"/>
        </w:rPr>
        <w:t>Migration et asile</w:t>
      </w:r>
    </w:p>
    <w:p w14:paraId="7C521317" w14:textId="77777777" w:rsidR="00A5170A" w:rsidRPr="00FE3A75" w:rsidRDefault="00A5170A" w:rsidP="00A5170A">
      <w:pPr>
        <w:spacing w:after="0" w:line="240" w:lineRule="auto"/>
        <w:ind w:left="360"/>
        <w:jc w:val="both"/>
        <w:rPr>
          <w:rFonts w:ascii="Times New Roman" w:eastAsia="Times New Roman" w:hAnsi="Times New Roman" w:cs="Times New Roman"/>
          <w:color w:val="000000"/>
          <w:lang w:val="en-US"/>
        </w:rPr>
      </w:pPr>
    </w:p>
    <w:p w14:paraId="73B35DE7" w14:textId="77777777" w:rsidR="00A5170A" w:rsidRPr="00FE3A75" w:rsidRDefault="00A5170A" w:rsidP="00A5170A">
      <w:pPr>
        <w:spacing w:after="0" w:line="240" w:lineRule="auto"/>
        <w:jc w:val="both"/>
        <w:rPr>
          <w:rFonts w:ascii="Times New Roman" w:eastAsia="Times New Roman" w:hAnsi="Times New Roman" w:cs="Times New Roman"/>
          <w:color w:val="000000"/>
          <w:lang w:val="en-US"/>
        </w:rPr>
      </w:pPr>
    </w:p>
    <w:p w14:paraId="43264D32"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r w:rsidRPr="00323B90">
        <w:rPr>
          <w:rFonts w:ascii="Times New Roman" w:eastAsia="Times New Roman" w:hAnsi="Times New Roman" w:cs="Times New Roman"/>
          <w:color w:val="000000"/>
          <w:lang w:val="fr-BE"/>
        </w:rPr>
        <w:t>Voir domaine stratégique 3 dans le document accessible via le lien ci-dessous (p.60 et « </w:t>
      </w:r>
      <w:proofErr w:type="spellStart"/>
      <w:r w:rsidRPr="00323B90">
        <w:rPr>
          <w:rFonts w:ascii="Times New Roman" w:eastAsia="Times New Roman" w:hAnsi="Times New Roman" w:cs="Times New Roman"/>
          <w:color w:val="000000"/>
          <w:lang w:val="fr-BE"/>
        </w:rPr>
        <w:t>Flagships</w:t>
      </w:r>
      <w:proofErr w:type="spellEnd"/>
      <w:r w:rsidRPr="00323B90">
        <w:rPr>
          <w:rFonts w:ascii="Times New Roman" w:eastAsia="Times New Roman" w:hAnsi="Times New Roman" w:cs="Times New Roman"/>
          <w:color w:val="000000"/>
          <w:lang w:val="fr-BE"/>
        </w:rPr>
        <w:t xml:space="preserve"> » en fin de document) : </w:t>
      </w:r>
    </w:p>
    <w:p w14:paraId="2F6C4EC2" w14:textId="77777777" w:rsidR="00A5170A" w:rsidRPr="00813CCA" w:rsidRDefault="00A5170A" w:rsidP="00A5170A">
      <w:pPr>
        <w:spacing w:after="0" w:line="240" w:lineRule="auto"/>
        <w:jc w:val="both"/>
        <w:rPr>
          <w:lang w:val="en-GB"/>
        </w:rPr>
      </w:pPr>
      <w:hyperlink r:id="rId12" w:history="1">
        <w:r>
          <w:rPr>
            <w:rStyle w:val="Hyperlink"/>
            <w:lang w:val="en-GB"/>
          </w:rPr>
          <w:t xml:space="preserve">Programme </w:t>
        </w:r>
        <w:proofErr w:type="spellStart"/>
        <w:r>
          <w:rPr>
            <w:rStyle w:val="Hyperlink"/>
            <w:lang w:val="en-GB"/>
          </w:rPr>
          <w:t>pluriannuel</w:t>
        </w:r>
        <w:proofErr w:type="spellEnd"/>
        <w:r>
          <w:rPr>
            <w:rStyle w:val="Hyperlink"/>
            <w:lang w:val="en-GB"/>
          </w:rPr>
          <w:t xml:space="preserve"> BPMD</w:t>
        </w:r>
        <w:r w:rsidRPr="00813CCA">
          <w:rPr>
            <w:rStyle w:val="Hyperlink"/>
            <w:lang w:val="en-GB"/>
          </w:rPr>
          <w:t xml:space="preserve"> 2014-2017</w:t>
        </w:r>
      </w:hyperlink>
      <w:r w:rsidRPr="00813CCA">
        <w:rPr>
          <w:lang w:val="en-GB"/>
        </w:rPr>
        <w:t xml:space="preserve"> </w:t>
      </w:r>
      <w:r w:rsidRPr="00EF1324">
        <w:rPr>
          <w:noProof/>
          <w:lang w:val="fr-BE" w:eastAsia="fr-BE"/>
        </w:rPr>
        <w:drawing>
          <wp:inline distT="0" distB="0" distL="0" distR="0" wp14:anchorId="16DB58E9" wp14:editId="77EEA39B">
            <wp:extent cx="476250" cy="419100"/>
            <wp:effectExtent l="0" t="0" r="0" b="0"/>
            <wp:docPr id="2" name="Picture 2" descr="Ne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691628EA" w14:textId="77777777" w:rsidR="00A5170A" w:rsidRPr="00FE3A75" w:rsidRDefault="00A5170A" w:rsidP="00A5170A">
      <w:pPr>
        <w:spacing w:after="0" w:line="240" w:lineRule="auto"/>
        <w:jc w:val="both"/>
        <w:rPr>
          <w:rFonts w:ascii="Times New Roman" w:eastAsia="Times New Roman" w:hAnsi="Times New Roman" w:cs="Times New Roman"/>
          <w:color w:val="000000"/>
          <w:lang w:val="en-US"/>
        </w:rPr>
      </w:pPr>
    </w:p>
    <w:p w14:paraId="122C7AF1" w14:textId="77777777" w:rsidR="00A5170A" w:rsidRPr="00FE3A75" w:rsidRDefault="00A5170A" w:rsidP="00A5170A">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p>
    <w:p w14:paraId="4F753289" w14:textId="77777777" w:rsidR="00A5170A" w:rsidRPr="00FE3A75" w:rsidRDefault="00A5170A" w:rsidP="00A5170A">
      <w:pPr>
        <w:spacing w:after="0" w:line="240" w:lineRule="auto"/>
        <w:jc w:val="both"/>
        <w:rPr>
          <w:rFonts w:ascii="Times New Roman" w:eastAsia="Times New Roman" w:hAnsi="Times New Roman" w:cs="Times New Roman"/>
          <w:i/>
          <w:color w:val="000000"/>
          <w:lang w:val="en-US"/>
        </w:rPr>
      </w:pPr>
      <w:r w:rsidRPr="00323B90">
        <w:rPr>
          <w:rFonts w:ascii="Times New Roman" w:eastAsia="Times New Roman" w:hAnsi="Times New Roman" w:cs="Times New Roman"/>
          <w:i/>
          <w:color w:val="000000"/>
          <w:lang w:val="fr-BE"/>
        </w:rPr>
        <w:lastRenderedPageBreak/>
        <w:t>Défis</w:t>
      </w:r>
    </w:p>
    <w:p w14:paraId="5E209A71" w14:textId="77777777" w:rsidR="00A5170A" w:rsidRDefault="00A5170A" w:rsidP="00A5170A">
      <w:pPr>
        <w:spacing w:after="0" w:line="240" w:lineRule="auto"/>
        <w:jc w:val="both"/>
        <w:rPr>
          <w:rFonts w:ascii="Times New Roman" w:eastAsia="Times New Roman" w:hAnsi="Times New Roman" w:cs="Times New Roman"/>
          <w:color w:val="000000"/>
          <w:lang w:val="en-US"/>
        </w:rPr>
      </w:pPr>
    </w:p>
    <w:p w14:paraId="23D1D7BD"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r w:rsidRPr="00440099">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 xml:space="preserve">Les ONG de </w:t>
      </w:r>
      <w:proofErr w:type="gramStart"/>
      <w:r w:rsidRPr="00323B90">
        <w:rPr>
          <w:rFonts w:ascii="Times New Roman" w:eastAsia="Times New Roman" w:hAnsi="Times New Roman" w:cs="Times New Roman"/>
          <w:color w:val="000000"/>
          <w:lang w:val="fr-BE"/>
        </w:rPr>
        <w:t>développement traditionnelles</w:t>
      </w:r>
      <w:proofErr w:type="gramEnd"/>
      <w:r w:rsidRPr="00323B90">
        <w:rPr>
          <w:rFonts w:ascii="Times New Roman" w:eastAsia="Times New Roman" w:hAnsi="Times New Roman" w:cs="Times New Roman"/>
          <w:color w:val="000000"/>
          <w:lang w:val="fr-BE"/>
        </w:rPr>
        <w:t xml:space="preserve"> sont encore largement considérées par </w:t>
      </w:r>
      <w:proofErr w:type="spellStart"/>
      <w:r w:rsidRPr="00323B90">
        <w:rPr>
          <w:rFonts w:ascii="Times New Roman" w:eastAsia="Times New Roman" w:hAnsi="Times New Roman" w:cs="Times New Roman"/>
          <w:color w:val="000000"/>
          <w:lang w:val="fr-BE"/>
        </w:rPr>
        <w:t>la</w:t>
      </w:r>
      <w:proofErr w:type="spellEnd"/>
      <w:r w:rsidRPr="00323B90">
        <w:rPr>
          <w:rFonts w:ascii="Times New Roman" w:eastAsia="Times New Roman" w:hAnsi="Times New Roman" w:cs="Times New Roman"/>
          <w:color w:val="000000"/>
          <w:lang w:val="fr-BE"/>
        </w:rPr>
        <w:t xml:space="preserve"> CE comme la référence en matière de sensibilisation et d’éducation au développement.</w:t>
      </w:r>
      <w:r w:rsidRPr="00440099">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Nous devons accroître notre visibilité et renforcer notre influence politique vis-à-vis de la CE.</w:t>
      </w:r>
      <w:r>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Comment ?</w:t>
      </w:r>
      <w:r w:rsidRPr="00A5170A">
        <w:rPr>
          <w:rFonts w:ascii="Times New Roman" w:eastAsia="Times New Roman" w:hAnsi="Times New Roman" w:cs="Times New Roman"/>
          <w:color w:val="000000"/>
          <w:lang w:val="fr-BE"/>
        </w:rPr>
        <w:t xml:space="preserve"> </w:t>
      </w:r>
    </w:p>
    <w:p w14:paraId="444E3CB6"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p>
    <w:p w14:paraId="087BDDCC"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r w:rsidRPr="00440099">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 xml:space="preserve">Les Réseaux de </w:t>
      </w:r>
      <w:proofErr w:type="gramStart"/>
      <w:r w:rsidRPr="00323B90">
        <w:rPr>
          <w:rFonts w:ascii="Times New Roman" w:eastAsia="Times New Roman" w:hAnsi="Times New Roman" w:cs="Times New Roman"/>
          <w:color w:val="000000"/>
          <w:lang w:val="fr-BE"/>
        </w:rPr>
        <w:t>développement régionaux</w:t>
      </w:r>
      <w:proofErr w:type="gramEnd"/>
      <w:r w:rsidRPr="00323B90">
        <w:rPr>
          <w:rFonts w:ascii="Times New Roman" w:eastAsia="Times New Roman" w:hAnsi="Times New Roman" w:cs="Times New Roman"/>
          <w:color w:val="000000"/>
          <w:lang w:val="fr-BE"/>
        </w:rPr>
        <w:t xml:space="preserve"> auront la possibilité de soumettre des demandes de financement à la CE.</w:t>
      </w:r>
      <w:r w:rsidRPr="00440099">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La CE a cette fois introduit une nouvelle procédure d’octroi basée sur un appel à propositions, qui constitue la première étape de la sélection, suivi d’un accord-cadre.</w:t>
      </w:r>
      <w:r w:rsidRPr="00A5170A">
        <w:rPr>
          <w:rFonts w:ascii="Times New Roman" w:eastAsia="Times New Roman" w:hAnsi="Times New Roman" w:cs="Times New Roman"/>
          <w:color w:val="000000"/>
          <w:lang w:val="fr-BE"/>
        </w:rPr>
        <w:t xml:space="preserve"> </w:t>
      </w:r>
      <w:proofErr w:type="spellStart"/>
      <w:r w:rsidRPr="00323B90">
        <w:rPr>
          <w:rFonts w:ascii="Times New Roman" w:eastAsia="Times New Roman" w:hAnsi="Times New Roman" w:cs="Times New Roman"/>
          <w:color w:val="000000"/>
          <w:lang w:val="fr-BE"/>
        </w:rPr>
        <w:t>La</w:t>
      </w:r>
      <w:proofErr w:type="spellEnd"/>
      <w:r w:rsidRPr="00323B90">
        <w:rPr>
          <w:rFonts w:ascii="Times New Roman" w:eastAsia="Times New Roman" w:hAnsi="Times New Roman" w:cs="Times New Roman"/>
          <w:color w:val="000000"/>
          <w:lang w:val="fr-BE"/>
        </w:rPr>
        <w:t xml:space="preserve"> CE prévoit de sélectionner un maximum de 5 programmes. Comment s’organiser pour soutenir les organisations régionales?</w:t>
      </w:r>
    </w:p>
    <w:p w14:paraId="12F8A01F" w14:textId="77777777" w:rsidR="00A5170A" w:rsidRPr="00A5170A" w:rsidRDefault="00A5170A" w:rsidP="00A5170A">
      <w:pPr>
        <w:spacing w:after="0" w:line="240" w:lineRule="auto"/>
        <w:jc w:val="both"/>
        <w:rPr>
          <w:rFonts w:ascii="Times New Roman" w:eastAsia="Times New Roman" w:hAnsi="Times New Roman" w:cs="Times New Roman"/>
          <w:color w:val="000000"/>
          <w:lang w:val="fr-BE"/>
        </w:rPr>
      </w:pPr>
    </w:p>
    <w:p w14:paraId="672383E6" w14:textId="77777777" w:rsidR="00A5170A" w:rsidRPr="00FE3A75" w:rsidRDefault="00A5170A" w:rsidP="00A5170A">
      <w:pPr>
        <w:spacing w:after="0" w:line="240" w:lineRule="auto"/>
        <w:jc w:val="both"/>
        <w:rPr>
          <w:rFonts w:ascii="Times New Roman" w:eastAsia="Times New Roman" w:hAnsi="Times New Roman" w:cs="Times New Roman"/>
          <w:color w:val="000000"/>
          <w:lang w:val="en-US"/>
        </w:rPr>
      </w:pPr>
      <w:r w:rsidRPr="00440099">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 xml:space="preserve">Le dialogue social et le rôle des partenaires sociaux ne sont pas suffisamment </w:t>
      </w:r>
      <w:r>
        <w:rPr>
          <w:rFonts w:ascii="Times New Roman" w:eastAsia="Times New Roman" w:hAnsi="Times New Roman" w:cs="Times New Roman"/>
          <w:color w:val="000000"/>
          <w:lang w:val="fr-BE"/>
        </w:rPr>
        <w:t>pris en compte</w:t>
      </w:r>
      <w:r w:rsidRPr="00323B90">
        <w:rPr>
          <w:rFonts w:ascii="Times New Roman" w:eastAsia="Times New Roman" w:hAnsi="Times New Roman" w:cs="Times New Roman"/>
          <w:color w:val="000000"/>
          <w:lang w:val="fr-BE"/>
        </w:rPr>
        <w:t xml:space="preserve"> dans l’actuel Programme pluriannuel.</w:t>
      </w:r>
      <w:r w:rsidRPr="00440099">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 xml:space="preserve">Il nous reste encore une possibilité de contribuer durant le processus de rédaction du Plan d’action annuel-PAA 2015, auquel le Parlement européen </w:t>
      </w:r>
      <w:r>
        <w:rPr>
          <w:rFonts w:ascii="Times New Roman" w:eastAsia="Times New Roman" w:hAnsi="Times New Roman" w:cs="Times New Roman"/>
          <w:color w:val="000000"/>
          <w:lang w:val="fr-BE"/>
        </w:rPr>
        <w:t xml:space="preserve">participera </w:t>
      </w:r>
      <w:r w:rsidRPr="00323B90">
        <w:rPr>
          <w:rFonts w:ascii="Times New Roman" w:eastAsia="Times New Roman" w:hAnsi="Times New Roman" w:cs="Times New Roman"/>
          <w:color w:val="000000"/>
          <w:lang w:val="fr-BE"/>
        </w:rPr>
        <w:t>en vertu de son droit de regard.</w:t>
      </w:r>
      <w:r>
        <w:rPr>
          <w:rFonts w:ascii="Times New Roman" w:eastAsia="Times New Roman" w:hAnsi="Times New Roman" w:cs="Times New Roman"/>
          <w:color w:val="000000"/>
          <w:lang w:val="fr-BE"/>
        </w:rPr>
        <w:t xml:space="preserve"> </w:t>
      </w:r>
      <w:r w:rsidRPr="00323B90">
        <w:rPr>
          <w:rFonts w:ascii="Times New Roman" w:eastAsia="Times New Roman" w:hAnsi="Times New Roman" w:cs="Times New Roman"/>
          <w:color w:val="000000"/>
          <w:lang w:val="fr-BE"/>
        </w:rPr>
        <w:t>Comment assurer la meilleure coordination à cette fin ?</w:t>
      </w:r>
      <w:r>
        <w:rPr>
          <w:rFonts w:ascii="Times New Roman" w:eastAsia="Times New Roman" w:hAnsi="Times New Roman" w:cs="Times New Roman"/>
          <w:color w:val="000000"/>
          <w:lang w:val="en-US"/>
        </w:rPr>
        <w:t xml:space="preserve"> </w:t>
      </w:r>
    </w:p>
    <w:p w14:paraId="58880910" w14:textId="77777777" w:rsidR="00A5170A" w:rsidRPr="00FE3A75" w:rsidRDefault="00A5170A" w:rsidP="00A5170A">
      <w:pPr>
        <w:spacing w:after="0" w:line="240" w:lineRule="auto"/>
        <w:jc w:val="both"/>
        <w:rPr>
          <w:rFonts w:ascii="Times New Roman" w:eastAsia="Times New Roman" w:hAnsi="Times New Roman" w:cs="Times New Roman"/>
          <w:sz w:val="24"/>
          <w:szCs w:val="24"/>
          <w:lang w:val="en-GB"/>
        </w:rPr>
      </w:pPr>
    </w:p>
    <w:p w14:paraId="75D083F9" w14:textId="77777777" w:rsidR="00A5170A" w:rsidRPr="00FE3A75" w:rsidRDefault="00A5170A" w:rsidP="00A5170A">
      <w:pPr>
        <w:rPr>
          <w:lang w:val="en-GB"/>
        </w:rPr>
      </w:pPr>
    </w:p>
    <w:p w14:paraId="4CA177F3" w14:textId="68D7244C" w:rsidR="003A0DF9" w:rsidRPr="00A5170A" w:rsidRDefault="003A0DF9" w:rsidP="00A5170A"/>
    <w:sectPr w:rsidR="003A0DF9" w:rsidRPr="00A5170A" w:rsidSect="003A0DF9">
      <w:headerReference w:type="even" r:id="rId13"/>
      <w:headerReference w:type="default" r:id="rId14"/>
      <w:footerReference w:type="even" r:id="rId15"/>
      <w:footerReference w:type="default" r:id="rId16"/>
      <w:headerReference w:type="first" r:id="rId17"/>
      <w:footerReference w:type="first" r:id="rId18"/>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2CCC" w14:textId="77777777" w:rsidR="00770E88" w:rsidRDefault="00770E88" w:rsidP="00463227">
      <w:pPr>
        <w:spacing w:after="0" w:line="240" w:lineRule="auto"/>
      </w:pPr>
      <w:r>
        <w:separator/>
      </w:r>
    </w:p>
  </w:endnote>
  <w:endnote w:type="continuationSeparator" w:id="0">
    <w:p w14:paraId="68D54EC8" w14:textId="77777777" w:rsidR="00770E88" w:rsidRDefault="00770E88"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21C77" w14:textId="77777777" w:rsidR="00770E88" w:rsidRDefault="00770E88" w:rsidP="00463227">
      <w:pPr>
        <w:spacing w:after="0" w:line="240" w:lineRule="auto"/>
      </w:pPr>
      <w:r>
        <w:separator/>
      </w:r>
    </w:p>
  </w:footnote>
  <w:footnote w:type="continuationSeparator" w:id="0">
    <w:p w14:paraId="1A207FF6" w14:textId="77777777" w:rsidR="00770E88" w:rsidRDefault="00770E88" w:rsidP="00463227">
      <w:pPr>
        <w:spacing w:after="0" w:line="240" w:lineRule="auto"/>
      </w:pPr>
      <w:r>
        <w:continuationSeparator/>
      </w:r>
    </w:p>
  </w:footnote>
  <w:footnote w:id="1">
    <w:p w14:paraId="19075DA8" w14:textId="77777777" w:rsidR="00A5170A" w:rsidRPr="00CB58C9" w:rsidRDefault="00A5170A" w:rsidP="00A5170A">
      <w:pPr>
        <w:pStyle w:val="FootnoteText"/>
        <w:rPr>
          <w:lang w:val="fr-FR"/>
        </w:rPr>
      </w:pPr>
      <w:r w:rsidRPr="00CB58C9">
        <w:rPr>
          <w:rStyle w:val="FootnoteReference"/>
          <w:lang w:val="fr-FR"/>
        </w:rPr>
        <w:footnoteRef/>
      </w:r>
      <w:r w:rsidRPr="00CB58C9">
        <w:rPr>
          <w:lang w:val="fr-FR"/>
        </w:rPr>
        <w:t xml:space="preserve"> Séminaire de Florence sur l’éducation au développement </w:t>
      </w:r>
      <w:hyperlink r:id="rId1" w:history="1">
        <w:r w:rsidRPr="00CB58C9">
          <w:rPr>
            <w:rStyle w:val="Hyperlink"/>
            <w:lang w:val="fr-FR"/>
          </w:rPr>
          <w:t>http://www.ituc-csi.org/report</w:t>
        </w:r>
      </w:hyperlink>
      <w:r>
        <w:rPr>
          <w:lang w:val="fr-FR"/>
        </w:rPr>
        <w:t>, septembre</w:t>
      </w:r>
      <w:r w:rsidRPr="00CB58C9">
        <w:rPr>
          <w:lang w:val="fr-FR"/>
        </w:rPr>
        <w:t xml:space="preserve"> 2013</w:t>
      </w:r>
      <w:r>
        <w:rPr>
          <w:lang w:val="fr-FR"/>
        </w:rPr>
        <w:t xml:space="preserve"> ; et séminaire de Lomé</w:t>
      </w:r>
      <w:r w:rsidRPr="00CB58C9">
        <w:rPr>
          <w:lang w:val="fr-FR"/>
        </w:rPr>
        <w:t xml:space="preserve"> </w:t>
      </w:r>
      <w:r>
        <w:rPr>
          <w:lang w:val="fr-FR"/>
        </w:rPr>
        <w:t>sur l’économie informelle,</w:t>
      </w:r>
      <w:r w:rsidRPr="00CB58C9">
        <w:rPr>
          <w:lang w:val="fr-FR"/>
        </w:rPr>
        <w:t xml:space="preserve"> </w:t>
      </w:r>
      <w:r>
        <w:rPr>
          <w:lang w:val="fr-FR"/>
        </w:rPr>
        <w:t>février</w:t>
      </w:r>
      <w:r w:rsidRPr="00CB58C9">
        <w:rPr>
          <w:lang w:val="fr-FR"/>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770E88">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770E88">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770E88">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58AA"/>
    <w:multiLevelType w:val="hybridMultilevel"/>
    <w:tmpl w:val="5D5858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2EE2BD0"/>
    <w:multiLevelType w:val="hybridMultilevel"/>
    <w:tmpl w:val="06564CE0"/>
    <w:lvl w:ilvl="0" w:tplc="38209E2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26D82"/>
    <w:multiLevelType w:val="hybridMultilevel"/>
    <w:tmpl w:val="A7E0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F4CD7"/>
    <w:rsid w:val="003A0DF9"/>
    <w:rsid w:val="00463227"/>
    <w:rsid w:val="00496C15"/>
    <w:rsid w:val="004F222C"/>
    <w:rsid w:val="00542A41"/>
    <w:rsid w:val="005613F6"/>
    <w:rsid w:val="00583C45"/>
    <w:rsid w:val="00606ABE"/>
    <w:rsid w:val="00646D4F"/>
    <w:rsid w:val="006F2776"/>
    <w:rsid w:val="00770E88"/>
    <w:rsid w:val="00A5170A"/>
    <w:rsid w:val="00B50CDC"/>
    <w:rsid w:val="00B55C5F"/>
    <w:rsid w:val="00BC2F49"/>
    <w:rsid w:val="00C97769"/>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170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rsid w:val="006F2776"/>
    <w:rPr>
      <w:color w:val="0000FF"/>
      <w:u w:val="single"/>
    </w:rPr>
  </w:style>
  <w:style w:type="paragraph" w:styleId="FootnoteText">
    <w:name w:val="footnote text"/>
    <w:basedOn w:val="Normal"/>
    <w:link w:val="FootnoteTextChar"/>
    <w:uiPriority w:val="99"/>
    <w:semiHidden/>
    <w:unhideWhenUsed/>
    <w:rsid w:val="006F2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2776"/>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F2776"/>
    <w:rPr>
      <w:vertAlign w:val="superscript"/>
    </w:rPr>
  </w:style>
  <w:style w:type="paragraph" w:styleId="ListParagraph">
    <w:name w:val="List Paragraph"/>
    <w:basedOn w:val="Normal"/>
    <w:uiPriority w:val="34"/>
    <w:qFormat/>
    <w:rsid w:val="006F2776"/>
    <w:pPr>
      <w:ind w:left="720"/>
      <w:contextualSpacing/>
    </w:pPr>
  </w:style>
  <w:style w:type="paragraph" w:styleId="BalloonText">
    <w:name w:val="Balloon Text"/>
    <w:basedOn w:val="Normal"/>
    <w:link w:val="BalloonTextChar"/>
    <w:uiPriority w:val="99"/>
    <w:semiHidden/>
    <w:unhideWhenUsed/>
    <w:rsid w:val="006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170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rsid w:val="006F2776"/>
    <w:rPr>
      <w:color w:val="0000FF"/>
      <w:u w:val="single"/>
    </w:rPr>
  </w:style>
  <w:style w:type="paragraph" w:styleId="FootnoteText">
    <w:name w:val="footnote text"/>
    <w:basedOn w:val="Normal"/>
    <w:link w:val="FootnoteTextChar"/>
    <w:uiPriority w:val="99"/>
    <w:semiHidden/>
    <w:unhideWhenUsed/>
    <w:rsid w:val="006F2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2776"/>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F2776"/>
    <w:rPr>
      <w:vertAlign w:val="superscript"/>
    </w:rPr>
  </w:style>
  <w:style w:type="paragraph" w:styleId="ListParagraph">
    <w:name w:val="List Paragraph"/>
    <w:basedOn w:val="Normal"/>
    <w:uiPriority w:val="34"/>
    <w:qFormat/>
    <w:rsid w:val="006F2776"/>
    <w:pPr>
      <w:ind w:left="720"/>
      <w:contextualSpacing/>
    </w:pPr>
  </w:style>
  <w:style w:type="paragraph" w:styleId="BalloonText">
    <w:name w:val="Balloon Text"/>
    <w:basedOn w:val="Normal"/>
    <w:link w:val="BalloonTextChar"/>
    <w:uiPriority w:val="99"/>
    <w:semiHidden/>
    <w:unhideWhenUsed/>
    <w:rsid w:val="006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gate.ec.europa.eu/fpfis/mwikis/aidco/images/2/20/C_2014_5072_F1_ANNEX_EN_V2_P1_77417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ebgate.ec.europa.eu/fpfis/mwikis/aidco/index.php/File:New.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gate.ec.europa.eu/fpfis/mwikis/aidco/images/2/2b/CSO_LA_MIP_CSO_LA_2014_2020_E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033D-2BB3-455B-9A38-62315C36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3</cp:revision>
  <cp:lastPrinted>2014-09-26T09:57:00Z</cp:lastPrinted>
  <dcterms:created xsi:type="dcterms:W3CDTF">2014-09-26T09:57:00Z</dcterms:created>
  <dcterms:modified xsi:type="dcterms:W3CDTF">2014-09-26T09:57:00Z</dcterms:modified>
</cp:coreProperties>
</file>