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C3" w:rsidRPr="00917F3D" w:rsidRDefault="009A14DA" w:rsidP="005D1CE5">
      <w:pPr>
        <w:pStyle w:val="Heading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center"/>
        <w:rPr>
          <w:rFonts w:asciiTheme="minorHAnsi" w:hAnsiTheme="minorHAnsi"/>
          <w:color w:val="980027"/>
          <w:sz w:val="32"/>
        </w:rPr>
      </w:pPr>
      <w:bookmarkStart w:id="0" w:name="_GoBack"/>
      <w:bookmarkEnd w:id="0"/>
      <w:r w:rsidRPr="005D1CE5">
        <w:rPr>
          <w:rFonts w:asciiTheme="minorHAnsi" w:hAnsiTheme="minorHAnsi"/>
          <w:color w:val="980027"/>
          <w:sz w:val="32"/>
          <w:lang w:val="fr-BE"/>
        </w:rPr>
        <w:t xml:space="preserve">Évaluation des capacités organisationnelles </w:t>
      </w:r>
    </w:p>
    <w:p w:rsidR="008C3CC3" w:rsidRPr="00917F3D" w:rsidRDefault="009A14DA" w:rsidP="005D1CE5">
      <w:pPr>
        <w:pStyle w:val="Heading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280" w:lineRule="auto"/>
        <w:jc w:val="center"/>
        <w:rPr>
          <w:rFonts w:asciiTheme="minorHAnsi" w:hAnsiTheme="minorHAnsi"/>
          <w:color w:val="000000"/>
        </w:rPr>
      </w:pPr>
      <w:r w:rsidRPr="005D1CE5">
        <w:rPr>
          <w:rFonts w:asciiTheme="minorHAnsi" w:hAnsiTheme="minorHAnsi"/>
          <w:color w:val="000000"/>
          <w:lang w:val="fr-BE"/>
        </w:rPr>
        <w:t>PROJET DE PLAN DE TRAVAIL</w:t>
      </w:r>
      <w:r w:rsidR="008C3CC3" w:rsidRPr="00917F3D">
        <w:rPr>
          <w:rFonts w:asciiTheme="minorHAnsi" w:hAnsiTheme="minorHAnsi"/>
          <w:color w:val="000000"/>
        </w:rPr>
        <w:t xml:space="preserve"> </w:t>
      </w:r>
    </w:p>
    <w:p w:rsidR="008C3CC3" w:rsidRPr="00917F3D"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rPr>
      </w:pPr>
    </w:p>
    <w:p w:rsidR="008C3CC3" w:rsidRPr="00917F3D"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17F3D">
        <w:rPr>
          <w:rFonts w:asciiTheme="minorHAnsi" w:hAnsiTheme="minorHAnsi"/>
        </w:rPr>
        <w:tab/>
      </w:r>
      <w:r w:rsidRPr="00917F3D">
        <w:rPr>
          <w:rFonts w:asciiTheme="minorHAnsi" w:hAnsiTheme="minorHAnsi"/>
        </w:rPr>
        <w:tab/>
      </w:r>
      <w:r w:rsidRPr="00917F3D">
        <w:rPr>
          <w:rFonts w:asciiTheme="minorHAnsi" w:hAnsiTheme="minorHAnsi"/>
        </w:rPr>
        <w:tab/>
      </w:r>
      <w:r w:rsidRPr="00917F3D">
        <w:rPr>
          <w:rFonts w:asciiTheme="minorHAnsi" w:hAnsiTheme="minorHAnsi"/>
        </w:rPr>
        <w:tab/>
      </w:r>
      <w:r w:rsidRPr="00917F3D">
        <w:rPr>
          <w:rFonts w:asciiTheme="minorHAnsi" w:hAnsiTheme="minorHAnsi"/>
        </w:rPr>
        <w:tab/>
      </w:r>
    </w:p>
    <w:p w:rsidR="008C3CC3" w:rsidRPr="00917F3D" w:rsidRDefault="009A14DA"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b/>
          <w:sz w:val="28"/>
        </w:rPr>
      </w:pPr>
      <w:r w:rsidRPr="005D1CE5">
        <w:rPr>
          <w:rFonts w:asciiTheme="minorHAnsi" w:hAnsiTheme="minorHAnsi"/>
          <w:b/>
          <w:sz w:val="28"/>
          <w:lang w:val="fr-BE"/>
        </w:rPr>
        <w:t>Introduction</w:t>
      </w:r>
    </w:p>
    <w:p w:rsidR="008C3CC3" w:rsidRPr="00917F3D" w:rsidRDefault="009A14DA"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 xml:space="preserve">La croissance syndicale a été définie comme l’un des trois </w:t>
      </w:r>
      <w:r w:rsidR="000F6845">
        <w:rPr>
          <w:rFonts w:asciiTheme="minorHAnsi" w:hAnsiTheme="minorHAnsi"/>
          <w:lang w:val="fr-BE"/>
        </w:rPr>
        <w:t xml:space="preserve">principaux objectifs </w:t>
      </w:r>
      <w:r w:rsidRPr="005D1CE5">
        <w:rPr>
          <w:rFonts w:asciiTheme="minorHAnsi" w:hAnsiTheme="minorHAnsi"/>
          <w:lang w:val="fr-BE"/>
        </w:rPr>
        <w:t>stratégiques de la CSI pour la prochaine période.</w:t>
      </w:r>
      <w:r w:rsidR="008C3CC3" w:rsidRPr="00917F3D">
        <w:rPr>
          <w:rFonts w:asciiTheme="minorHAnsi" w:hAnsiTheme="minorHAnsi"/>
          <w:b/>
        </w:rPr>
        <w:t xml:space="preserve"> </w:t>
      </w:r>
      <w:r w:rsidRPr="005D1CE5">
        <w:rPr>
          <w:rFonts w:asciiTheme="minorHAnsi" w:hAnsiTheme="minorHAnsi"/>
          <w:lang w:val="fr-BE"/>
        </w:rPr>
        <w:t>Dans cette optique, l’ « </w:t>
      </w:r>
      <w:r w:rsidRPr="005D1CE5">
        <w:rPr>
          <w:rFonts w:asciiTheme="minorHAnsi" w:hAnsiTheme="minorHAnsi"/>
          <w:b/>
          <w:lang w:val="fr-BE"/>
        </w:rPr>
        <w:t>organisation</w:t>
      </w:r>
      <w:r w:rsidRPr="005D1CE5">
        <w:rPr>
          <w:rFonts w:asciiTheme="minorHAnsi" w:hAnsiTheme="minorHAnsi"/>
          <w:lang w:val="fr-BE"/>
        </w:rPr>
        <w:t> » constitue l’une des priorités de l’action syndicale.</w:t>
      </w:r>
      <w:r w:rsidR="008C3CC3" w:rsidRPr="00917F3D">
        <w:rPr>
          <w:rFonts w:asciiTheme="minorHAnsi" w:hAnsiTheme="minorHAnsi"/>
        </w:rPr>
        <w:t xml:space="preserve"> </w:t>
      </w:r>
      <w:r w:rsidR="00F42905" w:rsidRPr="005D1CE5">
        <w:rPr>
          <w:rFonts w:asciiTheme="minorHAnsi" w:hAnsiTheme="minorHAnsi"/>
          <w:lang w:val="fr-BE"/>
        </w:rPr>
        <w:t>Les stratégies de renforcement des capacités mises en œuvre par les syndicats contribuent à l’organisation à travers la promotion de syndicats plus forts.</w:t>
      </w:r>
      <w:r w:rsidR="008C3CC3" w:rsidRPr="00917F3D">
        <w:rPr>
          <w:rFonts w:asciiTheme="minorHAnsi" w:hAnsiTheme="minorHAnsi"/>
        </w:rPr>
        <w:t xml:space="preserve"> </w:t>
      </w:r>
      <w:r w:rsidR="00F42905" w:rsidRPr="005D1CE5">
        <w:rPr>
          <w:rFonts w:asciiTheme="minorHAnsi" w:hAnsiTheme="minorHAnsi"/>
          <w:lang w:val="fr-BE"/>
        </w:rPr>
        <w:t>Après de nombreuses années d’activités syndicales de coopération au développement axées sur le renforcement des capacités, une réflexion approfondie s’impose sur l’impact de ce travail.</w:t>
      </w:r>
      <w:r w:rsidR="00BD6024">
        <w:rPr>
          <w:rFonts w:asciiTheme="minorHAnsi" w:hAnsiTheme="minorHAnsi"/>
          <w:lang w:val="fr-BE"/>
        </w:rPr>
        <w:t xml:space="preserve"> </w:t>
      </w:r>
      <w:r w:rsidR="00F42905" w:rsidRPr="005D1CE5">
        <w:rPr>
          <w:rFonts w:asciiTheme="minorHAnsi" w:hAnsiTheme="minorHAnsi"/>
          <w:lang w:val="fr-BE"/>
        </w:rPr>
        <w:t>Plusieurs syndicats et organisations de soutien solidaire (OSS) ont d’ores et déjà entrepris de telles évaluations du renforcement des capacités.</w:t>
      </w:r>
      <w:r w:rsidR="008C3CC3" w:rsidRPr="00917F3D">
        <w:rPr>
          <w:rFonts w:asciiTheme="minorHAnsi" w:hAnsiTheme="minorHAnsi"/>
        </w:rPr>
        <w:t xml:space="preserve"> </w:t>
      </w:r>
      <w:r w:rsidR="00F42905" w:rsidRPr="005D1CE5">
        <w:rPr>
          <w:rFonts w:asciiTheme="minorHAnsi" w:hAnsiTheme="minorHAnsi"/>
          <w:lang w:val="fr-BE"/>
        </w:rPr>
        <w:t xml:space="preserve">Le besoin se fait désormais pressant </w:t>
      </w:r>
      <w:r w:rsidR="005D1CE5" w:rsidRPr="005D1CE5">
        <w:rPr>
          <w:rFonts w:asciiTheme="minorHAnsi" w:hAnsiTheme="minorHAnsi"/>
          <w:lang w:val="fr-BE"/>
        </w:rPr>
        <w:t>de synthétiser</w:t>
      </w:r>
      <w:r w:rsidR="00897D44" w:rsidRPr="005D1CE5">
        <w:rPr>
          <w:rFonts w:asciiTheme="minorHAnsi" w:hAnsiTheme="minorHAnsi"/>
          <w:lang w:val="fr-BE"/>
        </w:rPr>
        <w:t xml:space="preserve"> ces différentes expériences et d’élaborer des </w:t>
      </w:r>
      <w:r w:rsidR="00897D44" w:rsidRPr="005D1CE5">
        <w:rPr>
          <w:rFonts w:asciiTheme="minorHAnsi" w:hAnsiTheme="minorHAnsi"/>
          <w:b/>
          <w:lang w:val="fr-BE"/>
        </w:rPr>
        <w:t>cadres communs pour l’Évaluation des capacités organisationnelles (ECO)</w:t>
      </w:r>
      <w:r w:rsidR="00897D44" w:rsidRPr="005D1CE5">
        <w:rPr>
          <w:rFonts w:asciiTheme="minorHAnsi" w:hAnsiTheme="minorHAnsi"/>
          <w:lang w:val="fr-BE"/>
        </w:rPr>
        <w:t xml:space="preserve"> dont le mouvement syndical pourra se servir dans ses stratégies de développement des capacités.</w:t>
      </w:r>
      <w:r w:rsidR="008C3CC3" w:rsidRPr="00917F3D">
        <w:rPr>
          <w:rFonts w:asciiTheme="minorHAnsi" w:hAnsiTheme="minorHAnsi"/>
        </w:rPr>
        <w:t xml:space="preserve"> </w:t>
      </w:r>
      <w:r w:rsidR="00897D44" w:rsidRPr="005D1CE5">
        <w:rPr>
          <w:rFonts w:asciiTheme="minorHAnsi" w:hAnsiTheme="minorHAnsi"/>
          <w:lang w:val="fr-BE"/>
        </w:rPr>
        <w:t>L’élaboration de cadres ECO communs contribuera à l’évaluation des stratégies en place</w:t>
      </w:r>
      <w:r w:rsidR="005D1CE5" w:rsidRPr="005D1CE5">
        <w:rPr>
          <w:rFonts w:asciiTheme="minorHAnsi" w:hAnsiTheme="minorHAnsi"/>
          <w:lang w:val="fr-BE"/>
        </w:rPr>
        <w:t>, de même qu’a</w:t>
      </w:r>
      <w:r w:rsidR="00897D44" w:rsidRPr="005D1CE5">
        <w:rPr>
          <w:rFonts w:asciiTheme="minorHAnsi" w:hAnsiTheme="minorHAnsi"/>
          <w:lang w:val="fr-BE"/>
        </w:rPr>
        <w:t xml:space="preserve"> la mise au point de nouvelles stratégies assorties d’objectifs, de résultats et d’indicateurs clairs.</w:t>
      </w:r>
      <w:r w:rsidR="008C3CC3" w:rsidRPr="00917F3D">
        <w:rPr>
          <w:rFonts w:asciiTheme="minorHAnsi" w:hAnsiTheme="minorHAnsi"/>
        </w:rPr>
        <w:t xml:space="preserve"> </w:t>
      </w:r>
    </w:p>
    <w:p w:rsidR="008C3CC3" w:rsidRPr="00917F3D" w:rsidRDefault="00897D44"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b/>
          <w:sz w:val="28"/>
        </w:rPr>
      </w:pPr>
      <w:r w:rsidRPr="005D1CE5">
        <w:rPr>
          <w:rFonts w:asciiTheme="minorHAnsi" w:hAnsiTheme="minorHAnsi"/>
          <w:b/>
          <w:sz w:val="28"/>
          <w:lang w:val="fr-BE"/>
        </w:rPr>
        <w:t>Contexte</w:t>
      </w:r>
    </w:p>
    <w:p w:rsidR="008C3CC3" w:rsidRPr="00917F3D" w:rsidRDefault="00897D44" w:rsidP="005D1CE5">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80" w:lineRule="auto"/>
        <w:jc w:val="both"/>
        <w:rPr>
          <w:rFonts w:asciiTheme="minorHAnsi" w:hAnsiTheme="minorHAnsi"/>
        </w:rPr>
      </w:pPr>
      <w:r w:rsidRPr="005D1CE5">
        <w:rPr>
          <w:rFonts w:asciiTheme="minorHAnsi" w:hAnsiTheme="minorHAnsi"/>
          <w:lang w:val="fr-BE"/>
        </w:rPr>
        <w:t xml:space="preserve">Suite au travail accompli par le RSCD sur les Principes syndicaux en matière d’efficacité au développement (la rédaction des Principes et </w:t>
      </w:r>
      <w:r w:rsidR="005D1CE5" w:rsidRPr="005D1CE5">
        <w:rPr>
          <w:rFonts w:asciiTheme="minorHAnsi" w:hAnsiTheme="minorHAnsi"/>
          <w:lang w:val="fr-BE"/>
        </w:rPr>
        <w:t>directives</w:t>
      </w:r>
      <w:r w:rsidRPr="005D1CE5">
        <w:rPr>
          <w:rFonts w:asciiTheme="minorHAnsi" w:hAnsiTheme="minorHAnsi"/>
          <w:lang w:val="fr-BE"/>
        </w:rPr>
        <w:t xml:space="preserve"> et l’élaboration du Profil d’efficacité de la coopération syndicale au développement (TUDEP)), outre l’étude intitulée « Mieux comprendre les résultats du travail sur le renforcement des syndicats », plusieurs organisations ont fait part de leur souhait d’aller plus loin dans ce sens.</w:t>
      </w:r>
      <w:r w:rsidR="00BD6024">
        <w:rPr>
          <w:rFonts w:asciiTheme="minorHAnsi" w:hAnsiTheme="minorHAnsi"/>
          <w:lang w:val="fr-BE"/>
        </w:rPr>
        <w:t xml:space="preserve"> </w:t>
      </w:r>
    </w:p>
    <w:p w:rsidR="008C3CC3" w:rsidRPr="00917F3D" w:rsidRDefault="008C3CC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rPr>
      </w:pPr>
    </w:p>
    <w:p w:rsidR="008C3CC3" w:rsidRPr="005F65A5" w:rsidRDefault="00897D44"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Ceci implique une réflexion approfondie sur la relation entre les projets de solidarité syndicale et l’incidence de ces derniers sur les organisations partenaires elles-mêmes, spécifiquement en termes d’améliorations structurelles.</w:t>
      </w:r>
      <w:r w:rsidR="008C3CC3" w:rsidRPr="00917F3D">
        <w:rPr>
          <w:rFonts w:asciiTheme="minorHAnsi" w:hAnsiTheme="minorHAnsi"/>
        </w:rPr>
        <w:t xml:space="preserve"> </w:t>
      </w:r>
      <w:r w:rsidRPr="005D1CE5">
        <w:rPr>
          <w:rFonts w:asciiTheme="minorHAnsi" w:hAnsiTheme="minorHAnsi"/>
          <w:lang w:val="fr-BE"/>
        </w:rPr>
        <w:t>Autrement dit, la question à laquelle nous devons nous atteler est de savoir dans quelle mesure nos programmes de solidarité contribuent au renforcement des organisations partenaires et comment (sur la base de quels critères) nous pouvons l’évaluer.</w:t>
      </w:r>
      <w:r w:rsidR="008C3CC3" w:rsidRPr="00917F3D">
        <w:rPr>
          <w:rFonts w:asciiTheme="minorHAnsi" w:hAnsiTheme="minorHAnsi"/>
        </w:rPr>
        <w:t xml:space="preserve"> </w:t>
      </w:r>
      <w:r w:rsidRPr="005D1CE5">
        <w:rPr>
          <w:rFonts w:asciiTheme="minorHAnsi" w:hAnsiTheme="minorHAnsi"/>
          <w:lang w:val="fr-BE"/>
        </w:rPr>
        <w:t xml:space="preserve">Les syndicats disposent d’ores et déjà de points de référence clairement définis </w:t>
      </w:r>
      <w:r w:rsidR="005D1CE5" w:rsidRPr="005D1CE5">
        <w:rPr>
          <w:rFonts w:asciiTheme="minorHAnsi" w:hAnsiTheme="minorHAnsi"/>
          <w:lang w:val="fr-BE"/>
        </w:rPr>
        <w:lastRenderedPageBreak/>
        <w:t>en ce sens</w:t>
      </w:r>
      <w:r w:rsidRPr="005D1CE5">
        <w:rPr>
          <w:rStyle w:val="FootnoteReference1"/>
          <w:rFonts w:asciiTheme="minorHAnsi" w:hAnsiTheme="minorHAnsi"/>
          <w:lang w:val="fr-BE"/>
        </w:rPr>
        <w:footnoteReference w:id="1"/>
      </w:r>
      <w:r w:rsidRPr="005D1CE5">
        <w:rPr>
          <w:rFonts w:asciiTheme="minorHAnsi" w:hAnsiTheme="minorHAnsi"/>
          <w:lang w:val="fr-BE"/>
        </w:rPr>
        <w:t xml:space="preserve">, </w:t>
      </w:r>
      <w:r w:rsidR="00306F38" w:rsidRPr="005D1CE5">
        <w:rPr>
          <w:rFonts w:asciiTheme="minorHAnsi" w:hAnsiTheme="minorHAnsi"/>
          <w:lang w:val="fr-BE"/>
        </w:rPr>
        <w:t>liés à leur nature-même d’</w:t>
      </w:r>
      <w:r w:rsidRPr="005D1CE5">
        <w:rPr>
          <w:rFonts w:asciiTheme="minorHAnsi" w:hAnsiTheme="minorHAnsi"/>
          <w:lang w:val="fr-BE"/>
        </w:rPr>
        <w:t>organisations basées sur l’affiliation.</w:t>
      </w:r>
      <w:r w:rsidR="00BD6024">
        <w:rPr>
          <w:rFonts w:asciiTheme="minorHAnsi" w:hAnsiTheme="minorHAnsi"/>
          <w:lang w:val="fr-BE"/>
        </w:rPr>
        <w:t xml:space="preserve"> </w:t>
      </w:r>
      <w:r w:rsidR="00306F38" w:rsidRPr="005D1CE5">
        <w:rPr>
          <w:rFonts w:asciiTheme="minorHAnsi" w:hAnsiTheme="minorHAnsi"/>
          <w:lang w:val="fr-BE"/>
        </w:rPr>
        <w:t>Il n’y a cependant pas d’approche commune en ce qui concerne l’évaluation.</w:t>
      </w:r>
      <w:r w:rsidR="008C3CC3" w:rsidRPr="00917F3D">
        <w:rPr>
          <w:rFonts w:asciiTheme="minorHAnsi" w:hAnsiTheme="minorHAnsi"/>
        </w:rPr>
        <w:t xml:space="preserve"> </w:t>
      </w:r>
      <w:r w:rsidR="00306F38" w:rsidRPr="005D1CE5">
        <w:rPr>
          <w:rFonts w:asciiTheme="minorHAnsi" w:hAnsiTheme="minorHAnsi"/>
          <w:lang w:val="fr-BE"/>
        </w:rPr>
        <w:t>De façon assez surprenante, il fut relevé durant l'élaboration du document « Mieux comprendre les résultats » que les syndicats utilisent actuellement différents instruments et méthodologies dans le domaine de l’évaluation des capacités organisationnelles (ECO)</w:t>
      </w:r>
      <w:r w:rsidR="00306F38" w:rsidRPr="005D1CE5">
        <w:rPr>
          <w:rStyle w:val="FootnoteReference1"/>
          <w:rFonts w:asciiTheme="minorHAnsi" w:hAnsiTheme="minorHAnsi"/>
          <w:lang w:val="fr-BE"/>
        </w:rPr>
        <w:footnoteReference w:id="2"/>
      </w:r>
      <w:r w:rsidR="00306F38" w:rsidRPr="005D1CE5">
        <w:rPr>
          <w:rFonts w:asciiTheme="minorHAnsi" w:hAnsiTheme="minorHAnsi"/>
          <w:lang w:val="fr-BE"/>
        </w:rPr>
        <w:t>.</w:t>
      </w:r>
      <w:r w:rsidR="00BD6024">
        <w:rPr>
          <w:rFonts w:asciiTheme="minorHAnsi" w:hAnsiTheme="minorHAnsi"/>
        </w:rPr>
        <w:t xml:space="preserve"> </w:t>
      </w:r>
      <w:r w:rsidR="00306F38" w:rsidRPr="005D1CE5">
        <w:rPr>
          <w:rFonts w:asciiTheme="minorHAnsi" w:hAnsiTheme="minorHAnsi"/>
          <w:lang w:val="fr-BE"/>
        </w:rPr>
        <w:t>Conséquemment, l’élaboration de cadres communs pour l’Évaluation des capacités organisationnelles nous aidera à construire une approche cohérente dans le soutien aux organisations et à renforcer l’appropriation collective en matière de coopération syndicale.</w:t>
      </w:r>
      <w:r w:rsidR="008C3CC3" w:rsidRPr="005F65A5">
        <w:rPr>
          <w:rFonts w:asciiTheme="minorHAnsi" w:hAnsiTheme="minorHAnsi"/>
        </w:rPr>
        <w:t xml:space="preserve"> </w:t>
      </w:r>
    </w:p>
    <w:p w:rsidR="008C3CC3" w:rsidRPr="005F65A5" w:rsidRDefault="00306F38"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b/>
          <w:sz w:val="28"/>
        </w:rPr>
      </w:pPr>
      <w:r w:rsidRPr="005D1CE5">
        <w:rPr>
          <w:rFonts w:asciiTheme="minorHAnsi" w:hAnsiTheme="minorHAnsi"/>
          <w:b/>
          <w:sz w:val="28"/>
          <w:lang w:val="fr-BE"/>
        </w:rPr>
        <w:t>Objectifs</w:t>
      </w:r>
    </w:p>
    <w:p w:rsidR="008C3CC3" w:rsidRPr="005F65A5" w:rsidRDefault="00306F38"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Les objectifs des actions à entreprendre sont les suivants :</w:t>
      </w:r>
    </w:p>
    <w:p w:rsidR="008C3CC3" w:rsidRPr="005F65A5" w:rsidRDefault="00306F38" w:rsidP="005D1CE5">
      <w:pPr>
        <w:pStyle w:val="ListParagraph"/>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rPr>
      </w:pPr>
      <w:r w:rsidRPr="005D1CE5">
        <w:rPr>
          <w:rFonts w:asciiTheme="minorHAnsi" w:hAnsiTheme="minorHAnsi"/>
          <w:lang w:val="fr-BE"/>
        </w:rPr>
        <w:t>Mise sur pied d’un cadre syndical commun pour l’évaluation de la capacité organisationnelle.</w:t>
      </w:r>
    </w:p>
    <w:p w:rsidR="008C3CC3" w:rsidRPr="005F65A5" w:rsidRDefault="00306F38" w:rsidP="005D1CE5">
      <w:pPr>
        <w:pStyle w:val="ListParagraph"/>
        <w:numPr>
          <w:ilvl w:val="0"/>
          <w:numId w:val="1"/>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rPr>
      </w:pPr>
      <w:r w:rsidRPr="005D1CE5">
        <w:rPr>
          <w:rFonts w:asciiTheme="minorHAnsi" w:hAnsiTheme="minorHAnsi"/>
          <w:lang w:val="fr-BE"/>
        </w:rPr>
        <w:t>Définition de critères communs</w:t>
      </w:r>
      <w:r w:rsidR="005B00DC" w:rsidRPr="005D1CE5">
        <w:rPr>
          <w:rFonts w:asciiTheme="minorHAnsi" w:hAnsiTheme="minorHAnsi"/>
          <w:lang w:val="fr-BE"/>
        </w:rPr>
        <w:t xml:space="preserve"> pour les stratégies de renforcement</w:t>
      </w:r>
      <w:r w:rsidR="00BD6024">
        <w:rPr>
          <w:rFonts w:asciiTheme="minorHAnsi" w:hAnsiTheme="minorHAnsi"/>
          <w:lang w:val="fr-BE"/>
        </w:rPr>
        <w:t xml:space="preserve"> </w:t>
      </w:r>
      <w:r w:rsidR="005B00DC" w:rsidRPr="005D1CE5">
        <w:rPr>
          <w:rFonts w:asciiTheme="minorHAnsi" w:hAnsiTheme="minorHAnsi"/>
          <w:lang w:val="fr-BE"/>
        </w:rPr>
        <w:t xml:space="preserve">des capacités/d’organisation au sein du mouvement syndical. </w:t>
      </w:r>
    </w:p>
    <w:p w:rsidR="008C3CC3" w:rsidRPr="005F65A5" w:rsidRDefault="005B00DC"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b/>
          <w:sz w:val="28"/>
        </w:rPr>
      </w:pPr>
      <w:r w:rsidRPr="005D1CE5">
        <w:rPr>
          <w:rFonts w:asciiTheme="minorHAnsi" w:hAnsiTheme="minorHAnsi"/>
          <w:b/>
          <w:sz w:val="28"/>
          <w:lang w:val="fr-BE"/>
        </w:rPr>
        <w:t>Méthodologie</w:t>
      </w:r>
    </w:p>
    <w:p w:rsidR="008C3CC3" w:rsidRPr="005F65A5" w:rsidRDefault="005B00DC"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Le Groupe de travail du RSCD sur les Partenariats syndicaux sera le point de référence pour ces activités.</w:t>
      </w:r>
      <w:r w:rsidR="00BD6024">
        <w:rPr>
          <w:rFonts w:asciiTheme="minorHAnsi" w:hAnsiTheme="minorHAnsi"/>
          <w:lang w:val="fr-BE"/>
        </w:rPr>
        <w:t xml:space="preserve"> </w:t>
      </w:r>
      <w:r w:rsidRPr="005D1CE5">
        <w:rPr>
          <w:rFonts w:asciiTheme="minorHAnsi" w:hAnsiTheme="minorHAnsi"/>
          <w:lang w:val="fr-BE"/>
        </w:rPr>
        <w:t xml:space="preserve">En plus des activités en ligne, un séminaire ECO </w:t>
      </w:r>
      <w:r w:rsidR="00CA4237" w:rsidRPr="005D1CE5">
        <w:rPr>
          <w:rFonts w:asciiTheme="minorHAnsi" w:hAnsiTheme="minorHAnsi"/>
          <w:lang w:val="fr-BE"/>
        </w:rPr>
        <w:t>permettra de faire le point et de préparer le terrain en tenant compte des points suivants :</w:t>
      </w:r>
    </w:p>
    <w:p w:rsidR="00730689" w:rsidRPr="005F65A5" w:rsidRDefault="00CA4237" w:rsidP="005D1CE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Premièrement, l’élaboration de critères ECO</w:t>
      </w:r>
      <w:r w:rsidR="00BA52BC" w:rsidRPr="005D1CE5">
        <w:rPr>
          <w:rFonts w:asciiTheme="minorHAnsi" w:hAnsiTheme="minorHAnsi"/>
          <w:lang w:val="fr-BE"/>
        </w:rPr>
        <w:t xml:space="preserve"> a pour objectif primordial d’évaluer les stratégies de renforcement des capacités de manière à les améliorer à des fins d’organisation et à élaborer de nouvelles stratégies syndicales nationales de développement.</w:t>
      </w:r>
      <w:r w:rsidR="00BD6024">
        <w:rPr>
          <w:rFonts w:asciiTheme="minorHAnsi" w:hAnsiTheme="minorHAnsi"/>
          <w:lang w:val="fr-BE"/>
        </w:rPr>
        <w:t xml:space="preserve"> </w:t>
      </w:r>
    </w:p>
    <w:p w:rsidR="00730689" w:rsidRPr="005F65A5" w:rsidRDefault="00BA52BC" w:rsidP="005D1CE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Deuxièmement, il convient de garantir l’appropriation démocratique, ce qui implique l’engagement direct des organisations partenaires tout au long du processus.</w:t>
      </w:r>
      <w:r w:rsidR="008C3CC3" w:rsidRPr="005F65A5">
        <w:rPr>
          <w:rFonts w:asciiTheme="minorHAnsi" w:hAnsiTheme="minorHAnsi"/>
        </w:rPr>
        <w:t xml:space="preserve"> </w:t>
      </w:r>
    </w:p>
    <w:p w:rsidR="00730689" w:rsidRPr="005F65A5" w:rsidRDefault="00BA52BC" w:rsidP="005D1CE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Troisièmement, il conviendra de prendre en considération les activités antérieures, notamment les Principes syndicaux en matière d’efficacité au développement</w:t>
      </w:r>
      <w:r w:rsidRPr="005D1CE5">
        <w:rPr>
          <w:rStyle w:val="FootnoteReference"/>
          <w:rFonts w:asciiTheme="minorHAnsi" w:hAnsiTheme="minorHAnsi"/>
          <w:lang w:val="fr-BE"/>
        </w:rPr>
        <w:footnoteReference w:id="3"/>
      </w:r>
      <w:r w:rsidRPr="005D1CE5">
        <w:rPr>
          <w:rFonts w:asciiTheme="minorHAnsi" w:hAnsiTheme="minorHAnsi"/>
          <w:lang w:val="fr-BE"/>
        </w:rPr>
        <w:t>.</w:t>
      </w:r>
      <w:r w:rsidR="008C3CC3" w:rsidRPr="005F65A5">
        <w:rPr>
          <w:rFonts w:asciiTheme="minorHAnsi" w:hAnsiTheme="minorHAnsi"/>
        </w:rPr>
        <w:t xml:space="preserve"> </w:t>
      </w:r>
    </w:p>
    <w:p w:rsidR="00730689" w:rsidRPr="005F65A5" w:rsidRDefault="0086513D" w:rsidP="005D1CE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lastRenderedPageBreak/>
        <w:t>Quatrièmement, une méthodologie syndicale implique l'utilisation de concepts applicables au mouvement syndical et à son dynamisme, les ECO ayant principalement été utilisées par les ONG et dans des contextes de coopération au développement « classiques »</w:t>
      </w:r>
      <w:r w:rsidR="00730689" w:rsidRPr="005F65A5">
        <w:rPr>
          <w:rFonts w:asciiTheme="minorHAnsi" w:hAnsiTheme="minorHAnsi"/>
        </w:rPr>
        <w:t xml:space="preserve"> </w:t>
      </w:r>
    </w:p>
    <w:p w:rsidR="00730689" w:rsidRPr="005F65A5" w:rsidRDefault="0086513D" w:rsidP="005D1CE5">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En cinquième et dernier lieu :</w:t>
      </w:r>
      <w:r w:rsidR="00227963" w:rsidRPr="005F65A5">
        <w:rPr>
          <w:rFonts w:asciiTheme="minorHAnsi" w:hAnsiTheme="minorHAnsi"/>
        </w:rPr>
        <w:t xml:space="preserve"> </w:t>
      </w:r>
      <w:r w:rsidRPr="005D1CE5">
        <w:rPr>
          <w:rFonts w:asciiTheme="minorHAnsi" w:hAnsiTheme="minorHAnsi"/>
          <w:lang w:val="fr-BE"/>
        </w:rPr>
        <w:t>Il convient de veiller à la concision et au sens pratique.</w:t>
      </w:r>
      <w:r w:rsidR="00730689" w:rsidRPr="005F65A5">
        <w:rPr>
          <w:rFonts w:asciiTheme="minorHAnsi" w:hAnsiTheme="minorHAnsi"/>
        </w:rPr>
        <w:t xml:space="preserve"> </w:t>
      </w:r>
    </w:p>
    <w:p w:rsidR="008C3CC3" w:rsidRPr="005F65A5" w:rsidRDefault="008C3CC3" w:rsidP="005F65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heme="minorHAnsi" w:hAnsiTheme="minorHAnsi"/>
        </w:rPr>
      </w:pPr>
    </w:p>
    <w:p w:rsidR="008C3CC3" w:rsidRPr="005F65A5" w:rsidRDefault="0086513D"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rPr>
          <w:rFonts w:asciiTheme="minorHAnsi" w:hAnsiTheme="minorHAnsi"/>
          <w:b/>
          <w:sz w:val="28"/>
        </w:rPr>
      </w:pPr>
      <w:r w:rsidRPr="005D1CE5">
        <w:rPr>
          <w:rFonts w:asciiTheme="minorHAnsi" w:hAnsiTheme="minorHAnsi"/>
          <w:b/>
          <w:sz w:val="28"/>
          <w:lang w:val="fr-BE"/>
        </w:rPr>
        <w:t>Activités</w:t>
      </w:r>
    </w:p>
    <w:p w:rsidR="008C3CC3" w:rsidRPr="005F65A5" w:rsidRDefault="0086513D"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 xml:space="preserve">La cartographie des différents cadres </w:t>
      </w:r>
      <w:r w:rsidR="005D1CE5" w:rsidRPr="005D1CE5">
        <w:rPr>
          <w:rFonts w:asciiTheme="minorHAnsi" w:hAnsiTheme="minorHAnsi"/>
          <w:lang w:val="fr-BE"/>
        </w:rPr>
        <w:t>ECO</w:t>
      </w:r>
      <w:r w:rsidRPr="005D1CE5">
        <w:rPr>
          <w:rFonts w:asciiTheme="minorHAnsi" w:hAnsiTheme="minorHAnsi"/>
          <w:lang w:val="fr-BE"/>
        </w:rPr>
        <w:t xml:space="preserve"> employés par les partenaires syndicaux et l’évaluation de leur efficacité et des difficultés rencontrées constitueront le point de départ.</w:t>
      </w:r>
      <w:r w:rsidR="008C3CC3" w:rsidRPr="005F65A5">
        <w:rPr>
          <w:rFonts w:asciiTheme="minorHAnsi" w:hAnsiTheme="minorHAnsi"/>
        </w:rPr>
        <w:t xml:space="preserve"> </w:t>
      </w:r>
      <w:r w:rsidR="005D1CE5" w:rsidRPr="005D1CE5">
        <w:rPr>
          <w:rFonts w:asciiTheme="minorHAnsi" w:hAnsiTheme="minorHAnsi"/>
          <w:lang w:val="fr-BE"/>
        </w:rPr>
        <w:t>Celles-ci seront suivies d’u</w:t>
      </w:r>
      <w:r w:rsidRPr="005D1CE5">
        <w:rPr>
          <w:rFonts w:asciiTheme="minorHAnsi" w:hAnsiTheme="minorHAnsi"/>
          <w:lang w:val="fr-BE"/>
        </w:rPr>
        <w:t>n séminaire</w:t>
      </w:r>
      <w:r w:rsidR="005D1CE5" w:rsidRPr="005D1CE5">
        <w:rPr>
          <w:rFonts w:asciiTheme="minorHAnsi" w:hAnsiTheme="minorHAnsi"/>
          <w:lang w:val="fr-BE"/>
        </w:rPr>
        <w:t>,</w:t>
      </w:r>
      <w:r w:rsidRPr="005D1CE5">
        <w:rPr>
          <w:rFonts w:asciiTheme="minorHAnsi" w:hAnsiTheme="minorHAnsi"/>
          <w:lang w:val="fr-BE"/>
        </w:rPr>
        <w:t xml:space="preserve"> en mars</w:t>
      </w:r>
      <w:r w:rsidR="005D1CE5" w:rsidRPr="005D1CE5">
        <w:rPr>
          <w:rFonts w:asciiTheme="minorHAnsi" w:hAnsiTheme="minorHAnsi"/>
          <w:lang w:val="fr-BE"/>
        </w:rPr>
        <w:t>,</w:t>
      </w:r>
      <w:r w:rsidRPr="005D1CE5">
        <w:rPr>
          <w:rFonts w:asciiTheme="minorHAnsi" w:hAnsiTheme="minorHAnsi"/>
          <w:lang w:val="fr-BE"/>
        </w:rPr>
        <w:t xml:space="preserve"> où les débats seront présentés et donneront lieu à des discussions et où les bases seront jetées pour les activités.</w:t>
      </w:r>
      <w:r w:rsidR="00BD6024">
        <w:rPr>
          <w:rFonts w:asciiTheme="minorHAnsi" w:hAnsiTheme="minorHAnsi"/>
          <w:lang w:val="fr-BE"/>
        </w:rPr>
        <w:t xml:space="preserve"> </w:t>
      </w:r>
      <w:r w:rsidRPr="005D1CE5">
        <w:rPr>
          <w:rFonts w:asciiTheme="minorHAnsi" w:hAnsiTheme="minorHAnsi"/>
          <w:lang w:val="fr-BE"/>
        </w:rPr>
        <w:t>Les activités en ligne se poursuivront en vue de l’élaboration de critères communs, avec une réunion du Groupe de travail des partenariats prévue dans le courant du mois de juin.</w:t>
      </w:r>
      <w:r w:rsidR="00BD6024">
        <w:rPr>
          <w:rFonts w:asciiTheme="minorHAnsi" w:hAnsiTheme="minorHAnsi"/>
          <w:lang w:val="fr-BE"/>
        </w:rPr>
        <w:t xml:space="preserve"> </w:t>
      </w:r>
      <w:r w:rsidR="000C5238" w:rsidRPr="005D1CE5">
        <w:rPr>
          <w:rFonts w:asciiTheme="minorHAnsi" w:hAnsiTheme="minorHAnsi"/>
          <w:lang w:val="fr-BE"/>
        </w:rPr>
        <w:t>L’objectif plus général est de parvenir à des conclusions communes d’ici la fin de 2015, et ce en vue du lancement d’un cadre syndical commun pour l’ECO, assorti de directives politiques pour le mouvement syndical.</w:t>
      </w:r>
      <w:r w:rsidR="00BD6024">
        <w:rPr>
          <w:rFonts w:asciiTheme="minorHAnsi" w:hAnsiTheme="minorHAnsi"/>
          <w:lang w:val="fr-BE"/>
        </w:rPr>
        <w:t xml:space="preserve"> </w:t>
      </w:r>
    </w:p>
    <w:p w:rsidR="008C3CC3" w:rsidRPr="005F65A5" w:rsidRDefault="000C5238"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rPr>
      </w:pPr>
      <w:r w:rsidRPr="005D1CE5">
        <w:rPr>
          <w:rFonts w:asciiTheme="minorHAnsi" w:hAnsiTheme="minorHAnsi"/>
          <w:lang w:val="fr-BE"/>
        </w:rPr>
        <w:t xml:space="preserve">Les </w:t>
      </w:r>
      <w:r w:rsidRPr="005D1CE5">
        <w:rPr>
          <w:rFonts w:asciiTheme="minorHAnsi" w:hAnsiTheme="minorHAnsi"/>
          <w:b/>
          <w:lang w:val="fr-BE"/>
        </w:rPr>
        <w:t xml:space="preserve">différentes étapes </w:t>
      </w:r>
      <w:r w:rsidRPr="005D1CE5">
        <w:rPr>
          <w:rFonts w:asciiTheme="minorHAnsi" w:hAnsiTheme="minorHAnsi"/>
          <w:lang w:val="fr-BE"/>
        </w:rPr>
        <w:t>seront comme suit :</w:t>
      </w:r>
    </w:p>
    <w:p w:rsidR="008C3CC3" w:rsidRPr="005F65A5" w:rsidRDefault="000C5238"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 xml:space="preserve">État des lieux des cadres ECO utilisés par les syndicats et les OSS </w:t>
      </w:r>
    </w:p>
    <w:p w:rsidR="008C3CC3" w:rsidRPr="005F65A5" w:rsidRDefault="005D1CE5"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t xml:space="preserve">À ce jour, nous avons </w:t>
      </w:r>
      <w:r w:rsidR="00EB4D79">
        <w:rPr>
          <w:rFonts w:asciiTheme="minorHAnsi" w:hAnsiTheme="minorHAnsi"/>
          <w:lang w:val="fr-BE"/>
        </w:rPr>
        <w:t>identifié</w:t>
      </w:r>
      <w:r w:rsidR="000C5238" w:rsidRPr="005D1CE5">
        <w:rPr>
          <w:rFonts w:asciiTheme="minorHAnsi" w:hAnsiTheme="minorHAnsi"/>
          <w:lang w:val="fr-BE"/>
        </w:rPr>
        <w:t xml:space="preserve"> dix cadres ECO différents employés par des syndicats et des OSS.</w:t>
      </w:r>
      <w:r w:rsidR="00BD6024">
        <w:rPr>
          <w:rFonts w:asciiTheme="minorHAnsi" w:hAnsiTheme="minorHAnsi"/>
          <w:lang w:val="fr-BE"/>
        </w:rPr>
        <w:t xml:space="preserve"> </w:t>
      </w:r>
      <w:r w:rsidR="000C5238" w:rsidRPr="005D1CE5">
        <w:rPr>
          <w:rFonts w:asciiTheme="minorHAnsi" w:hAnsiTheme="minorHAnsi"/>
          <w:lang w:val="fr-BE"/>
        </w:rPr>
        <w:t xml:space="preserve">D’autres cadres sont probablement utilisés </w:t>
      </w:r>
      <w:r w:rsidR="00F13A48" w:rsidRPr="005D1CE5">
        <w:rPr>
          <w:rFonts w:asciiTheme="minorHAnsi" w:hAnsiTheme="minorHAnsi"/>
          <w:lang w:val="fr-BE"/>
        </w:rPr>
        <w:t>et nous devrons pour autant essayer d’en réunir autant que possible.</w:t>
      </w:r>
      <w:r w:rsidR="008C3CC3" w:rsidRPr="005F65A5">
        <w:rPr>
          <w:rFonts w:asciiTheme="minorHAnsi" w:hAnsiTheme="minorHAnsi"/>
        </w:rPr>
        <w:t xml:space="preserve"> </w:t>
      </w:r>
      <w:r w:rsidR="00F13A48" w:rsidRPr="005D1CE5">
        <w:rPr>
          <w:rFonts w:asciiTheme="minorHAnsi" w:hAnsiTheme="minorHAnsi"/>
          <w:lang w:val="fr-BE"/>
        </w:rPr>
        <w:t>Au cours de ce proc</w:t>
      </w:r>
      <w:r>
        <w:rPr>
          <w:rFonts w:asciiTheme="minorHAnsi" w:hAnsiTheme="minorHAnsi"/>
          <w:lang w:val="fr-BE"/>
        </w:rPr>
        <w:t>essus, il sera aussi important d’examiner</w:t>
      </w:r>
      <w:r w:rsidR="00F13A48" w:rsidRPr="005D1CE5">
        <w:rPr>
          <w:rFonts w:asciiTheme="minorHAnsi" w:hAnsiTheme="minorHAnsi"/>
          <w:lang w:val="fr-BE"/>
        </w:rPr>
        <w:t xml:space="preserve"> avec les différentes organisations quels sont les cadres les mieux adaptés et quels sont les problèmes rencontrés.</w:t>
      </w:r>
      <w:r w:rsidR="00BD6024">
        <w:rPr>
          <w:rFonts w:asciiTheme="minorHAnsi" w:hAnsiTheme="minorHAnsi"/>
          <w:lang w:val="fr-BE"/>
        </w:rPr>
        <w:t xml:space="preserve"> </w:t>
      </w:r>
      <w:r w:rsidR="00F13A48" w:rsidRPr="005D1CE5">
        <w:rPr>
          <w:rFonts w:asciiTheme="minorHAnsi" w:hAnsiTheme="minorHAnsi"/>
          <w:lang w:val="fr-BE"/>
        </w:rPr>
        <w:t>Cet exercice se déroulera au cours des mois de janvier et février.</w:t>
      </w:r>
    </w:p>
    <w:p w:rsidR="008C3CC3" w:rsidRPr="005F65A5" w:rsidRDefault="00F13A48"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 xml:space="preserve">Partage de cadres ECO utilisés par des syndicats et des OSS </w:t>
      </w:r>
    </w:p>
    <w:p w:rsidR="008C3CC3" w:rsidRPr="005F65A5" w:rsidRDefault="00F13A48"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t xml:space="preserve">Le partage et l’échange de points de vue sur les différents cadres ECO préalablement au séminaire est important pour </w:t>
      </w:r>
      <w:r w:rsidR="00EB4D79">
        <w:rPr>
          <w:rFonts w:asciiTheme="minorHAnsi" w:hAnsiTheme="minorHAnsi"/>
          <w:lang w:val="fr-BE"/>
        </w:rPr>
        <w:t>établir le contexte</w:t>
      </w:r>
      <w:r w:rsidRPr="005D1CE5">
        <w:rPr>
          <w:rFonts w:asciiTheme="minorHAnsi" w:hAnsiTheme="minorHAnsi"/>
          <w:lang w:val="fr-BE"/>
        </w:rPr>
        <w:t xml:space="preserve"> et lancer les discussions.</w:t>
      </w:r>
      <w:r w:rsidR="008C3CC3" w:rsidRPr="005F65A5">
        <w:rPr>
          <w:rFonts w:asciiTheme="minorHAnsi" w:hAnsiTheme="minorHAnsi"/>
        </w:rPr>
        <w:t xml:space="preserve"> </w:t>
      </w:r>
      <w:r w:rsidRPr="005D1CE5">
        <w:rPr>
          <w:rFonts w:asciiTheme="minorHAnsi" w:hAnsiTheme="minorHAnsi"/>
          <w:lang w:val="fr-BE"/>
        </w:rPr>
        <w:t>Cet exercice se déroulera au cours des mois de février et mars.</w:t>
      </w:r>
    </w:p>
    <w:p w:rsidR="008C3CC3" w:rsidRPr="005F65A5" w:rsidRDefault="00F13A48"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Séminaire ECO</w:t>
      </w:r>
    </w:p>
    <w:p w:rsidR="008C3CC3" w:rsidRPr="005F65A5" w:rsidRDefault="00F13A48"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t>Le séminaire ECO aura lieu les 19 et 20 mars 2015.</w:t>
      </w:r>
      <w:r w:rsidR="008C3CC3" w:rsidRPr="005F65A5">
        <w:rPr>
          <w:rFonts w:asciiTheme="minorHAnsi" w:hAnsiTheme="minorHAnsi"/>
        </w:rPr>
        <w:t xml:space="preserve"> </w:t>
      </w:r>
      <w:r w:rsidRPr="005D1CE5">
        <w:rPr>
          <w:rFonts w:asciiTheme="minorHAnsi" w:hAnsiTheme="minorHAnsi"/>
          <w:lang w:val="fr-BE"/>
        </w:rPr>
        <w:t>Au cours de ce séminaire, les différents cadres ECO seront présentés et des discussion</w:t>
      </w:r>
      <w:r w:rsidR="009573C0" w:rsidRPr="005D1CE5">
        <w:rPr>
          <w:rFonts w:asciiTheme="minorHAnsi" w:hAnsiTheme="minorHAnsi"/>
          <w:lang w:val="fr-BE"/>
        </w:rPr>
        <w:t>s</w:t>
      </w:r>
      <w:r w:rsidRPr="005D1CE5">
        <w:rPr>
          <w:rFonts w:asciiTheme="minorHAnsi" w:hAnsiTheme="minorHAnsi"/>
          <w:lang w:val="fr-BE"/>
        </w:rPr>
        <w:t xml:space="preserve"> auront lieu</w:t>
      </w:r>
      <w:r w:rsidR="009573C0" w:rsidRPr="005D1CE5">
        <w:rPr>
          <w:rFonts w:asciiTheme="minorHAnsi" w:hAnsiTheme="minorHAnsi"/>
          <w:lang w:val="fr-BE"/>
        </w:rPr>
        <w:t xml:space="preserve"> visant à fixer le(s) cadre(s) de base, à établir les principes essentiels et les thématiques les plus pertinentes qui constitueront l’armature des </w:t>
      </w:r>
      <w:r w:rsidR="005D1CE5" w:rsidRPr="005D1CE5">
        <w:rPr>
          <w:rFonts w:asciiTheme="minorHAnsi" w:hAnsiTheme="minorHAnsi"/>
          <w:lang w:val="fr-BE"/>
        </w:rPr>
        <w:t>directives</w:t>
      </w:r>
      <w:r w:rsidR="009573C0" w:rsidRPr="005D1CE5">
        <w:rPr>
          <w:rFonts w:asciiTheme="minorHAnsi" w:hAnsiTheme="minorHAnsi"/>
          <w:lang w:val="fr-BE"/>
        </w:rPr>
        <w:t>.</w:t>
      </w:r>
      <w:r w:rsidRPr="005D1CE5">
        <w:rPr>
          <w:rFonts w:asciiTheme="minorHAnsi" w:hAnsiTheme="minorHAnsi"/>
          <w:lang w:val="fr-BE"/>
        </w:rPr>
        <w:t xml:space="preserve"> </w:t>
      </w:r>
    </w:p>
    <w:p w:rsidR="008C3CC3" w:rsidRPr="005F65A5" w:rsidRDefault="009573C0"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 xml:space="preserve">Élaboration de </w:t>
      </w:r>
      <w:r w:rsidR="005D1CE5" w:rsidRPr="005D1CE5">
        <w:rPr>
          <w:rFonts w:asciiTheme="minorHAnsi" w:hAnsiTheme="minorHAnsi"/>
          <w:b/>
          <w:lang w:val="fr-BE"/>
        </w:rPr>
        <w:t>directives</w:t>
      </w:r>
      <w:r w:rsidRPr="005D1CE5">
        <w:rPr>
          <w:rFonts w:asciiTheme="minorHAnsi" w:hAnsiTheme="minorHAnsi"/>
          <w:b/>
          <w:lang w:val="fr-BE"/>
        </w:rPr>
        <w:t xml:space="preserve"> syndicales concernant l’ECO</w:t>
      </w:r>
    </w:p>
    <w:p w:rsidR="008C3CC3" w:rsidRPr="005F65A5" w:rsidRDefault="009573C0"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lastRenderedPageBreak/>
        <w:t xml:space="preserve">Sur la base des recommandations issues du séminaire ECO, des activités portant sur l’élaboration de </w:t>
      </w:r>
      <w:r w:rsidR="005D1CE5" w:rsidRPr="005D1CE5">
        <w:rPr>
          <w:rFonts w:asciiTheme="minorHAnsi" w:hAnsiTheme="minorHAnsi"/>
          <w:lang w:val="fr-BE"/>
        </w:rPr>
        <w:t>directives</w:t>
      </w:r>
      <w:r w:rsidRPr="005D1CE5">
        <w:rPr>
          <w:rFonts w:asciiTheme="minorHAnsi" w:hAnsiTheme="minorHAnsi"/>
          <w:lang w:val="fr-BE"/>
        </w:rPr>
        <w:t xml:space="preserve"> syndicales concernant l’ECO</w:t>
      </w:r>
      <w:r w:rsidR="00CA423A" w:rsidRPr="005D1CE5">
        <w:rPr>
          <w:rFonts w:asciiTheme="minorHAnsi" w:hAnsiTheme="minorHAnsi"/>
          <w:lang w:val="fr-BE"/>
        </w:rPr>
        <w:t xml:space="preserve"> </w:t>
      </w:r>
      <w:r w:rsidRPr="005D1CE5">
        <w:rPr>
          <w:rFonts w:asciiTheme="minorHAnsi" w:hAnsiTheme="minorHAnsi"/>
          <w:lang w:val="fr-BE"/>
        </w:rPr>
        <w:t xml:space="preserve">auront lieu </w:t>
      </w:r>
      <w:r w:rsidR="00CA423A" w:rsidRPr="005D1CE5">
        <w:rPr>
          <w:rFonts w:asciiTheme="minorHAnsi" w:hAnsiTheme="minorHAnsi"/>
          <w:lang w:val="fr-BE"/>
        </w:rPr>
        <w:t>d’avril à décembre.</w:t>
      </w:r>
      <w:r w:rsidR="008C3CC3" w:rsidRPr="005F65A5">
        <w:rPr>
          <w:rFonts w:asciiTheme="minorHAnsi" w:hAnsiTheme="minorHAnsi"/>
        </w:rPr>
        <w:t xml:space="preserve"> </w:t>
      </w:r>
      <w:r w:rsidR="00CA423A" w:rsidRPr="005D1CE5">
        <w:rPr>
          <w:rFonts w:asciiTheme="minorHAnsi" w:hAnsiTheme="minorHAnsi"/>
          <w:lang w:val="fr-BE"/>
        </w:rPr>
        <w:t>Ces travaux se dérouleront principalement en ligne.</w:t>
      </w:r>
    </w:p>
    <w:p w:rsidR="008C3CC3" w:rsidRPr="005F65A5" w:rsidRDefault="00CA423A"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Éva</w:t>
      </w:r>
      <w:r w:rsidR="00895045" w:rsidRPr="005D1CE5">
        <w:rPr>
          <w:rFonts w:asciiTheme="minorHAnsi" w:hAnsiTheme="minorHAnsi"/>
          <w:b/>
          <w:lang w:val="fr-BE"/>
        </w:rPr>
        <w:t>l</w:t>
      </w:r>
      <w:r w:rsidRPr="005D1CE5">
        <w:rPr>
          <w:rFonts w:asciiTheme="minorHAnsi" w:hAnsiTheme="minorHAnsi"/>
          <w:b/>
          <w:lang w:val="fr-BE"/>
        </w:rPr>
        <w:t>uation des travaux</w:t>
      </w:r>
    </w:p>
    <w:p w:rsidR="008C3CC3" w:rsidRPr="005F65A5" w:rsidRDefault="005D1CE5"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t>À</w:t>
      </w:r>
      <w:r w:rsidR="00895045" w:rsidRPr="005D1CE5">
        <w:rPr>
          <w:rFonts w:asciiTheme="minorHAnsi" w:hAnsiTheme="minorHAnsi"/>
          <w:lang w:val="fr-BE"/>
        </w:rPr>
        <w:t xml:space="preserve"> l’occasion de la réunion du groupe de travail des partenariats RSCD</w:t>
      </w:r>
      <w:r w:rsidRPr="005D1CE5">
        <w:rPr>
          <w:rFonts w:asciiTheme="minorHAnsi" w:hAnsiTheme="minorHAnsi"/>
          <w:lang w:val="fr-BE"/>
        </w:rPr>
        <w:t xml:space="preserve"> en juin</w:t>
      </w:r>
      <w:r w:rsidR="00895045" w:rsidRPr="005D1CE5">
        <w:rPr>
          <w:rFonts w:asciiTheme="minorHAnsi" w:hAnsiTheme="minorHAnsi"/>
          <w:lang w:val="fr-BE"/>
        </w:rPr>
        <w:t>, il sera procédé à une évaluation des activités réalisées et aux éventuelles rectifications requises.</w:t>
      </w:r>
      <w:r w:rsidR="008C3CC3" w:rsidRPr="005F65A5">
        <w:rPr>
          <w:rFonts w:asciiTheme="minorHAnsi" w:hAnsiTheme="minorHAnsi"/>
        </w:rPr>
        <w:t xml:space="preserve"> </w:t>
      </w:r>
      <w:r w:rsidR="00895045" w:rsidRPr="005D1CE5">
        <w:rPr>
          <w:rFonts w:asciiTheme="minorHAnsi" w:hAnsiTheme="minorHAnsi"/>
          <w:lang w:val="fr-BE"/>
        </w:rPr>
        <w:t>La Réunion ouverte de coordination</w:t>
      </w:r>
      <w:r w:rsidRPr="005D1CE5">
        <w:rPr>
          <w:rFonts w:asciiTheme="minorHAnsi" w:hAnsiTheme="minorHAnsi"/>
          <w:lang w:val="fr-BE"/>
        </w:rPr>
        <w:t xml:space="preserve"> (ROC)</w:t>
      </w:r>
      <w:r w:rsidR="00895045" w:rsidRPr="005D1CE5">
        <w:rPr>
          <w:rFonts w:asciiTheme="minorHAnsi" w:hAnsiTheme="minorHAnsi"/>
          <w:lang w:val="fr-BE"/>
        </w:rPr>
        <w:t xml:space="preserve">, en septembre, sera une autre occasion de faire le point sur les activités. </w:t>
      </w:r>
    </w:p>
    <w:p w:rsidR="008C3CC3" w:rsidRPr="005F65A5" w:rsidRDefault="005D1CE5" w:rsidP="005D1CE5">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720" w:hanging="360"/>
        <w:jc w:val="both"/>
        <w:rPr>
          <w:rFonts w:asciiTheme="minorHAnsi" w:hAnsiTheme="minorHAnsi"/>
          <w:b/>
        </w:rPr>
      </w:pPr>
      <w:r w:rsidRPr="005D1CE5">
        <w:rPr>
          <w:rFonts w:asciiTheme="minorHAnsi" w:hAnsiTheme="minorHAnsi"/>
          <w:b/>
          <w:lang w:val="fr-BE"/>
        </w:rPr>
        <w:t>Mise au point d</w:t>
      </w:r>
      <w:r w:rsidR="00895045" w:rsidRPr="005D1CE5">
        <w:rPr>
          <w:rFonts w:asciiTheme="minorHAnsi" w:hAnsiTheme="minorHAnsi"/>
          <w:b/>
          <w:lang w:val="fr-BE"/>
        </w:rPr>
        <w:t xml:space="preserve">es </w:t>
      </w:r>
      <w:r w:rsidRPr="005D1CE5">
        <w:rPr>
          <w:rFonts w:asciiTheme="minorHAnsi" w:hAnsiTheme="minorHAnsi"/>
          <w:b/>
          <w:lang w:val="fr-BE"/>
        </w:rPr>
        <w:t>directives</w:t>
      </w:r>
    </w:p>
    <w:p w:rsidR="008C3CC3" w:rsidRPr="005F65A5" w:rsidRDefault="00895045"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ind w:left="360"/>
        <w:jc w:val="both"/>
        <w:rPr>
          <w:rFonts w:asciiTheme="minorHAnsi" w:hAnsiTheme="minorHAnsi"/>
        </w:rPr>
      </w:pPr>
      <w:r w:rsidRPr="005D1CE5">
        <w:rPr>
          <w:rFonts w:asciiTheme="minorHAnsi" w:hAnsiTheme="minorHAnsi"/>
          <w:lang w:val="fr-BE"/>
        </w:rPr>
        <w:t xml:space="preserve">Les </w:t>
      </w:r>
      <w:r w:rsidR="005D1CE5" w:rsidRPr="005D1CE5">
        <w:rPr>
          <w:rFonts w:asciiTheme="minorHAnsi" w:hAnsiTheme="minorHAnsi"/>
          <w:lang w:val="fr-BE"/>
        </w:rPr>
        <w:t>directives</w:t>
      </w:r>
      <w:r w:rsidRPr="005D1CE5">
        <w:rPr>
          <w:rFonts w:asciiTheme="minorHAnsi" w:hAnsiTheme="minorHAnsi"/>
          <w:lang w:val="fr-BE"/>
        </w:rPr>
        <w:t xml:space="preserve"> seront</w:t>
      </w:r>
      <w:r w:rsidR="00C61DEA" w:rsidRPr="005D1CE5">
        <w:rPr>
          <w:rFonts w:asciiTheme="minorHAnsi" w:hAnsiTheme="minorHAnsi"/>
          <w:lang w:val="fr-BE"/>
        </w:rPr>
        <w:t xml:space="preserve"> arrêtées d’ici décembre et présentées pour approbation à l’Assemblée générale du RSCD en 2016 avant leur publication.</w:t>
      </w:r>
    </w:p>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8C3CC3" w:rsidRPr="005F65A5" w:rsidRDefault="00C61DEA"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rPr>
          <w:rFonts w:asciiTheme="minorHAnsi" w:hAnsiTheme="minorHAnsi"/>
          <w:b/>
          <w:sz w:val="28"/>
        </w:rPr>
      </w:pPr>
      <w:r w:rsidRPr="005D1CE5">
        <w:rPr>
          <w:rFonts w:asciiTheme="minorHAnsi" w:hAnsiTheme="minorHAnsi"/>
          <w:b/>
          <w:sz w:val="28"/>
          <w:lang w:val="fr-BE"/>
        </w:rPr>
        <w:t>Calendrier</w:t>
      </w:r>
    </w:p>
    <w:p w:rsidR="008C3CC3" w:rsidRPr="005F65A5" w:rsidRDefault="00C61DEA"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0" w:lineRule="auto"/>
        <w:jc w:val="both"/>
        <w:rPr>
          <w:rFonts w:asciiTheme="minorHAnsi" w:hAnsiTheme="minorHAnsi"/>
          <w:b/>
        </w:rPr>
      </w:pPr>
      <w:r w:rsidRPr="005D1CE5">
        <w:rPr>
          <w:rFonts w:asciiTheme="minorHAnsi" w:hAnsiTheme="minorHAnsi"/>
          <w:b/>
          <w:lang w:val="fr-BE"/>
        </w:rPr>
        <w:t>Le calendrier sera comme suit :</w:t>
      </w:r>
    </w:p>
    <w:tbl>
      <w:tblPr>
        <w:tblW w:w="0" w:type="auto"/>
        <w:jc w:val="center"/>
        <w:shd w:val="clear" w:color="auto" w:fill="FFFFFF"/>
        <w:tblLayout w:type="fixed"/>
        <w:tblLook w:val="0000" w:firstRow="0" w:lastRow="0" w:firstColumn="0" w:lastColumn="0" w:noHBand="0" w:noVBand="0"/>
      </w:tblPr>
      <w:tblGrid>
        <w:gridCol w:w="3303"/>
        <w:gridCol w:w="438"/>
        <w:gridCol w:w="430"/>
        <w:gridCol w:w="504"/>
        <w:gridCol w:w="453"/>
        <w:gridCol w:w="496"/>
        <w:gridCol w:w="447"/>
        <w:gridCol w:w="413"/>
        <w:gridCol w:w="485"/>
        <w:gridCol w:w="427"/>
        <w:gridCol w:w="460"/>
        <w:gridCol w:w="488"/>
        <w:gridCol w:w="452"/>
      </w:tblGrid>
      <w:tr w:rsidR="008C3CC3" w:rsidRPr="005F65A5" w:rsidTr="005D1CE5">
        <w:trPr>
          <w:cantSplit/>
          <w:trHeight w:val="297"/>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CC3" w:rsidRPr="005F65A5" w:rsidRDefault="008C3CC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5D1C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D1CE5">
              <w:rPr>
                <w:rFonts w:asciiTheme="minorHAnsi" w:hAnsiTheme="minorHAnsi"/>
                <w:sz w:val="16"/>
              </w:rPr>
              <w:t>JAN</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C6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F</w:t>
            </w:r>
            <w:r w:rsidR="00C61DEA">
              <w:rPr>
                <w:rFonts w:asciiTheme="minorHAnsi" w:hAnsiTheme="minorHAnsi"/>
                <w:sz w:val="16"/>
              </w:rPr>
              <w:t>ÉV</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heme="minorHAnsi" w:hAnsiTheme="minorHAnsi"/>
                <w:sz w:val="16"/>
              </w:rPr>
            </w:pPr>
            <w:r w:rsidRPr="005F65A5">
              <w:rPr>
                <w:rFonts w:asciiTheme="minorHAnsi" w:hAnsiTheme="minorHAnsi"/>
                <w:sz w:val="16"/>
              </w:rPr>
              <w:t>MAR</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C6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A</w:t>
            </w:r>
            <w:r w:rsidR="00C61DEA">
              <w:rPr>
                <w:rFonts w:asciiTheme="minorHAnsi" w:hAnsiTheme="minorHAnsi"/>
                <w:sz w:val="16"/>
              </w:rPr>
              <w:t>V</w:t>
            </w:r>
            <w:r w:rsidRPr="005F65A5">
              <w:rPr>
                <w:rFonts w:asciiTheme="minorHAnsi" w:hAnsiTheme="minorHAnsi"/>
                <w:sz w:val="16"/>
              </w:rPr>
              <w:t>R</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C6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heme="minorHAnsi" w:hAnsiTheme="minorHAnsi"/>
                <w:sz w:val="16"/>
              </w:rPr>
            </w:pPr>
            <w:r w:rsidRPr="005F65A5">
              <w:rPr>
                <w:rFonts w:asciiTheme="minorHAnsi" w:hAnsiTheme="minorHAnsi"/>
                <w:sz w:val="16"/>
              </w:rPr>
              <w:t>MA</w:t>
            </w:r>
            <w:r w:rsidR="00C61DEA">
              <w:rPr>
                <w:rFonts w:asciiTheme="minorHAnsi" w:hAnsiTheme="minorHAnsi"/>
                <w:sz w:val="16"/>
              </w:rPr>
              <w:t>I</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JU</w:t>
            </w:r>
            <w:r w:rsidR="00C61DEA">
              <w:rPr>
                <w:rFonts w:asciiTheme="minorHAnsi" w:hAnsiTheme="minorHAnsi"/>
                <w:sz w:val="16"/>
              </w:rPr>
              <w:t>I</w:t>
            </w:r>
            <w:r w:rsidRPr="005F65A5">
              <w:rPr>
                <w:rFonts w:asciiTheme="minorHAnsi" w:hAnsiTheme="minorHAnsi"/>
                <w:sz w:val="16"/>
              </w:rPr>
              <w:t>N</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Theme="minorHAnsi" w:hAnsiTheme="minorHAnsi"/>
                <w:sz w:val="16"/>
              </w:rPr>
            </w:pPr>
            <w:r w:rsidRPr="005F65A5">
              <w:rPr>
                <w:rFonts w:asciiTheme="minorHAnsi" w:hAnsiTheme="minorHAnsi"/>
                <w:sz w:val="16"/>
              </w:rPr>
              <w:t>JU</w:t>
            </w:r>
            <w:r w:rsidR="00C61DEA">
              <w:rPr>
                <w:rFonts w:asciiTheme="minorHAnsi" w:hAnsiTheme="minorHAnsi"/>
                <w:sz w:val="16"/>
              </w:rPr>
              <w:t>I</w:t>
            </w:r>
            <w:r w:rsidRPr="005F65A5">
              <w:rPr>
                <w:rFonts w:asciiTheme="minorHAnsi" w:hAnsiTheme="minorHAnsi"/>
                <w:sz w:val="16"/>
              </w:rPr>
              <w:t xml:space="preserve">L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C6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A</w:t>
            </w:r>
            <w:r w:rsidR="00C61DEA">
              <w:rPr>
                <w:rFonts w:asciiTheme="minorHAnsi" w:hAnsiTheme="minorHAnsi"/>
                <w:sz w:val="16"/>
              </w:rPr>
              <w:t>ÔUT</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SEP</w:t>
            </w:r>
            <w:r w:rsidR="00C61DEA">
              <w:rPr>
                <w:rFonts w:asciiTheme="minorHAnsi" w:hAnsiTheme="minorHAnsi"/>
                <w:sz w:val="16"/>
              </w:rPr>
              <w:t>T</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OCT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 xml:space="preserve">NOV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C61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D</w:t>
            </w:r>
            <w:r w:rsidR="00C61DEA">
              <w:rPr>
                <w:rFonts w:asciiTheme="minorHAnsi" w:hAnsiTheme="minorHAnsi"/>
                <w:sz w:val="16"/>
              </w:rPr>
              <w:t>É</w:t>
            </w:r>
            <w:r w:rsidRPr="005F65A5">
              <w:rPr>
                <w:rFonts w:asciiTheme="minorHAnsi" w:hAnsiTheme="minorHAnsi"/>
                <w:sz w:val="16"/>
              </w:rPr>
              <w:t>C</w:t>
            </w:r>
          </w:p>
        </w:tc>
      </w:tr>
      <w:tr w:rsidR="008C3CC3" w:rsidRPr="005F65A5" w:rsidTr="00C61DEA">
        <w:trPr>
          <w:cantSplit/>
          <w:trHeight w:val="548"/>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1. </w:t>
            </w:r>
            <w:r w:rsidR="00C61DEA" w:rsidRPr="00C61DEA">
              <w:rPr>
                <w:rFonts w:asciiTheme="minorHAnsi" w:hAnsiTheme="minorHAnsi"/>
                <w:sz w:val="16"/>
                <w:lang w:val="fr-BE"/>
              </w:rPr>
              <w:t xml:space="preserve">État des lieux des cadres ECO utilisés par des syndicats et des OSS </w:t>
            </w:r>
          </w:p>
        </w:tc>
        <w:tc>
          <w:tcPr>
            <w:tcW w:w="438"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8C3CC3" w:rsidRPr="005F65A5" w:rsidTr="00C61DEA">
        <w:trPr>
          <w:cantSplit/>
          <w:trHeight w:val="565"/>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2. </w:t>
            </w:r>
            <w:r w:rsidR="00C61DEA" w:rsidRPr="00C61DEA">
              <w:rPr>
                <w:rFonts w:asciiTheme="minorHAnsi" w:hAnsiTheme="minorHAnsi"/>
                <w:sz w:val="16"/>
                <w:lang w:val="fr-BE"/>
              </w:rPr>
              <w:t xml:space="preserve">Partage des cadres ECO utilisés par des syndicats et des OSS </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A5A5A5"/>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8C3CC3" w:rsidRPr="005F65A5" w:rsidTr="00C61DEA">
        <w:trPr>
          <w:cantSplit/>
          <w:trHeight w:val="549"/>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3. </w:t>
            </w:r>
            <w:r w:rsidR="00C61DEA" w:rsidRPr="00C61DEA">
              <w:rPr>
                <w:rFonts w:asciiTheme="minorHAnsi" w:hAnsiTheme="minorHAnsi"/>
                <w:sz w:val="16"/>
                <w:lang w:val="fr-BE"/>
              </w:rPr>
              <w:t>Séminaire ECO</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8C3CC3" w:rsidRPr="005F65A5" w:rsidTr="00C61DEA">
        <w:trPr>
          <w:cantSplit/>
          <w:trHeight w:val="543"/>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4. </w:t>
            </w:r>
            <w:r w:rsidR="00C61DEA" w:rsidRPr="00C61DEA">
              <w:rPr>
                <w:rFonts w:asciiTheme="minorHAnsi" w:hAnsiTheme="minorHAnsi"/>
                <w:sz w:val="16"/>
                <w:lang w:val="fr-BE"/>
              </w:rPr>
              <w:t xml:space="preserve">Élaboration de </w:t>
            </w:r>
            <w:r w:rsidR="005D1CE5">
              <w:rPr>
                <w:rFonts w:asciiTheme="minorHAnsi" w:hAnsiTheme="minorHAnsi"/>
                <w:sz w:val="16"/>
                <w:lang w:val="fr-BE"/>
              </w:rPr>
              <w:t>directives</w:t>
            </w:r>
            <w:r w:rsidR="00C61DEA" w:rsidRPr="00C61DEA">
              <w:rPr>
                <w:rFonts w:asciiTheme="minorHAnsi" w:hAnsiTheme="minorHAnsi"/>
                <w:sz w:val="16"/>
                <w:lang w:val="fr-BE"/>
              </w:rPr>
              <w:t xml:space="preserve"> syndicales concernant l’ECO</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8C3CC3" w:rsidRPr="005F65A5" w:rsidTr="00C61DEA">
        <w:trPr>
          <w:cantSplit/>
          <w:trHeight w:val="561"/>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5. </w:t>
            </w:r>
            <w:r w:rsidR="00C61DEA" w:rsidRPr="00C61DEA">
              <w:rPr>
                <w:rFonts w:asciiTheme="minorHAnsi" w:hAnsiTheme="minorHAnsi"/>
                <w:sz w:val="16"/>
                <w:lang w:val="fr-BE"/>
              </w:rPr>
              <w:t>Évaluation des travaux (partenariats RSCD et ROC)</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5A5A5"/>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8C3CC3" w:rsidRPr="005F65A5" w:rsidTr="00C61DEA">
        <w:trPr>
          <w:cantSplit/>
          <w:trHeight w:val="545"/>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CC3" w:rsidRPr="005F65A5" w:rsidRDefault="008C3CC3" w:rsidP="00BD60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xml:space="preserve">6. </w:t>
            </w:r>
            <w:r w:rsidR="00C61DEA" w:rsidRPr="00C61DEA">
              <w:rPr>
                <w:rFonts w:asciiTheme="minorHAnsi" w:hAnsiTheme="minorHAnsi"/>
                <w:sz w:val="16"/>
                <w:lang w:val="fr-BE"/>
              </w:rPr>
              <w:t xml:space="preserve">Parachèvement des </w:t>
            </w:r>
            <w:r w:rsidR="005D1CE5">
              <w:rPr>
                <w:rFonts w:asciiTheme="minorHAnsi" w:hAnsiTheme="minorHAnsi"/>
                <w:sz w:val="16"/>
                <w:lang w:val="fr-BE"/>
              </w:rPr>
              <w:t>directives</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bl>
    <w:p w:rsidR="008C3CC3" w:rsidRPr="005F65A5" w:rsidRDefault="008C3CC3">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rPr>
      </w:pPr>
    </w:p>
    <w:p w:rsidR="008C3CC3" w:rsidRPr="005F65A5"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p>
    <w:p w:rsidR="008C3CC3"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C3CC3" w:rsidRDefault="008C3CC3">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C3CC3" w:rsidRDefault="008C3CC3">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C3CC3"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8C3CC3" w:rsidRDefault="008C3C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en-GB"/>
        </w:rPr>
      </w:pPr>
    </w:p>
    <w:sectPr w:rsidR="008C3CC3" w:rsidSect="00684FCC">
      <w:headerReference w:type="even" r:id="rId9"/>
      <w:headerReference w:type="default" r:id="rId10"/>
      <w:footerReference w:type="even" r:id="rId11"/>
      <w:footerReference w:type="default" r:id="rId12"/>
      <w:pgSz w:w="11900" w:h="16840"/>
      <w:pgMar w:top="1977" w:right="1466" w:bottom="2516"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00" w:rsidRDefault="007B7600">
      <w:pPr>
        <w:spacing w:after="0" w:line="240" w:lineRule="auto"/>
      </w:pPr>
      <w:r>
        <w:separator/>
      </w:r>
    </w:p>
  </w:endnote>
  <w:endnote w:type="continuationSeparator" w:id="0">
    <w:p w:rsidR="007B7600" w:rsidRDefault="007B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5" w:rsidRDefault="00895045">
    <w:pPr>
      <w:pStyle w:val="Footer1"/>
      <w:tabs>
        <w:tab w:val="clear" w:pos="9026"/>
        <w:tab w:val="right" w:pos="8794"/>
      </w:tabs>
      <w:rPr>
        <w:rFonts w:ascii="Times New Roman" w:eastAsia="Times New Roman" w:hAnsi="Times New Roman"/>
        <w:color w:val="auto"/>
        <w:sz w:val="20"/>
        <w:lang w:val="en-GB"/>
      </w:rPr>
    </w:pPr>
    <w:r>
      <w:rPr>
        <w:lang w:val="es-ES_tradnl"/>
      </w:rPr>
      <w:tab/>
    </w:r>
    <w:r w:rsidR="008349DA">
      <w:rPr>
        <w:lang w:val="es-ES_tradnl"/>
      </w:rPr>
      <w:fldChar w:fldCharType="begin"/>
    </w:r>
    <w:r>
      <w:rPr>
        <w:lang w:val="es-ES_tradnl"/>
      </w:rPr>
      <w:instrText xml:space="preserve"> PAGE </w:instrText>
    </w:r>
    <w:r w:rsidR="008349DA">
      <w:rPr>
        <w:lang w:val="es-ES_tradnl"/>
      </w:rPr>
      <w:fldChar w:fldCharType="separate"/>
    </w:r>
    <w:r w:rsidR="008452C2">
      <w:rPr>
        <w:noProof/>
        <w:lang w:val="es-ES_tradnl"/>
      </w:rPr>
      <w:t>4</w:t>
    </w:r>
    <w:r w:rsidR="008349DA">
      <w:rPr>
        <w:lang w:val="es-ES_tradn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5" w:rsidRDefault="00895045">
    <w:pPr>
      <w:pStyle w:val="Footer1"/>
      <w:tabs>
        <w:tab w:val="clear" w:pos="9026"/>
        <w:tab w:val="right" w:pos="8794"/>
      </w:tabs>
      <w:rPr>
        <w:rFonts w:ascii="Times New Roman" w:eastAsia="Times New Roman" w:hAnsi="Times New Roman"/>
        <w:color w:val="auto"/>
        <w:sz w:val="20"/>
        <w:lang w:val="en-GB"/>
      </w:rPr>
    </w:pPr>
    <w:r>
      <w:rPr>
        <w:lang w:val="es-ES_tradnl"/>
      </w:rPr>
      <w:tab/>
    </w:r>
    <w:r w:rsidR="008349DA">
      <w:rPr>
        <w:lang w:val="es-ES_tradnl"/>
      </w:rPr>
      <w:fldChar w:fldCharType="begin"/>
    </w:r>
    <w:r>
      <w:rPr>
        <w:lang w:val="es-ES_tradnl"/>
      </w:rPr>
      <w:instrText xml:space="preserve"> PAGE </w:instrText>
    </w:r>
    <w:r w:rsidR="008349DA">
      <w:rPr>
        <w:lang w:val="es-ES_tradnl"/>
      </w:rPr>
      <w:fldChar w:fldCharType="separate"/>
    </w:r>
    <w:r w:rsidR="008452C2">
      <w:rPr>
        <w:noProof/>
        <w:lang w:val="es-ES_tradnl"/>
      </w:rPr>
      <w:t>3</w:t>
    </w:r>
    <w:r w:rsidR="008349DA">
      <w:rPr>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00" w:rsidRDefault="007B7600">
      <w:pPr>
        <w:spacing w:after="0" w:line="240" w:lineRule="auto"/>
      </w:pPr>
      <w:r>
        <w:separator/>
      </w:r>
    </w:p>
  </w:footnote>
  <w:footnote w:type="continuationSeparator" w:id="0">
    <w:p w:rsidR="007B7600" w:rsidRDefault="007B7600">
      <w:pPr>
        <w:spacing w:after="0" w:line="240" w:lineRule="auto"/>
      </w:pPr>
      <w:r>
        <w:continuationSeparator/>
      </w:r>
    </w:p>
  </w:footnote>
  <w:footnote w:id="1">
    <w:p w:rsidR="00895045" w:rsidRPr="00917F3D" w:rsidRDefault="00895045" w:rsidP="00897D44">
      <w:pPr>
        <w:pStyle w:val="FootnoteText1"/>
        <w:rPr>
          <w:rFonts w:asciiTheme="minorHAnsi" w:eastAsia="Times New Roman" w:hAnsiTheme="minorHAnsi"/>
          <w:color w:val="auto"/>
        </w:rPr>
      </w:pPr>
      <w:r w:rsidRPr="00917F3D">
        <w:rPr>
          <w:rStyle w:val="FootnoteReference1"/>
          <w:rFonts w:asciiTheme="minorHAnsi" w:hAnsiTheme="minorHAnsi"/>
          <w:sz w:val="20"/>
        </w:rPr>
        <w:footnoteRef/>
      </w:r>
      <w:r w:rsidRPr="00917F3D">
        <w:rPr>
          <w:rFonts w:asciiTheme="minorHAnsi" w:hAnsiTheme="minorHAnsi"/>
        </w:rPr>
        <w:t xml:space="preserve"> </w:t>
      </w:r>
      <w:r w:rsidR="00C61DEA" w:rsidRPr="00C61DEA">
        <w:rPr>
          <w:rFonts w:asciiTheme="minorHAnsi" w:hAnsiTheme="minorHAnsi"/>
          <w:lang w:val="fr-BE"/>
        </w:rPr>
        <w:t>Par exemple, concernant le renforcement des effectifs, la levée des cotisations, l’autonomie politique, etc.</w:t>
      </w:r>
      <w:r w:rsidRPr="00917F3D">
        <w:rPr>
          <w:rFonts w:asciiTheme="minorHAnsi" w:hAnsiTheme="minorHAnsi"/>
        </w:rPr>
        <w:t xml:space="preserve"> </w:t>
      </w:r>
    </w:p>
  </w:footnote>
  <w:footnote w:id="2">
    <w:p w:rsidR="00895045" w:rsidRPr="005F65A5" w:rsidRDefault="00895045" w:rsidP="00306F38">
      <w:pPr>
        <w:spacing w:after="0" w:line="240" w:lineRule="auto"/>
        <w:jc w:val="both"/>
        <w:rPr>
          <w:rFonts w:asciiTheme="minorHAnsi" w:eastAsia="Times New Roman" w:hAnsiTheme="minorHAnsi"/>
          <w:color w:val="auto"/>
          <w:sz w:val="20"/>
          <w:lang w:eastAsia="en-GB"/>
        </w:rPr>
      </w:pPr>
      <w:r w:rsidRPr="005F65A5">
        <w:rPr>
          <w:rStyle w:val="FootnoteReference1"/>
          <w:rFonts w:asciiTheme="minorHAnsi" w:hAnsiTheme="minorHAnsi"/>
          <w:sz w:val="20"/>
        </w:rPr>
        <w:footnoteRef/>
      </w:r>
      <w:r w:rsidRPr="005F65A5">
        <w:rPr>
          <w:rFonts w:asciiTheme="minorHAnsi" w:hAnsiTheme="minorHAnsi"/>
          <w:sz w:val="20"/>
        </w:rPr>
        <w:t xml:space="preserve"> </w:t>
      </w:r>
      <w:r w:rsidR="00C61DEA" w:rsidRPr="00C61DEA">
        <w:rPr>
          <w:rFonts w:asciiTheme="minorHAnsi" w:hAnsiTheme="minorHAnsi"/>
          <w:sz w:val="20"/>
          <w:lang w:val="fr-BE"/>
        </w:rPr>
        <w:t>Une cartographie de 10 cadres ECO employés par différentes OSS a été réalisée dans le cadre de l’étude « Mieux comprendre les résultats du travail sur le renforcement des syndicats ».</w:t>
      </w:r>
      <w:r w:rsidR="00BD6024">
        <w:rPr>
          <w:rFonts w:asciiTheme="minorHAnsi" w:hAnsiTheme="minorHAnsi"/>
          <w:sz w:val="20"/>
          <w:lang w:val="fr-BE"/>
        </w:rPr>
        <w:t xml:space="preserve"> </w:t>
      </w:r>
      <w:r w:rsidR="00C61DEA" w:rsidRPr="00C61DEA">
        <w:rPr>
          <w:rFonts w:asciiTheme="minorHAnsi" w:hAnsiTheme="minorHAnsi"/>
          <w:sz w:val="20"/>
          <w:lang w:val="fr-BE"/>
        </w:rPr>
        <w:t>Cet exercice permet déjà de jeter les bases pour le travail à accomplir dans le domaine de l’ECO.</w:t>
      </w:r>
      <w:r w:rsidRPr="005F65A5">
        <w:rPr>
          <w:rFonts w:asciiTheme="minorHAnsi" w:hAnsiTheme="minorHAnsi"/>
          <w:sz w:val="20"/>
        </w:rPr>
        <w:t xml:space="preserve"> </w:t>
      </w:r>
      <w:r w:rsidR="00C61DEA" w:rsidRPr="00C61DEA">
        <w:rPr>
          <w:rFonts w:asciiTheme="minorHAnsi" w:hAnsiTheme="minorHAnsi"/>
          <w:sz w:val="20"/>
          <w:lang w:val="fr-BE"/>
        </w:rPr>
        <w:t>Dans le chapitre 3 de la publication susdite, un cadre ECO commun a été élaboré à partir du « Modèle des 5 capacités », mis et contexte et adapté sur la base des 10 cadres ECO examinés (voir Annexe).</w:t>
      </w:r>
      <w:r w:rsidR="00BD6024">
        <w:rPr>
          <w:rFonts w:asciiTheme="minorHAnsi" w:hAnsiTheme="minorHAnsi"/>
          <w:sz w:val="20"/>
          <w:lang w:val="fr-BE"/>
        </w:rPr>
        <w:t xml:space="preserve"> </w:t>
      </w:r>
    </w:p>
  </w:footnote>
  <w:footnote w:id="3">
    <w:p w:rsidR="00895045" w:rsidRPr="005F65A5" w:rsidRDefault="00895045">
      <w:pPr>
        <w:pStyle w:val="FootnoteText"/>
        <w:rPr>
          <w:lang w:val="nl-BE"/>
        </w:rPr>
      </w:pPr>
      <w:r w:rsidRPr="005F65A5">
        <w:rPr>
          <w:rStyle w:val="FootnoteReference"/>
          <w:rFonts w:asciiTheme="minorHAnsi" w:hAnsiTheme="minorHAnsi"/>
        </w:rPr>
        <w:footnoteRef/>
      </w:r>
      <w:r w:rsidRPr="005F65A5">
        <w:rPr>
          <w:rFonts w:asciiTheme="minorHAnsi" w:hAnsiTheme="minorHAnsi"/>
        </w:rPr>
        <w:t xml:space="preserve"> </w:t>
      </w:r>
      <w:hyperlink r:id="rId1" w:history="1">
        <w:r w:rsidR="005D1CE5">
          <w:rPr>
            <w:rStyle w:val="Hyperlink"/>
            <w:rFonts w:asciiTheme="minorHAnsi" w:hAnsiTheme="minorHAnsi"/>
            <w:lang w:val="nl-BE"/>
          </w:rPr>
          <w:t>Principes et directives syndicaux en matière d’efficacité du développement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5" w:rsidRDefault="00895045">
    <w:pPr>
      <w:pStyle w:val="Header1"/>
      <w:tabs>
        <w:tab w:val="clear" w:pos="9026"/>
        <w:tab w:val="right" w:pos="8794"/>
      </w:tabs>
      <w:rPr>
        <w:rFonts w:ascii="Times New Roman" w:eastAsia="Times New Roman" w:hAnsi="Times New Roman"/>
        <w:color w:val="auto"/>
        <w:sz w:val="20"/>
        <w:lang w:val="en-GB"/>
      </w:rPr>
    </w:pPr>
    <w:r>
      <w:br/>
    </w:r>
    <w:r>
      <w:rPr>
        <w:noProof/>
        <w:lang w:val="fr-BE" w:eastAsia="fr-BE"/>
      </w:rPr>
      <w:drawing>
        <wp:anchor distT="0" distB="0" distL="114300" distR="114300" simplePos="0" relativeHeight="251658240" behindDoc="1" locked="0" layoutInCell="1" allowOverlap="1">
          <wp:simplePos x="0" y="0"/>
          <wp:positionH relativeFrom="page">
            <wp:posOffset>49530</wp:posOffset>
          </wp:positionH>
          <wp:positionV relativeFrom="page">
            <wp:posOffset>-171450</wp:posOffset>
          </wp:positionV>
          <wp:extent cx="7559040" cy="1069276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45" w:rsidRDefault="00895045">
    <w:pPr>
      <w:pStyle w:val="Header1"/>
      <w:tabs>
        <w:tab w:val="clear" w:pos="9026"/>
        <w:tab w:val="right" w:pos="8794"/>
      </w:tabs>
      <w:rPr>
        <w:rFonts w:ascii="Times New Roman" w:eastAsia="Times New Roman" w:hAnsi="Times New Roman"/>
        <w:color w:val="auto"/>
        <w:sz w:val="20"/>
        <w:lang w:val="en-GB"/>
      </w:rPr>
    </w:pPr>
    <w:r>
      <w:br/>
    </w:r>
    <w:r>
      <w:rPr>
        <w:noProof/>
        <w:lang w:val="fr-BE" w:eastAsia="fr-BE"/>
      </w:rPr>
      <w:drawing>
        <wp:anchor distT="0" distB="0" distL="114300" distR="114300" simplePos="0" relativeHeight="251657216" behindDoc="1" locked="0" layoutInCell="1" allowOverlap="1">
          <wp:simplePos x="0" y="0"/>
          <wp:positionH relativeFrom="page">
            <wp:posOffset>49530</wp:posOffset>
          </wp:positionH>
          <wp:positionV relativeFrom="page">
            <wp:posOffset>-171450</wp:posOffset>
          </wp:positionV>
          <wp:extent cx="7559040" cy="106927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7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76642B7F"/>
    <w:multiLevelType w:val="hybridMultilevel"/>
    <w:tmpl w:val="AEFA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DB163F"/>
    <w:multiLevelType w:val="hybridMultilevel"/>
    <w:tmpl w:val="3E70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8E"/>
    <w:rsid w:val="000C368E"/>
    <w:rsid w:val="000C5238"/>
    <w:rsid w:val="000F6845"/>
    <w:rsid w:val="00227963"/>
    <w:rsid w:val="002C5D55"/>
    <w:rsid w:val="00306F38"/>
    <w:rsid w:val="00334999"/>
    <w:rsid w:val="00535EB8"/>
    <w:rsid w:val="005A43E3"/>
    <w:rsid w:val="005B00DC"/>
    <w:rsid w:val="005D1CE5"/>
    <w:rsid w:val="005F65A5"/>
    <w:rsid w:val="00625A43"/>
    <w:rsid w:val="00684FCC"/>
    <w:rsid w:val="006D43FF"/>
    <w:rsid w:val="00730689"/>
    <w:rsid w:val="007B7600"/>
    <w:rsid w:val="008349DA"/>
    <w:rsid w:val="008452C2"/>
    <w:rsid w:val="0086513D"/>
    <w:rsid w:val="00895045"/>
    <w:rsid w:val="00897D44"/>
    <w:rsid w:val="008C3CC3"/>
    <w:rsid w:val="00917F3D"/>
    <w:rsid w:val="009413B8"/>
    <w:rsid w:val="009573C0"/>
    <w:rsid w:val="009A14DA"/>
    <w:rsid w:val="00A14C20"/>
    <w:rsid w:val="00A97047"/>
    <w:rsid w:val="00AC4DD2"/>
    <w:rsid w:val="00B900BC"/>
    <w:rsid w:val="00BA52BC"/>
    <w:rsid w:val="00BD6024"/>
    <w:rsid w:val="00C61DEA"/>
    <w:rsid w:val="00CA28E6"/>
    <w:rsid w:val="00CA4237"/>
    <w:rsid w:val="00CA423A"/>
    <w:rsid w:val="00D8588E"/>
    <w:rsid w:val="00DE0A92"/>
    <w:rsid w:val="00E55769"/>
    <w:rsid w:val="00EB4D79"/>
    <w:rsid w:val="00F13A48"/>
    <w:rsid w:val="00F42905"/>
    <w:rsid w:val="00FB5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513"/>
        <w:tab w:val="right" w:pos="9026"/>
      </w:tabs>
    </w:pPr>
    <w:rPr>
      <w:rFonts w:ascii="Lucida Grande" w:eastAsia="ヒラギノ角ゴ Pro W3" w:hAnsi="Lucida Grande"/>
      <w:color w:val="000000"/>
      <w:sz w:val="22"/>
      <w:lang w:val="pt-BR"/>
    </w:rPr>
  </w:style>
  <w:style w:type="paragraph" w:customStyle="1" w:styleId="Footer1">
    <w:name w:val="Footer1"/>
    <w:pPr>
      <w:tabs>
        <w:tab w:val="center" w:pos="4513"/>
        <w:tab w:val="right" w:pos="9026"/>
      </w:tabs>
    </w:pPr>
    <w:rPr>
      <w:rFonts w:ascii="Lucida Grande" w:eastAsia="ヒラギノ角ゴ Pro W3" w:hAnsi="Lucida Grande"/>
      <w:color w:val="000000"/>
      <w:sz w:val="22"/>
      <w:lang w:val="pt-BR"/>
    </w:rPr>
  </w:style>
  <w:style w:type="paragraph" w:customStyle="1" w:styleId="Heading11">
    <w:name w:val="Heading 11"/>
    <w:next w:val="Normal"/>
    <w:pPr>
      <w:keepNext/>
      <w:keepLines/>
      <w:spacing w:before="480" w:line="276" w:lineRule="auto"/>
      <w:outlineLvl w:val="0"/>
    </w:pPr>
    <w:rPr>
      <w:rFonts w:ascii="Lucida Grande" w:eastAsia="ヒラギノ角ゴ Pro W3" w:hAnsi="Lucida Grande"/>
      <w:b/>
      <w:color w:val="214D7E"/>
      <w:sz w:val="28"/>
    </w:rPr>
  </w:style>
  <w:style w:type="character" w:customStyle="1" w:styleId="FootnoteReference1">
    <w:name w:val="Footnote Reference1"/>
    <w:rPr>
      <w:color w:val="000000"/>
      <w:sz w:val="22"/>
      <w:vertAlign w:val="superscript"/>
    </w:rPr>
  </w:style>
  <w:style w:type="character" w:customStyle="1" w:styleId="Unknown0">
    <w:name w:val="Unknown 0"/>
    <w:semiHidden/>
  </w:style>
  <w:style w:type="paragraph" w:customStyle="1" w:styleId="FootnoteText1">
    <w:name w:val="Footnote Text1"/>
    <w:rPr>
      <w:rFonts w:ascii="Lucida Grande" w:eastAsia="ヒラギノ角ゴ Pro W3" w:hAnsi="Lucida Grande"/>
      <w:color w:val="000000"/>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Modulovuoto">
    <w:name w:val="Modulo vuoto"/>
    <w:pPr>
      <w:spacing w:after="200" w:line="276" w:lineRule="auto"/>
    </w:pPr>
    <w:rPr>
      <w:rFonts w:ascii="Lucida Grande" w:eastAsia="ヒラギノ角ゴ Pro W3" w:hAnsi="Lucida Grande"/>
      <w:color w:val="000000"/>
      <w:sz w:val="22"/>
      <w:lang w:val="pt-BR"/>
    </w:rPr>
  </w:style>
  <w:style w:type="paragraph" w:styleId="BalloonText">
    <w:name w:val="Balloon Text"/>
    <w:basedOn w:val="Normal"/>
    <w:semiHidden/>
    <w:rsid w:val="000C368E"/>
    <w:rPr>
      <w:sz w:val="18"/>
      <w:szCs w:val="18"/>
    </w:rPr>
  </w:style>
  <w:style w:type="character" w:styleId="CommentReference">
    <w:name w:val="annotation reference"/>
    <w:semiHidden/>
    <w:rsid w:val="000C368E"/>
    <w:rPr>
      <w:sz w:val="18"/>
    </w:rPr>
  </w:style>
  <w:style w:type="paragraph" w:styleId="CommentText">
    <w:name w:val="annotation text"/>
    <w:basedOn w:val="Normal"/>
    <w:semiHidden/>
    <w:rsid w:val="000C368E"/>
    <w:rPr>
      <w:sz w:val="24"/>
    </w:rPr>
  </w:style>
  <w:style w:type="paragraph" w:styleId="CommentSubject">
    <w:name w:val="annotation subject"/>
    <w:basedOn w:val="CommentText"/>
    <w:next w:val="CommentText"/>
    <w:semiHidden/>
    <w:rsid w:val="000C368E"/>
    <w:rPr>
      <w:sz w:val="22"/>
    </w:rPr>
  </w:style>
  <w:style w:type="paragraph" w:styleId="FootnoteText">
    <w:name w:val="footnote text"/>
    <w:basedOn w:val="Normal"/>
    <w:link w:val="FootnoteTextChar"/>
    <w:uiPriority w:val="99"/>
    <w:semiHidden/>
    <w:unhideWhenUsed/>
    <w:rsid w:val="00730689"/>
    <w:rPr>
      <w:sz w:val="20"/>
      <w:szCs w:val="20"/>
    </w:rPr>
  </w:style>
  <w:style w:type="character" w:customStyle="1" w:styleId="FootnoteTextChar">
    <w:name w:val="Footnote Text Char"/>
    <w:link w:val="FootnoteText"/>
    <w:uiPriority w:val="99"/>
    <w:semiHidden/>
    <w:rsid w:val="00730689"/>
    <w:rPr>
      <w:rFonts w:ascii="Lucida Grande" w:eastAsia="ヒラギノ角ゴ Pro W3" w:hAnsi="Lucida Grande"/>
      <w:color w:val="000000"/>
      <w:lang w:eastAsia="en-US"/>
    </w:rPr>
  </w:style>
  <w:style w:type="character" w:styleId="FootnoteReference">
    <w:name w:val="footnote reference"/>
    <w:uiPriority w:val="99"/>
    <w:semiHidden/>
    <w:unhideWhenUsed/>
    <w:rsid w:val="00730689"/>
    <w:rPr>
      <w:vertAlign w:val="superscript"/>
    </w:rPr>
  </w:style>
  <w:style w:type="character" w:styleId="Hyperlink">
    <w:name w:val="Hyperlink"/>
    <w:basedOn w:val="DefaultParagraphFont"/>
    <w:uiPriority w:val="99"/>
    <w:unhideWhenUsed/>
    <w:rsid w:val="00917F3D"/>
    <w:rPr>
      <w:color w:val="0000FF" w:themeColor="hyperlink"/>
      <w:u w:val="single"/>
    </w:rPr>
  </w:style>
  <w:style w:type="paragraph" w:styleId="Header">
    <w:name w:val="header"/>
    <w:basedOn w:val="Normal"/>
    <w:link w:val="HeaderChar"/>
    <w:uiPriority w:val="99"/>
    <w:unhideWhenUsed/>
    <w:rsid w:val="00DE0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92"/>
    <w:rPr>
      <w:rFonts w:ascii="Lucida Grande" w:eastAsia="ヒラギノ角ゴ Pro W3" w:hAnsi="Lucida Grande"/>
      <w:color w:val="000000"/>
      <w:sz w:val="22"/>
      <w:szCs w:val="24"/>
      <w:lang w:eastAsia="en-US"/>
    </w:rPr>
  </w:style>
  <w:style w:type="paragraph" w:styleId="Footer">
    <w:name w:val="footer"/>
    <w:basedOn w:val="Normal"/>
    <w:link w:val="FooterChar"/>
    <w:uiPriority w:val="99"/>
    <w:unhideWhenUsed/>
    <w:rsid w:val="00DE0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92"/>
    <w:rPr>
      <w:rFonts w:ascii="Lucida Grande" w:eastAsia="ヒラギノ角ゴ Pro W3" w:hAnsi="Lucida Grande"/>
      <w:color w:val="000000"/>
      <w:sz w:val="22"/>
      <w:szCs w:val="24"/>
      <w:lang w:eastAsia="en-US"/>
    </w:rPr>
  </w:style>
  <w:style w:type="character" w:styleId="FollowedHyperlink">
    <w:name w:val="FollowedHyperlink"/>
    <w:basedOn w:val="DefaultParagraphFont"/>
    <w:uiPriority w:val="99"/>
    <w:semiHidden/>
    <w:unhideWhenUsed/>
    <w:rsid w:val="005D1C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513"/>
        <w:tab w:val="right" w:pos="9026"/>
      </w:tabs>
    </w:pPr>
    <w:rPr>
      <w:rFonts w:ascii="Lucida Grande" w:eastAsia="ヒラギノ角ゴ Pro W3" w:hAnsi="Lucida Grande"/>
      <w:color w:val="000000"/>
      <w:sz w:val="22"/>
      <w:lang w:val="pt-BR"/>
    </w:rPr>
  </w:style>
  <w:style w:type="paragraph" w:customStyle="1" w:styleId="Footer1">
    <w:name w:val="Footer1"/>
    <w:pPr>
      <w:tabs>
        <w:tab w:val="center" w:pos="4513"/>
        <w:tab w:val="right" w:pos="9026"/>
      </w:tabs>
    </w:pPr>
    <w:rPr>
      <w:rFonts w:ascii="Lucida Grande" w:eastAsia="ヒラギノ角ゴ Pro W3" w:hAnsi="Lucida Grande"/>
      <w:color w:val="000000"/>
      <w:sz w:val="22"/>
      <w:lang w:val="pt-BR"/>
    </w:rPr>
  </w:style>
  <w:style w:type="paragraph" w:customStyle="1" w:styleId="Heading11">
    <w:name w:val="Heading 11"/>
    <w:next w:val="Normal"/>
    <w:pPr>
      <w:keepNext/>
      <w:keepLines/>
      <w:spacing w:before="480" w:line="276" w:lineRule="auto"/>
      <w:outlineLvl w:val="0"/>
    </w:pPr>
    <w:rPr>
      <w:rFonts w:ascii="Lucida Grande" w:eastAsia="ヒラギノ角ゴ Pro W3" w:hAnsi="Lucida Grande"/>
      <w:b/>
      <w:color w:val="214D7E"/>
      <w:sz w:val="28"/>
    </w:rPr>
  </w:style>
  <w:style w:type="character" w:customStyle="1" w:styleId="FootnoteReference1">
    <w:name w:val="Footnote Reference1"/>
    <w:rPr>
      <w:color w:val="000000"/>
      <w:sz w:val="22"/>
      <w:vertAlign w:val="superscript"/>
    </w:rPr>
  </w:style>
  <w:style w:type="character" w:customStyle="1" w:styleId="Unknown0">
    <w:name w:val="Unknown 0"/>
    <w:semiHidden/>
  </w:style>
  <w:style w:type="paragraph" w:customStyle="1" w:styleId="FootnoteText1">
    <w:name w:val="Footnote Text1"/>
    <w:rPr>
      <w:rFonts w:ascii="Lucida Grande" w:eastAsia="ヒラギノ角ゴ Pro W3" w:hAnsi="Lucida Grande"/>
      <w:color w:val="000000"/>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Modulovuoto">
    <w:name w:val="Modulo vuoto"/>
    <w:pPr>
      <w:spacing w:after="200" w:line="276" w:lineRule="auto"/>
    </w:pPr>
    <w:rPr>
      <w:rFonts w:ascii="Lucida Grande" w:eastAsia="ヒラギノ角ゴ Pro W3" w:hAnsi="Lucida Grande"/>
      <w:color w:val="000000"/>
      <w:sz w:val="22"/>
      <w:lang w:val="pt-BR"/>
    </w:rPr>
  </w:style>
  <w:style w:type="paragraph" w:styleId="BalloonText">
    <w:name w:val="Balloon Text"/>
    <w:basedOn w:val="Normal"/>
    <w:semiHidden/>
    <w:rsid w:val="000C368E"/>
    <w:rPr>
      <w:sz w:val="18"/>
      <w:szCs w:val="18"/>
    </w:rPr>
  </w:style>
  <w:style w:type="character" w:styleId="CommentReference">
    <w:name w:val="annotation reference"/>
    <w:semiHidden/>
    <w:rsid w:val="000C368E"/>
    <w:rPr>
      <w:sz w:val="18"/>
    </w:rPr>
  </w:style>
  <w:style w:type="paragraph" w:styleId="CommentText">
    <w:name w:val="annotation text"/>
    <w:basedOn w:val="Normal"/>
    <w:semiHidden/>
    <w:rsid w:val="000C368E"/>
    <w:rPr>
      <w:sz w:val="24"/>
    </w:rPr>
  </w:style>
  <w:style w:type="paragraph" w:styleId="CommentSubject">
    <w:name w:val="annotation subject"/>
    <w:basedOn w:val="CommentText"/>
    <w:next w:val="CommentText"/>
    <w:semiHidden/>
    <w:rsid w:val="000C368E"/>
    <w:rPr>
      <w:sz w:val="22"/>
    </w:rPr>
  </w:style>
  <w:style w:type="paragraph" w:styleId="FootnoteText">
    <w:name w:val="footnote text"/>
    <w:basedOn w:val="Normal"/>
    <w:link w:val="FootnoteTextChar"/>
    <w:uiPriority w:val="99"/>
    <w:semiHidden/>
    <w:unhideWhenUsed/>
    <w:rsid w:val="00730689"/>
    <w:rPr>
      <w:sz w:val="20"/>
      <w:szCs w:val="20"/>
    </w:rPr>
  </w:style>
  <w:style w:type="character" w:customStyle="1" w:styleId="FootnoteTextChar">
    <w:name w:val="Footnote Text Char"/>
    <w:link w:val="FootnoteText"/>
    <w:uiPriority w:val="99"/>
    <w:semiHidden/>
    <w:rsid w:val="00730689"/>
    <w:rPr>
      <w:rFonts w:ascii="Lucida Grande" w:eastAsia="ヒラギノ角ゴ Pro W3" w:hAnsi="Lucida Grande"/>
      <w:color w:val="000000"/>
      <w:lang w:eastAsia="en-US"/>
    </w:rPr>
  </w:style>
  <w:style w:type="character" w:styleId="FootnoteReference">
    <w:name w:val="footnote reference"/>
    <w:uiPriority w:val="99"/>
    <w:semiHidden/>
    <w:unhideWhenUsed/>
    <w:rsid w:val="00730689"/>
    <w:rPr>
      <w:vertAlign w:val="superscript"/>
    </w:rPr>
  </w:style>
  <w:style w:type="character" w:styleId="Hyperlink">
    <w:name w:val="Hyperlink"/>
    <w:basedOn w:val="DefaultParagraphFont"/>
    <w:uiPriority w:val="99"/>
    <w:unhideWhenUsed/>
    <w:rsid w:val="00917F3D"/>
    <w:rPr>
      <w:color w:val="0000FF" w:themeColor="hyperlink"/>
      <w:u w:val="single"/>
    </w:rPr>
  </w:style>
  <w:style w:type="paragraph" w:styleId="Header">
    <w:name w:val="header"/>
    <w:basedOn w:val="Normal"/>
    <w:link w:val="HeaderChar"/>
    <w:uiPriority w:val="99"/>
    <w:unhideWhenUsed/>
    <w:rsid w:val="00DE0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92"/>
    <w:rPr>
      <w:rFonts w:ascii="Lucida Grande" w:eastAsia="ヒラギノ角ゴ Pro W3" w:hAnsi="Lucida Grande"/>
      <w:color w:val="000000"/>
      <w:sz w:val="22"/>
      <w:szCs w:val="24"/>
      <w:lang w:eastAsia="en-US"/>
    </w:rPr>
  </w:style>
  <w:style w:type="paragraph" w:styleId="Footer">
    <w:name w:val="footer"/>
    <w:basedOn w:val="Normal"/>
    <w:link w:val="FooterChar"/>
    <w:uiPriority w:val="99"/>
    <w:unhideWhenUsed/>
    <w:rsid w:val="00DE0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92"/>
    <w:rPr>
      <w:rFonts w:ascii="Lucida Grande" w:eastAsia="ヒラギノ角ゴ Pro W3" w:hAnsi="Lucida Grande"/>
      <w:color w:val="000000"/>
      <w:sz w:val="22"/>
      <w:szCs w:val="24"/>
      <w:lang w:eastAsia="en-US"/>
    </w:rPr>
  </w:style>
  <w:style w:type="character" w:styleId="FollowedHyperlink">
    <w:name w:val="FollowedHyperlink"/>
    <w:basedOn w:val="DefaultParagraphFont"/>
    <w:uiPriority w:val="99"/>
    <w:semiHidden/>
    <w:unhideWhenUsed/>
    <w:rsid w:val="005D1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principes-et-directives-syndicaux?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58A7-D45D-44BE-99CB-7498C90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6512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150120 document</vt:lpstr>
      <vt:lpstr>150112 document</vt:lpstr>
    </vt:vector>
  </TitlesOfParts>
  <Company>International Trade Union Confederation</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150120 document</dc:title>
  <dc:creator>Carol</dc:creator>
  <cp:lastModifiedBy>Marion Levillain</cp:lastModifiedBy>
  <cp:revision>2</cp:revision>
  <dcterms:created xsi:type="dcterms:W3CDTF">2015-02-23T09:31:00Z</dcterms:created>
  <dcterms:modified xsi:type="dcterms:W3CDTF">2015-02-23T09:31:00Z</dcterms:modified>
</cp:coreProperties>
</file>