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508A0" w14:textId="77777777" w:rsidR="00B02BC0" w:rsidRPr="00037993" w:rsidRDefault="00B02BC0" w:rsidP="00B02BC0">
      <w:pPr>
        <w:spacing w:after="0" w:line="240" w:lineRule="auto"/>
        <w:jc w:val="both"/>
        <w:rPr>
          <w:b/>
          <w:color w:val="C00000"/>
          <w:sz w:val="32"/>
          <w:szCs w:val="32"/>
          <w:u w:val="single"/>
          <w:lang w:val="es-ES"/>
        </w:rPr>
      </w:pPr>
      <w:r w:rsidRPr="00037993">
        <w:rPr>
          <w:b/>
          <w:color w:val="C00000"/>
          <w:sz w:val="32"/>
          <w:szCs w:val="32"/>
          <w:u w:val="single"/>
          <w:lang w:val="es-ES"/>
        </w:rPr>
        <w:t>Financiación de la UE para los sindicatos: planteamiento futuro</w:t>
      </w:r>
    </w:p>
    <w:p w14:paraId="0E98DA03" w14:textId="77777777" w:rsidR="00B02BC0" w:rsidRPr="002D4DA3" w:rsidRDefault="00B02BC0" w:rsidP="00B02BC0">
      <w:pPr>
        <w:spacing w:after="0" w:line="240" w:lineRule="auto"/>
        <w:jc w:val="both"/>
        <w:rPr>
          <w:sz w:val="32"/>
          <w:szCs w:val="32"/>
          <w:lang w:val="es-ES"/>
        </w:rPr>
      </w:pPr>
      <w:bookmarkStart w:id="0" w:name="_GoBack"/>
      <w:bookmarkEnd w:id="0"/>
    </w:p>
    <w:p w14:paraId="18F0708C" w14:textId="77777777" w:rsidR="00B02BC0" w:rsidRPr="002D4DA3" w:rsidRDefault="00B02BC0" w:rsidP="00B02BC0">
      <w:pPr>
        <w:spacing w:after="0" w:line="240" w:lineRule="auto"/>
        <w:jc w:val="both"/>
        <w:rPr>
          <w:sz w:val="32"/>
          <w:szCs w:val="32"/>
          <w:lang w:val="es-ES"/>
        </w:rPr>
      </w:pPr>
    </w:p>
    <w:p w14:paraId="5B1A5AF6" w14:textId="77777777" w:rsidR="00B02BC0" w:rsidRPr="002D4DA3" w:rsidRDefault="00B02BC0" w:rsidP="00B02BC0">
      <w:pPr>
        <w:spacing w:after="0" w:line="240" w:lineRule="auto"/>
        <w:jc w:val="both"/>
        <w:rPr>
          <w:i/>
          <w:iCs/>
          <w:sz w:val="32"/>
          <w:szCs w:val="32"/>
          <w:lang w:val="es-ES"/>
        </w:rPr>
      </w:pPr>
      <w:r w:rsidRPr="00B02BC0">
        <w:rPr>
          <w:i/>
          <w:iCs/>
          <w:color w:val="1F497D"/>
          <w:sz w:val="32"/>
          <w:szCs w:val="32"/>
          <w:lang w:val="es-ES"/>
        </w:rPr>
        <w:t>Contexto</w:t>
      </w:r>
      <w:r w:rsidRPr="002D4DA3">
        <w:rPr>
          <w:i/>
          <w:iCs/>
          <w:sz w:val="32"/>
          <w:szCs w:val="32"/>
          <w:lang w:val="es-ES"/>
        </w:rPr>
        <w:t xml:space="preserve"> </w:t>
      </w:r>
    </w:p>
    <w:p w14:paraId="1D2080BC" w14:textId="77777777" w:rsidR="00B02BC0" w:rsidRPr="002D4DA3" w:rsidRDefault="00B02BC0" w:rsidP="00B02BC0">
      <w:pPr>
        <w:spacing w:after="0" w:line="240" w:lineRule="auto"/>
        <w:jc w:val="both"/>
        <w:rPr>
          <w:sz w:val="32"/>
          <w:szCs w:val="32"/>
          <w:lang w:val="es-ES"/>
        </w:rPr>
      </w:pPr>
    </w:p>
    <w:p w14:paraId="02F77F52" w14:textId="77777777" w:rsidR="00B02BC0" w:rsidRPr="002D4DA3" w:rsidRDefault="00B02BC0" w:rsidP="00B02BC0">
      <w:pPr>
        <w:spacing w:after="0" w:line="240" w:lineRule="auto"/>
        <w:jc w:val="both"/>
        <w:rPr>
          <w:color w:val="000000"/>
          <w:sz w:val="24"/>
          <w:szCs w:val="24"/>
          <w:lang w:val="es-ES"/>
        </w:rPr>
      </w:pPr>
      <w:r>
        <w:rPr>
          <w:color w:val="000000"/>
          <w:sz w:val="24"/>
          <w:szCs w:val="24"/>
          <w:lang w:val="es-ES"/>
        </w:rPr>
        <w:t>E</w:t>
      </w:r>
      <w:r w:rsidRPr="002D4DA3">
        <w:rPr>
          <w:color w:val="000000"/>
          <w:sz w:val="24"/>
          <w:szCs w:val="24"/>
          <w:lang w:val="es-ES"/>
        </w:rPr>
        <w:t>n 2014,</w:t>
      </w:r>
      <w:r>
        <w:rPr>
          <w:color w:val="000000"/>
          <w:sz w:val="24"/>
          <w:szCs w:val="24"/>
          <w:lang w:val="es-ES"/>
        </w:rPr>
        <w:t xml:space="preserve"> la Comisión Europea (CE) publicó dos convocatorias de propuestas sobre:</w:t>
      </w:r>
    </w:p>
    <w:p w14:paraId="6BDC2A27" w14:textId="77777777" w:rsidR="00B02BC0" w:rsidRPr="002D4DA3" w:rsidRDefault="00B02BC0" w:rsidP="00B02BC0">
      <w:pPr>
        <w:spacing w:after="0" w:line="240" w:lineRule="auto"/>
        <w:jc w:val="both"/>
        <w:rPr>
          <w:color w:val="000000"/>
          <w:sz w:val="24"/>
          <w:szCs w:val="24"/>
          <w:lang w:val="es-ES"/>
        </w:rPr>
      </w:pPr>
    </w:p>
    <w:p w14:paraId="784A114E" w14:textId="77777777" w:rsidR="00B02BC0" w:rsidRPr="002D4DA3" w:rsidRDefault="00B02BC0" w:rsidP="00B02BC0">
      <w:pPr>
        <w:spacing w:after="0" w:line="240" w:lineRule="auto"/>
        <w:jc w:val="both"/>
        <w:rPr>
          <w:color w:val="000000"/>
          <w:sz w:val="24"/>
          <w:szCs w:val="24"/>
          <w:lang w:val="es-ES"/>
        </w:rPr>
      </w:pPr>
      <w:r w:rsidRPr="002D4DA3">
        <w:rPr>
          <w:color w:val="000000"/>
          <w:sz w:val="24"/>
          <w:szCs w:val="24"/>
          <w:lang w:val="es-ES"/>
        </w:rPr>
        <w:t xml:space="preserve">1) </w:t>
      </w:r>
      <w:r>
        <w:rPr>
          <w:color w:val="000000"/>
          <w:sz w:val="24"/>
          <w:szCs w:val="24"/>
          <w:lang w:val="es-ES"/>
        </w:rPr>
        <w:t>Educación para el Desarrollo y Sensibilización Social en la UE</w:t>
      </w:r>
      <w:r w:rsidRPr="002D4DA3">
        <w:rPr>
          <w:color w:val="000000"/>
          <w:sz w:val="24"/>
          <w:szCs w:val="24"/>
          <w:lang w:val="es-ES"/>
        </w:rPr>
        <w:t xml:space="preserve"> (</w:t>
      </w:r>
      <w:r>
        <w:rPr>
          <w:color w:val="000000"/>
          <w:sz w:val="24"/>
          <w:szCs w:val="24"/>
          <w:lang w:val="es-ES"/>
        </w:rPr>
        <w:t xml:space="preserve">programa </w:t>
      </w:r>
      <w:r w:rsidRPr="002D4DA3">
        <w:rPr>
          <w:color w:val="000000"/>
          <w:sz w:val="24"/>
          <w:szCs w:val="24"/>
          <w:lang w:val="es-ES"/>
        </w:rPr>
        <w:t xml:space="preserve">DEAR) </w:t>
      </w:r>
    </w:p>
    <w:p w14:paraId="4C86C6E9" w14:textId="77777777" w:rsidR="00B02BC0" w:rsidRPr="002D4DA3" w:rsidRDefault="00B02BC0" w:rsidP="00B02BC0">
      <w:pPr>
        <w:spacing w:after="0" w:line="240" w:lineRule="auto"/>
        <w:jc w:val="both"/>
        <w:rPr>
          <w:color w:val="000000"/>
          <w:sz w:val="24"/>
          <w:szCs w:val="24"/>
          <w:lang w:val="es-ES"/>
        </w:rPr>
      </w:pPr>
      <w:r w:rsidRPr="002D4DA3">
        <w:rPr>
          <w:color w:val="000000"/>
          <w:sz w:val="24"/>
          <w:szCs w:val="24"/>
          <w:lang w:val="es-ES"/>
        </w:rPr>
        <w:t xml:space="preserve">2) </w:t>
      </w:r>
      <w:r>
        <w:rPr>
          <w:color w:val="000000"/>
          <w:sz w:val="24"/>
          <w:szCs w:val="24"/>
          <w:lang w:val="es-ES"/>
        </w:rPr>
        <w:t>Economía Informal en los países en desarrollo</w:t>
      </w:r>
      <w:r w:rsidRPr="002D4DA3">
        <w:rPr>
          <w:color w:val="000000"/>
          <w:sz w:val="24"/>
          <w:szCs w:val="24"/>
          <w:lang w:val="es-ES"/>
        </w:rPr>
        <w:t xml:space="preserve">. </w:t>
      </w:r>
    </w:p>
    <w:p w14:paraId="6989AFEF" w14:textId="77777777" w:rsidR="00B02BC0" w:rsidRPr="002D4DA3" w:rsidRDefault="00B02BC0" w:rsidP="00B02BC0">
      <w:pPr>
        <w:spacing w:after="0" w:line="240" w:lineRule="auto"/>
        <w:jc w:val="both"/>
        <w:rPr>
          <w:color w:val="000000"/>
          <w:sz w:val="24"/>
          <w:szCs w:val="24"/>
          <w:lang w:val="es-ES"/>
        </w:rPr>
      </w:pPr>
    </w:p>
    <w:p w14:paraId="622F551D" w14:textId="77777777" w:rsidR="00B02BC0" w:rsidRPr="002D4DA3" w:rsidRDefault="00B02BC0" w:rsidP="00B02BC0">
      <w:pPr>
        <w:spacing w:after="0" w:line="240" w:lineRule="auto"/>
        <w:jc w:val="both"/>
        <w:rPr>
          <w:color w:val="000000"/>
          <w:sz w:val="24"/>
          <w:szCs w:val="24"/>
          <w:lang w:val="es-ES"/>
        </w:rPr>
      </w:pPr>
      <w:r>
        <w:rPr>
          <w:color w:val="000000"/>
          <w:sz w:val="24"/>
          <w:szCs w:val="24"/>
          <w:lang w:val="es-ES"/>
        </w:rPr>
        <w:t>Tras la manifestación de interés</w:t>
      </w:r>
      <w:r w:rsidRPr="002D4DA3">
        <w:rPr>
          <w:color w:val="000000"/>
          <w:sz w:val="24"/>
          <w:szCs w:val="24"/>
          <w:lang w:val="es-ES"/>
        </w:rPr>
        <w:t xml:space="preserve"> </w:t>
      </w:r>
      <w:r>
        <w:rPr>
          <w:color w:val="000000"/>
          <w:sz w:val="24"/>
          <w:szCs w:val="24"/>
          <w:lang w:val="es-ES"/>
        </w:rPr>
        <w:t>de las organizaciones de la RSCD, el secretariado organizó dos seminarios</w:t>
      </w:r>
      <w:r w:rsidRPr="00EE3ABA">
        <w:rPr>
          <w:color w:val="000000"/>
          <w:sz w:val="24"/>
          <w:szCs w:val="24"/>
          <w:lang w:val="es-ES"/>
        </w:rPr>
        <w:t xml:space="preserve"> </w:t>
      </w:r>
      <w:r>
        <w:rPr>
          <w:color w:val="000000"/>
          <w:sz w:val="24"/>
          <w:szCs w:val="24"/>
          <w:lang w:val="es-ES"/>
        </w:rPr>
        <w:t>de intercambio de ideas</w:t>
      </w:r>
      <w:r w:rsidRPr="002D4DA3">
        <w:rPr>
          <w:color w:val="000000"/>
          <w:sz w:val="24"/>
          <w:szCs w:val="24"/>
          <w:vertAlign w:val="superscript"/>
          <w:lang w:val="es-ES"/>
        </w:rPr>
        <w:footnoteReference w:id="1"/>
      </w:r>
      <w:r>
        <w:rPr>
          <w:color w:val="000000"/>
          <w:sz w:val="24"/>
          <w:szCs w:val="24"/>
          <w:lang w:val="es-ES"/>
        </w:rPr>
        <w:t xml:space="preserve"> con el fin de diseñar conjuntamente una estrategia sobre la mejor manera de abordar estas oportunidades.</w:t>
      </w:r>
    </w:p>
    <w:p w14:paraId="4CE12BF3" w14:textId="77777777" w:rsidR="00B02BC0" w:rsidRPr="002D4DA3" w:rsidRDefault="00B02BC0" w:rsidP="00B02BC0">
      <w:pPr>
        <w:spacing w:after="0" w:line="240" w:lineRule="auto"/>
        <w:jc w:val="both"/>
        <w:rPr>
          <w:color w:val="000000"/>
          <w:sz w:val="24"/>
          <w:szCs w:val="24"/>
          <w:lang w:val="es-ES"/>
        </w:rPr>
      </w:pPr>
      <w:r>
        <w:rPr>
          <w:color w:val="000000"/>
          <w:sz w:val="24"/>
          <w:szCs w:val="24"/>
          <w:lang w:val="es-ES"/>
        </w:rPr>
        <w:t>Los resultados de los seminarios se concretizaron en dos propuestas de proyecto (Notas conceptuales)</w:t>
      </w:r>
      <w:r w:rsidRPr="002D4DA3">
        <w:rPr>
          <w:color w:val="000000"/>
          <w:sz w:val="24"/>
          <w:szCs w:val="24"/>
          <w:lang w:val="es-ES"/>
        </w:rPr>
        <w:t xml:space="preserve"> </w:t>
      </w:r>
      <w:r>
        <w:rPr>
          <w:color w:val="000000"/>
          <w:sz w:val="24"/>
          <w:szCs w:val="24"/>
          <w:lang w:val="es-ES"/>
        </w:rPr>
        <w:t>que fueron finalmente presentadas a la UE</w:t>
      </w:r>
      <w:r w:rsidRPr="002D4DA3">
        <w:rPr>
          <w:color w:val="000000"/>
          <w:sz w:val="24"/>
          <w:szCs w:val="24"/>
          <w:lang w:val="es-ES"/>
        </w:rPr>
        <w:t xml:space="preserve">. </w:t>
      </w:r>
    </w:p>
    <w:p w14:paraId="755FF120" w14:textId="77777777" w:rsidR="00B02BC0" w:rsidRPr="002D4DA3" w:rsidRDefault="00B02BC0" w:rsidP="00B02BC0">
      <w:pPr>
        <w:spacing w:after="0" w:line="240" w:lineRule="auto"/>
        <w:jc w:val="both"/>
        <w:rPr>
          <w:color w:val="000000"/>
          <w:lang w:val="es-ES"/>
        </w:rPr>
      </w:pPr>
    </w:p>
    <w:p w14:paraId="7CB24F62" w14:textId="77777777" w:rsidR="00B02BC0" w:rsidRPr="00B02BC0" w:rsidRDefault="00B02BC0" w:rsidP="00B02BC0">
      <w:pPr>
        <w:spacing w:after="0" w:line="240" w:lineRule="auto"/>
        <w:jc w:val="both"/>
        <w:rPr>
          <w:i/>
          <w:iCs/>
          <w:color w:val="1F497D"/>
          <w:sz w:val="32"/>
          <w:szCs w:val="32"/>
          <w:lang w:val="es-ES"/>
        </w:rPr>
      </w:pPr>
      <w:r w:rsidRPr="00B02BC0">
        <w:rPr>
          <w:i/>
          <w:iCs/>
          <w:color w:val="1F497D"/>
          <w:sz w:val="32"/>
          <w:szCs w:val="32"/>
          <w:lang w:val="es-ES"/>
        </w:rPr>
        <w:t>Situación actual</w:t>
      </w:r>
    </w:p>
    <w:p w14:paraId="5F9C5F0E" w14:textId="77777777" w:rsidR="00B02BC0" w:rsidRPr="002D4DA3" w:rsidRDefault="00B02BC0" w:rsidP="00B02BC0">
      <w:pPr>
        <w:spacing w:after="0" w:line="240" w:lineRule="auto"/>
        <w:jc w:val="both"/>
        <w:rPr>
          <w:sz w:val="32"/>
          <w:szCs w:val="32"/>
          <w:lang w:val="es-ES"/>
        </w:rPr>
      </w:pPr>
    </w:p>
    <w:p w14:paraId="0CF7910D" w14:textId="77777777" w:rsidR="00B02BC0" w:rsidRPr="002D4DA3" w:rsidRDefault="00B02BC0" w:rsidP="00B02BC0">
      <w:pPr>
        <w:spacing w:after="0"/>
        <w:jc w:val="both"/>
        <w:rPr>
          <w:color w:val="000000"/>
          <w:lang w:val="es-ES"/>
        </w:rPr>
      </w:pPr>
      <w:r>
        <w:rPr>
          <w:color w:val="000000"/>
          <w:lang w:val="es-ES"/>
        </w:rPr>
        <w:t>Aunque ambas propuestas han sido rechazadas por la CE, las tablas de evaluación muestran claramente diferentes</w:t>
      </w:r>
      <w:r w:rsidRPr="002D4DA3">
        <w:rPr>
          <w:color w:val="000000"/>
          <w:lang w:val="es-ES"/>
        </w:rPr>
        <w:t xml:space="preserve"> </w:t>
      </w:r>
      <w:r>
        <w:rPr>
          <w:color w:val="000000"/>
          <w:lang w:val="es-ES"/>
        </w:rPr>
        <w:t>impresiones basadas en los contenidos así como en el papel de los sindicatos en los ámbitos relacionados con las convocatorias de propuestas.</w:t>
      </w:r>
    </w:p>
    <w:p w14:paraId="108467F5" w14:textId="77777777" w:rsidR="00B02BC0" w:rsidRPr="002D4DA3" w:rsidRDefault="00B02BC0" w:rsidP="00B02BC0">
      <w:pPr>
        <w:spacing w:after="0"/>
        <w:jc w:val="both"/>
        <w:rPr>
          <w:color w:val="000000"/>
          <w:lang w:val="es-ES"/>
        </w:rPr>
      </w:pPr>
    </w:p>
    <w:p w14:paraId="4294D960" w14:textId="77777777" w:rsidR="00B02BC0" w:rsidRPr="002D4DA3" w:rsidRDefault="00B02BC0" w:rsidP="00B02BC0">
      <w:pPr>
        <w:spacing w:after="0"/>
        <w:jc w:val="both"/>
        <w:rPr>
          <w:u w:val="single"/>
          <w:lang w:val="es-ES"/>
        </w:rPr>
      </w:pPr>
      <w:r>
        <w:rPr>
          <w:color w:val="000000"/>
          <w:u w:val="single"/>
          <w:lang w:val="es-ES"/>
        </w:rPr>
        <w:t>Resultados de D</w:t>
      </w:r>
      <w:r w:rsidRPr="002D4DA3">
        <w:rPr>
          <w:color w:val="000000"/>
          <w:u w:val="single"/>
          <w:lang w:val="es-ES"/>
        </w:rPr>
        <w:t>EAR:</w:t>
      </w:r>
      <w:r w:rsidRPr="002D4DA3">
        <w:rPr>
          <w:u w:val="single"/>
          <w:lang w:val="es-ES"/>
        </w:rPr>
        <w:t xml:space="preserve"> </w:t>
      </w:r>
    </w:p>
    <w:p w14:paraId="63641AA1" w14:textId="77777777" w:rsidR="00B02BC0" w:rsidRPr="002D4DA3" w:rsidRDefault="00B02BC0" w:rsidP="00B02BC0">
      <w:pPr>
        <w:spacing w:after="0"/>
        <w:jc w:val="both"/>
        <w:rPr>
          <w:lang w:val="es-ES"/>
        </w:rPr>
      </w:pPr>
    </w:p>
    <w:p w14:paraId="125E7BC4" w14:textId="77777777" w:rsidR="00B02BC0" w:rsidRPr="002D4DA3" w:rsidRDefault="00B02BC0" w:rsidP="00B02BC0">
      <w:pPr>
        <w:spacing w:after="0"/>
        <w:jc w:val="both"/>
        <w:rPr>
          <w:color w:val="000000"/>
          <w:lang w:val="es-ES"/>
        </w:rPr>
      </w:pPr>
      <w:r>
        <w:rPr>
          <w:color w:val="000000"/>
          <w:lang w:val="es-ES"/>
        </w:rPr>
        <w:t>La Nota conceptual recibió una puntuación inferior a las que fueron seleccionadas para pasar a la siguiente fase del proceso, lo cual quiere decir que técnicamente era adecuada pero que hubo otras mejores</w:t>
      </w:r>
      <w:r w:rsidRPr="002D4DA3">
        <w:rPr>
          <w:color w:val="000000"/>
          <w:lang w:val="es-ES"/>
        </w:rPr>
        <w:t xml:space="preserve">. </w:t>
      </w:r>
    </w:p>
    <w:p w14:paraId="4DBEC98C" w14:textId="77777777" w:rsidR="00B02BC0" w:rsidRPr="002D4DA3" w:rsidRDefault="00B02BC0" w:rsidP="00B02BC0">
      <w:pPr>
        <w:spacing w:after="0"/>
        <w:jc w:val="both"/>
        <w:rPr>
          <w:color w:val="000000"/>
          <w:lang w:val="es-ES"/>
        </w:rPr>
      </w:pPr>
    </w:p>
    <w:p w14:paraId="2B46D44E" w14:textId="77777777" w:rsidR="00B02BC0" w:rsidRPr="002D4DA3" w:rsidRDefault="00B02BC0" w:rsidP="00B02BC0">
      <w:pPr>
        <w:spacing w:after="0"/>
        <w:jc w:val="both"/>
        <w:rPr>
          <w:color w:val="000000"/>
          <w:lang w:val="es-ES"/>
        </w:rPr>
      </w:pPr>
      <w:r>
        <w:rPr>
          <w:color w:val="000000"/>
          <w:lang w:val="es-ES"/>
        </w:rPr>
        <w:t>Puntos positivos: relevancia global; coherencia de la acción; análisis de problemas.</w:t>
      </w:r>
    </w:p>
    <w:p w14:paraId="574B8302" w14:textId="77777777" w:rsidR="00B02BC0" w:rsidRPr="002D4DA3" w:rsidRDefault="00B02BC0" w:rsidP="00B02BC0">
      <w:pPr>
        <w:spacing w:after="0"/>
        <w:jc w:val="both"/>
        <w:rPr>
          <w:color w:val="000000"/>
          <w:lang w:val="es-ES"/>
        </w:rPr>
      </w:pPr>
    </w:p>
    <w:p w14:paraId="06EDD94B" w14:textId="77777777" w:rsidR="00B02BC0" w:rsidRPr="002D4DA3" w:rsidRDefault="00B02BC0" w:rsidP="00B02BC0">
      <w:pPr>
        <w:spacing w:after="0"/>
        <w:jc w:val="both"/>
        <w:rPr>
          <w:color w:val="000000"/>
          <w:lang w:val="es-ES"/>
        </w:rPr>
      </w:pPr>
      <w:r>
        <w:rPr>
          <w:color w:val="000000"/>
          <w:lang w:val="es-ES"/>
        </w:rPr>
        <w:t>Puntos más débiles:</w:t>
      </w:r>
    </w:p>
    <w:p w14:paraId="6DB5C57F" w14:textId="77777777" w:rsidR="00B02BC0" w:rsidRPr="002D4DA3" w:rsidRDefault="00B02BC0" w:rsidP="00B02BC0">
      <w:pPr>
        <w:spacing w:after="0"/>
        <w:jc w:val="both"/>
        <w:rPr>
          <w:color w:val="000000"/>
          <w:lang w:val="es-ES"/>
        </w:rPr>
      </w:pPr>
      <w:r w:rsidRPr="002D4DA3">
        <w:rPr>
          <w:color w:val="000000"/>
          <w:lang w:val="es-ES"/>
        </w:rPr>
        <w:t>-</w:t>
      </w:r>
      <w:r w:rsidRPr="002D4DA3">
        <w:rPr>
          <w:color w:val="000000"/>
          <w:lang w:val="es-ES"/>
        </w:rPr>
        <w:tab/>
      </w:r>
      <w:r>
        <w:rPr>
          <w:color w:val="000000"/>
          <w:lang w:val="es-ES"/>
        </w:rPr>
        <w:t>Relevancia con respecto a las necesidades y limitaciones particulares de los países seleccionados</w:t>
      </w:r>
      <w:r w:rsidRPr="002D4DA3">
        <w:rPr>
          <w:color w:val="000000"/>
          <w:lang w:val="es-ES"/>
        </w:rPr>
        <w:t>: 2</w:t>
      </w:r>
      <w:r>
        <w:rPr>
          <w:color w:val="000000"/>
          <w:lang w:val="es-ES"/>
        </w:rPr>
        <w:t>,</w:t>
      </w:r>
      <w:r w:rsidRPr="002D4DA3">
        <w:rPr>
          <w:color w:val="000000"/>
          <w:lang w:val="es-ES"/>
        </w:rPr>
        <w:t>5/5</w:t>
      </w:r>
    </w:p>
    <w:p w14:paraId="71667C44" w14:textId="77777777" w:rsidR="00B02BC0" w:rsidRPr="002D4DA3" w:rsidRDefault="00B02BC0" w:rsidP="00B02BC0">
      <w:pPr>
        <w:spacing w:after="0"/>
        <w:jc w:val="both"/>
        <w:rPr>
          <w:color w:val="000000"/>
          <w:lang w:val="es-ES"/>
        </w:rPr>
      </w:pPr>
      <w:r w:rsidRPr="002D4DA3">
        <w:rPr>
          <w:color w:val="000000"/>
          <w:lang w:val="es-ES"/>
        </w:rPr>
        <w:t>-</w:t>
      </w:r>
      <w:r w:rsidRPr="002D4DA3">
        <w:rPr>
          <w:color w:val="000000"/>
          <w:lang w:val="es-ES"/>
        </w:rPr>
        <w:tab/>
      </w:r>
      <w:r>
        <w:rPr>
          <w:color w:val="000000"/>
          <w:lang w:val="es-ES"/>
        </w:rPr>
        <w:t>Definición y elección de beneficiarios finales y grupos seleccionados:</w:t>
      </w:r>
      <w:r w:rsidRPr="002D4DA3">
        <w:rPr>
          <w:color w:val="000000"/>
          <w:lang w:val="es-ES"/>
        </w:rPr>
        <w:t xml:space="preserve"> 3/5</w:t>
      </w:r>
    </w:p>
    <w:p w14:paraId="03BA2289" w14:textId="77777777" w:rsidR="00B02BC0" w:rsidRPr="002D4DA3" w:rsidRDefault="00B02BC0" w:rsidP="00B02BC0">
      <w:pPr>
        <w:spacing w:after="0"/>
        <w:jc w:val="both"/>
        <w:rPr>
          <w:color w:val="000000"/>
          <w:lang w:val="es-ES"/>
        </w:rPr>
      </w:pPr>
      <w:r w:rsidRPr="002D4DA3">
        <w:rPr>
          <w:color w:val="000000"/>
          <w:lang w:val="es-ES"/>
        </w:rPr>
        <w:t>-</w:t>
      </w:r>
      <w:r w:rsidRPr="002D4DA3">
        <w:rPr>
          <w:color w:val="000000"/>
          <w:lang w:val="es-ES"/>
        </w:rPr>
        <w:tab/>
      </w:r>
      <w:r>
        <w:rPr>
          <w:color w:val="000000"/>
          <w:lang w:val="es-ES"/>
        </w:rPr>
        <w:t>Viabilidad de la acción en relación con los objetivos y resultados esperados</w:t>
      </w:r>
      <w:r w:rsidRPr="002D4DA3">
        <w:rPr>
          <w:color w:val="000000"/>
          <w:lang w:val="es-ES"/>
        </w:rPr>
        <w:t>: 3/5</w:t>
      </w:r>
    </w:p>
    <w:p w14:paraId="16CB8F8E" w14:textId="77777777" w:rsidR="00B02BC0" w:rsidRPr="002D4DA3" w:rsidRDefault="00B02BC0" w:rsidP="00B02BC0">
      <w:pPr>
        <w:spacing w:after="0"/>
        <w:jc w:val="both"/>
        <w:rPr>
          <w:color w:val="000000"/>
          <w:lang w:val="es-ES"/>
        </w:rPr>
      </w:pPr>
    </w:p>
    <w:p w14:paraId="1A4EED64" w14:textId="77777777" w:rsidR="00B02BC0" w:rsidRPr="002D4DA3" w:rsidRDefault="00B02BC0" w:rsidP="00B02BC0">
      <w:pPr>
        <w:spacing w:after="0"/>
        <w:jc w:val="both"/>
        <w:rPr>
          <w:color w:val="000000"/>
          <w:u w:val="single"/>
          <w:lang w:val="es-ES"/>
        </w:rPr>
      </w:pPr>
      <w:r>
        <w:rPr>
          <w:color w:val="000000"/>
          <w:u w:val="single"/>
          <w:lang w:val="es-ES"/>
        </w:rPr>
        <w:lastRenderedPageBreak/>
        <w:t>Resultados de Economía I</w:t>
      </w:r>
      <w:r w:rsidRPr="002D4DA3">
        <w:rPr>
          <w:color w:val="000000"/>
          <w:u w:val="single"/>
          <w:lang w:val="es-ES"/>
        </w:rPr>
        <w:t>nformal:</w:t>
      </w:r>
    </w:p>
    <w:p w14:paraId="60F5CEA6" w14:textId="77777777" w:rsidR="00B02BC0" w:rsidRPr="002D4DA3" w:rsidRDefault="00B02BC0" w:rsidP="00B02BC0">
      <w:pPr>
        <w:spacing w:after="0"/>
        <w:jc w:val="both"/>
        <w:rPr>
          <w:color w:val="000000"/>
          <w:lang w:val="es-ES"/>
        </w:rPr>
      </w:pPr>
    </w:p>
    <w:p w14:paraId="51058E6B" w14:textId="77777777" w:rsidR="00B02BC0" w:rsidRPr="002D4DA3" w:rsidRDefault="00B02BC0" w:rsidP="00B02BC0">
      <w:pPr>
        <w:pStyle w:val="ListParagraph"/>
        <w:numPr>
          <w:ilvl w:val="0"/>
          <w:numId w:val="2"/>
        </w:numPr>
        <w:tabs>
          <w:tab w:val="left" w:pos="709"/>
        </w:tabs>
        <w:spacing w:after="0"/>
        <w:ind w:left="0" w:firstLine="0"/>
        <w:contextualSpacing w:val="0"/>
        <w:jc w:val="both"/>
        <w:rPr>
          <w:color w:val="000000"/>
          <w:lang w:val="es-ES"/>
        </w:rPr>
      </w:pPr>
      <w:r>
        <w:rPr>
          <w:color w:val="000000"/>
          <w:lang w:val="es-ES"/>
        </w:rPr>
        <w:t>Relevancia de la acción</w:t>
      </w:r>
      <w:r w:rsidRPr="002D4DA3">
        <w:rPr>
          <w:color w:val="000000"/>
          <w:lang w:val="es-ES"/>
        </w:rPr>
        <w:t>: 6/10</w:t>
      </w:r>
    </w:p>
    <w:p w14:paraId="5D359016" w14:textId="77777777" w:rsidR="00B02BC0" w:rsidRPr="002D4DA3" w:rsidRDefault="00B02BC0" w:rsidP="00B02BC0">
      <w:pPr>
        <w:pStyle w:val="ListParagraph"/>
        <w:numPr>
          <w:ilvl w:val="0"/>
          <w:numId w:val="2"/>
        </w:numPr>
        <w:tabs>
          <w:tab w:val="left" w:pos="709"/>
        </w:tabs>
        <w:spacing w:after="0"/>
        <w:ind w:left="0" w:firstLine="0"/>
        <w:contextualSpacing w:val="0"/>
        <w:jc w:val="both"/>
        <w:rPr>
          <w:color w:val="000000"/>
          <w:lang w:val="es-ES"/>
        </w:rPr>
      </w:pPr>
      <w:r>
        <w:rPr>
          <w:color w:val="000000"/>
          <w:lang w:val="es-ES"/>
        </w:rPr>
        <w:t>Relevancia respecto a las necesidades y limitaciones particulares de los países seleccionados: 3</w:t>
      </w:r>
      <w:r w:rsidRPr="002D4DA3">
        <w:rPr>
          <w:color w:val="000000"/>
          <w:lang w:val="es-ES"/>
        </w:rPr>
        <w:t>/10</w:t>
      </w:r>
    </w:p>
    <w:p w14:paraId="6AE58770" w14:textId="77777777" w:rsidR="00B02BC0" w:rsidRPr="002D4DA3" w:rsidRDefault="00B02BC0" w:rsidP="00B02BC0">
      <w:pPr>
        <w:pStyle w:val="ListParagraph"/>
        <w:numPr>
          <w:ilvl w:val="0"/>
          <w:numId w:val="2"/>
        </w:numPr>
        <w:tabs>
          <w:tab w:val="left" w:pos="0"/>
        </w:tabs>
        <w:spacing w:after="0"/>
        <w:ind w:left="0" w:firstLine="0"/>
        <w:contextualSpacing w:val="0"/>
        <w:jc w:val="both"/>
        <w:rPr>
          <w:color w:val="000000"/>
          <w:lang w:val="es-ES"/>
        </w:rPr>
      </w:pPr>
      <w:r>
        <w:rPr>
          <w:color w:val="000000"/>
          <w:lang w:val="es-ES"/>
        </w:rPr>
        <w:t>Definición de grupos seleccionados y beneficiarios, y relevancia de las propuestas con respecto a sus necesidades</w:t>
      </w:r>
      <w:r w:rsidRPr="002D4DA3">
        <w:rPr>
          <w:color w:val="000000"/>
          <w:lang w:val="es-ES"/>
        </w:rPr>
        <w:t>: 1</w:t>
      </w:r>
      <w:r>
        <w:rPr>
          <w:color w:val="000000"/>
          <w:lang w:val="es-ES"/>
        </w:rPr>
        <w:t>,</w:t>
      </w:r>
      <w:r w:rsidRPr="002D4DA3">
        <w:rPr>
          <w:color w:val="000000"/>
          <w:lang w:val="es-ES"/>
        </w:rPr>
        <w:t>5/5</w:t>
      </w:r>
    </w:p>
    <w:p w14:paraId="0289BFAA" w14:textId="77777777" w:rsidR="00B02BC0" w:rsidRPr="002D4DA3" w:rsidRDefault="00B02BC0" w:rsidP="00B02BC0">
      <w:pPr>
        <w:pStyle w:val="ListParagraph"/>
        <w:numPr>
          <w:ilvl w:val="0"/>
          <w:numId w:val="2"/>
        </w:numPr>
        <w:tabs>
          <w:tab w:val="left" w:pos="709"/>
        </w:tabs>
        <w:spacing w:after="0"/>
        <w:ind w:left="0" w:firstLine="0"/>
        <w:contextualSpacing w:val="0"/>
        <w:jc w:val="both"/>
        <w:rPr>
          <w:color w:val="000000"/>
          <w:lang w:val="es-ES"/>
        </w:rPr>
      </w:pPr>
      <w:r>
        <w:rPr>
          <w:color w:val="000000"/>
          <w:lang w:val="es-ES"/>
        </w:rPr>
        <w:t>Elementos específicos de valor añadido (medio ambiente, género, discapacidades, minorías</w:t>
      </w:r>
      <w:r w:rsidRPr="002D4DA3">
        <w:rPr>
          <w:color w:val="000000"/>
          <w:lang w:val="es-ES"/>
        </w:rPr>
        <w:t>): 2/5</w:t>
      </w:r>
    </w:p>
    <w:p w14:paraId="798A867D" w14:textId="77777777" w:rsidR="00B02BC0" w:rsidRPr="002D4DA3" w:rsidRDefault="00B02BC0" w:rsidP="00B02BC0">
      <w:pPr>
        <w:pStyle w:val="ListParagraph"/>
        <w:numPr>
          <w:ilvl w:val="0"/>
          <w:numId w:val="2"/>
        </w:numPr>
        <w:tabs>
          <w:tab w:val="left" w:pos="709"/>
        </w:tabs>
        <w:spacing w:after="0"/>
        <w:ind w:left="0" w:firstLine="0"/>
        <w:contextualSpacing w:val="0"/>
        <w:jc w:val="both"/>
        <w:rPr>
          <w:color w:val="000000"/>
          <w:lang w:val="es-ES"/>
        </w:rPr>
      </w:pPr>
      <w:r>
        <w:rPr>
          <w:color w:val="000000"/>
          <w:lang w:val="es-ES"/>
        </w:rPr>
        <w:t>Coherencia de la acción y análisis de problemas</w:t>
      </w:r>
      <w:r w:rsidRPr="002D4DA3">
        <w:rPr>
          <w:color w:val="000000"/>
          <w:lang w:val="es-ES"/>
        </w:rPr>
        <w:t>: 4/10</w:t>
      </w:r>
    </w:p>
    <w:p w14:paraId="52567048" w14:textId="77777777" w:rsidR="00B02BC0" w:rsidRPr="002D4DA3" w:rsidRDefault="00B02BC0" w:rsidP="00B02BC0">
      <w:pPr>
        <w:pStyle w:val="ListParagraph"/>
        <w:numPr>
          <w:ilvl w:val="0"/>
          <w:numId w:val="2"/>
        </w:numPr>
        <w:tabs>
          <w:tab w:val="left" w:pos="709"/>
        </w:tabs>
        <w:spacing w:after="0"/>
        <w:ind w:left="0" w:firstLine="0"/>
        <w:contextualSpacing w:val="0"/>
        <w:jc w:val="both"/>
        <w:rPr>
          <w:color w:val="000000"/>
          <w:lang w:val="es-ES"/>
        </w:rPr>
      </w:pPr>
      <w:r>
        <w:rPr>
          <w:color w:val="000000"/>
          <w:lang w:val="es-ES"/>
        </w:rPr>
        <w:t>Viabilidad de la acción y consistencia con los objetivos/resultados</w:t>
      </w:r>
      <w:r w:rsidRPr="002D4DA3">
        <w:rPr>
          <w:color w:val="000000"/>
          <w:lang w:val="es-ES"/>
        </w:rPr>
        <w:t>: 4/10</w:t>
      </w:r>
    </w:p>
    <w:p w14:paraId="591E6946" w14:textId="77777777" w:rsidR="00B02BC0" w:rsidRDefault="00B02BC0" w:rsidP="00B02BC0">
      <w:pPr>
        <w:spacing w:after="0" w:line="240" w:lineRule="auto"/>
        <w:jc w:val="both"/>
        <w:rPr>
          <w:i/>
          <w:iCs/>
          <w:sz w:val="32"/>
          <w:szCs w:val="32"/>
          <w:lang w:val="es-ES"/>
        </w:rPr>
      </w:pPr>
    </w:p>
    <w:p w14:paraId="7EB98A94" w14:textId="77777777" w:rsidR="00B02BC0" w:rsidRPr="00B02BC0" w:rsidRDefault="00B02BC0" w:rsidP="00B02BC0">
      <w:pPr>
        <w:spacing w:after="0" w:line="240" w:lineRule="auto"/>
        <w:jc w:val="both"/>
        <w:rPr>
          <w:i/>
          <w:iCs/>
          <w:color w:val="1F497D"/>
          <w:sz w:val="32"/>
          <w:szCs w:val="32"/>
          <w:lang w:val="es-ES"/>
        </w:rPr>
      </w:pPr>
      <w:r w:rsidRPr="00B02BC0">
        <w:rPr>
          <w:i/>
          <w:iCs/>
          <w:color w:val="1F497D"/>
          <w:sz w:val="32"/>
          <w:szCs w:val="32"/>
          <w:lang w:val="es-ES"/>
        </w:rPr>
        <w:t xml:space="preserve">Oportunidades y desafíos futuros </w:t>
      </w:r>
    </w:p>
    <w:p w14:paraId="2F063C0A" w14:textId="77777777" w:rsidR="00B02BC0" w:rsidRPr="002D4DA3" w:rsidRDefault="00B02BC0" w:rsidP="00B02BC0">
      <w:pPr>
        <w:spacing w:after="0" w:line="240" w:lineRule="auto"/>
        <w:jc w:val="both"/>
        <w:rPr>
          <w:sz w:val="32"/>
          <w:szCs w:val="32"/>
          <w:lang w:val="es-ES"/>
        </w:rPr>
      </w:pPr>
    </w:p>
    <w:p w14:paraId="1D3A113E" w14:textId="77777777" w:rsidR="00B02BC0" w:rsidRPr="002D4DA3" w:rsidRDefault="00B02BC0" w:rsidP="00B02BC0">
      <w:pPr>
        <w:spacing w:after="0" w:line="240" w:lineRule="auto"/>
        <w:jc w:val="both"/>
        <w:rPr>
          <w:i/>
          <w:iCs/>
          <w:color w:val="000000"/>
          <w:lang w:val="es-ES"/>
        </w:rPr>
      </w:pPr>
      <w:r>
        <w:rPr>
          <w:i/>
          <w:iCs/>
          <w:color w:val="000000"/>
          <w:lang w:val="es-ES"/>
        </w:rPr>
        <w:t>Oportunidades</w:t>
      </w:r>
    </w:p>
    <w:p w14:paraId="57B4478C" w14:textId="77777777" w:rsidR="00B02BC0" w:rsidRPr="002D4DA3" w:rsidRDefault="00B02BC0" w:rsidP="00B02BC0">
      <w:pPr>
        <w:spacing w:after="0" w:line="240" w:lineRule="auto"/>
        <w:jc w:val="both"/>
        <w:rPr>
          <w:i/>
          <w:iCs/>
          <w:color w:val="000000"/>
          <w:lang w:val="es-ES"/>
        </w:rPr>
      </w:pPr>
    </w:p>
    <w:p w14:paraId="3A299F66" w14:textId="77777777" w:rsidR="00B02BC0" w:rsidRPr="002D4DA3" w:rsidRDefault="00B02BC0" w:rsidP="00B02BC0">
      <w:pPr>
        <w:spacing w:after="0" w:line="240" w:lineRule="auto"/>
        <w:jc w:val="both"/>
        <w:rPr>
          <w:color w:val="000000"/>
          <w:lang w:val="es-ES"/>
        </w:rPr>
      </w:pPr>
      <w:r>
        <w:rPr>
          <w:color w:val="000000"/>
          <w:lang w:val="es-ES"/>
        </w:rPr>
        <w:t>En el marco del Programa de la CE sobre Organizaciones de la Sociedad Civil y Autoridades Locales (OSC-AL)</w:t>
      </w:r>
      <w:r w:rsidRPr="002D4DA3">
        <w:rPr>
          <w:color w:val="000000"/>
          <w:lang w:val="es-ES"/>
        </w:rPr>
        <w:t xml:space="preserve">, </w:t>
      </w:r>
      <w:r>
        <w:rPr>
          <w:color w:val="000000"/>
          <w:lang w:val="es-ES"/>
        </w:rPr>
        <w:t>en 2015 se publicarán dos convocatorias de propuestas</w:t>
      </w:r>
      <w:r w:rsidRPr="002D4DA3">
        <w:rPr>
          <w:color w:val="000000"/>
          <w:lang w:val="es-ES"/>
        </w:rPr>
        <w:t xml:space="preserve">: </w:t>
      </w:r>
    </w:p>
    <w:p w14:paraId="69D4E837" w14:textId="77777777" w:rsidR="00B02BC0" w:rsidRPr="002D4DA3" w:rsidRDefault="00B02BC0" w:rsidP="00B02BC0">
      <w:pPr>
        <w:spacing w:after="0" w:line="240" w:lineRule="auto"/>
        <w:jc w:val="both"/>
        <w:rPr>
          <w:color w:val="000000"/>
          <w:lang w:val="es-ES"/>
        </w:rPr>
      </w:pPr>
    </w:p>
    <w:p w14:paraId="27DD6FDB" w14:textId="77777777" w:rsidR="00B02BC0" w:rsidRPr="002D4DA3" w:rsidRDefault="00B02BC0" w:rsidP="00B02BC0">
      <w:pPr>
        <w:numPr>
          <w:ilvl w:val="0"/>
          <w:numId w:val="1"/>
        </w:numPr>
        <w:spacing w:after="0" w:line="240" w:lineRule="auto"/>
        <w:jc w:val="both"/>
        <w:rPr>
          <w:color w:val="000000"/>
          <w:lang w:val="es-ES"/>
        </w:rPr>
      </w:pPr>
      <w:r w:rsidRPr="006950E0">
        <w:rPr>
          <w:color w:val="000000"/>
          <w:lang w:val="es-ES"/>
        </w:rPr>
        <w:t xml:space="preserve">Educación para el Desarrollo y Sensibilización Social </w:t>
      </w:r>
      <w:r w:rsidRPr="002D4DA3">
        <w:rPr>
          <w:color w:val="000000"/>
          <w:lang w:val="es-ES"/>
        </w:rPr>
        <w:t>(DEAR)</w:t>
      </w:r>
    </w:p>
    <w:p w14:paraId="7518F148" w14:textId="77777777" w:rsidR="00B02BC0" w:rsidRPr="002D4DA3" w:rsidRDefault="00B02BC0" w:rsidP="00B02BC0">
      <w:pPr>
        <w:numPr>
          <w:ilvl w:val="0"/>
          <w:numId w:val="1"/>
        </w:numPr>
        <w:spacing w:after="0" w:line="240" w:lineRule="auto"/>
        <w:jc w:val="both"/>
        <w:rPr>
          <w:color w:val="000000"/>
          <w:lang w:val="es-ES"/>
        </w:rPr>
      </w:pPr>
      <w:r>
        <w:rPr>
          <w:color w:val="000000"/>
          <w:lang w:val="es-ES"/>
        </w:rPr>
        <w:t>Apoyo a redes regionales del Sur</w:t>
      </w:r>
      <w:r w:rsidRPr="002D4DA3">
        <w:rPr>
          <w:color w:val="000000"/>
          <w:lang w:val="es-ES"/>
        </w:rPr>
        <w:t xml:space="preserve"> </w:t>
      </w:r>
    </w:p>
    <w:p w14:paraId="58ED575B" w14:textId="77777777" w:rsidR="00B02BC0" w:rsidRPr="002D4DA3" w:rsidRDefault="00B02BC0" w:rsidP="00B02BC0">
      <w:pPr>
        <w:spacing w:after="0" w:line="240" w:lineRule="auto"/>
        <w:jc w:val="both"/>
        <w:rPr>
          <w:color w:val="000000"/>
          <w:lang w:val="es-ES"/>
        </w:rPr>
      </w:pPr>
    </w:p>
    <w:p w14:paraId="243D362C" w14:textId="77777777" w:rsidR="00B02BC0" w:rsidRPr="002D4DA3" w:rsidRDefault="00B02BC0" w:rsidP="00B02BC0">
      <w:pPr>
        <w:spacing w:after="0" w:line="240" w:lineRule="auto"/>
        <w:jc w:val="both"/>
        <w:rPr>
          <w:color w:val="000000"/>
          <w:lang w:val="es-ES"/>
        </w:rPr>
      </w:pPr>
      <w:r>
        <w:rPr>
          <w:color w:val="000000"/>
          <w:lang w:val="es-ES"/>
        </w:rPr>
        <w:t>Ver prioridades 2 y 3 del siguiente documento</w:t>
      </w:r>
      <w:r w:rsidRPr="002D4DA3">
        <w:rPr>
          <w:color w:val="000000"/>
          <w:lang w:val="es-ES"/>
        </w:rPr>
        <w:t>:</w:t>
      </w:r>
    </w:p>
    <w:p w14:paraId="5B53EFFA" w14:textId="0D6069DC" w:rsidR="00B02BC0" w:rsidRPr="002D4DA3" w:rsidRDefault="00B02BC0" w:rsidP="00B02BC0">
      <w:pPr>
        <w:spacing w:after="0" w:line="240" w:lineRule="auto"/>
        <w:jc w:val="both"/>
        <w:rPr>
          <w:color w:val="000000"/>
          <w:lang w:val="es-ES"/>
        </w:rPr>
      </w:pPr>
      <w:r w:rsidRPr="002D4DA3">
        <w:rPr>
          <w:lang w:val="es-ES"/>
        </w:rPr>
        <w:t xml:space="preserve"> </w:t>
      </w:r>
      <w:hyperlink r:id="rId9" w:tooltip="CSO LA MIP CSO LA 2014 2020 EN.pdf" w:history="1">
        <w:r>
          <w:rPr>
            <w:color w:val="0000FF"/>
            <w:u w:val="single"/>
            <w:lang w:val="es-ES"/>
          </w:rPr>
          <w:t>Programa Plurianual OSC-AL</w:t>
        </w:r>
        <w:r w:rsidRPr="002D4DA3">
          <w:rPr>
            <w:color w:val="0000FF"/>
            <w:u w:val="single"/>
            <w:lang w:val="es-ES"/>
          </w:rPr>
          <w:t xml:space="preserve"> 2014-202</w:t>
        </w:r>
        <w:r>
          <w:rPr>
            <w:color w:val="0000FF"/>
            <w:u w:val="single"/>
            <w:lang w:val="es-ES"/>
          </w:rPr>
          <w:t>0 (en inglés)</w:t>
        </w:r>
      </w:hyperlink>
      <w:r w:rsidRPr="002D4DA3">
        <w:rPr>
          <w:lang w:val="es-ES"/>
        </w:rPr>
        <w:t xml:space="preserve"> </w:t>
      </w:r>
      <w:r>
        <w:rPr>
          <w:noProof/>
          <w:color w:val="0000FF"/>
          <w:lang w:val="fr-BE" w:eastAsia="fr-BE"/>
        </w:rPr>
        <w:drawing>
          <wp:inline distT="0" distB="0" distL="0" distR="0" wp14:anchorId="1066BA8C" wp14:editId="0734BDC2">
            <wp:extent cx="476250" cy="419100"/>
            <wp:effectExtent l="0" t="0" r="0" b="0"/>
            <wp:docPr id="4" name="Picture 4" descr="Ne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3E2A3A4A" w14:textId="77777777" w:rsidR="00B02BC0" w:rsidRPr="002D4DA3" w:rsidRDefault="00B02BC0" w:rsidP="00B02BC0">
      <w:pPr>
        <w:spacing w:after="0" w:line="240" w:lineRule="auto"/>
        <w:jc w:val="both"/>
        <w:rPr>
          <w:color w:val="000000"/>
          <w:lang w:val="es-ES"/>
        </w:rPr>
      </w:pPr>
    </w:p>
    <w:p w14:paraId="750AF502" w14:textId="77777777" w:rsidR="00B02BC0" w:rsidRPr="002D4DA3" w:rsidRDefault="00B02BC0" w:rsidP="00B02BC0">
      <w:pPr>
        <w:spacing w:after="0" w:line="240" w:lineRule="auto"/>
        <w:jc w:val="both"/>
        <w:rPr>
          <w:color w:val="000000"/>
          <w:lang w:val="es-ES"/>
        </w:rPr>
      </w:pPr>
    </w:p>
    <w:p w14:paraId="40663C8C" w14:textId="77777777" w:rsidR="00B02BC0" w:rsidRPr="002D4DA3" w:rsidRDefault="00B02BC0" w:rsidP="00B02BC0">
      <w:pPr>
        <w:spacing w:after="0" w:line="240" w:lineRule="auto"/>
        <w:jc w:val="both"/>
        <w:rPr>
          <w:color w:val="000000"/>
          <w:lang w:val="es-ES"/>
        </w:rPr>
      </w:pPr>
      <w:r>
        <w:rPr>
          <w:color w:val="000000"/>
          <w:lang w:val="es-ES"/>
        </w:rPr>
        <w:t>En el marco del Programa de la CE sobre Bienes Públicos y Retos</w:t>
      </w:r>
      <w:r w:rsidRPr="002D4DA3">
        <w:rPr>
          <w:color w:val="000000"/>
          <w:lang w:val="es-ES"/>
        </w:rPr>
        <w:t xml:space="preserve"> </w:t>
      </w:r>
      <w:r>
        <w:rPr>
          <w:color w:val="000000"/>
          <w:lang w:val="es-ES"/>
        </w:rPr>
        <w:t xml:space="preserve">Globales </w:t>
      </w:r>
      <w:r w:rsidRPr="002D4DA3">
        <w:rPr>
          <w:color w:val="000000"/>
          <w:lang w:val="es-ES"/>
        </w:rPr>
        <w:t>(GPGC</w:t>
      </w:r>
      <w:r>
        <w:rPr>
          <w:color w:val="000000"/>
          <w:lang w:val="es-ES"/>
        </w:rPr>
        <w:t>, por sus siglas en inglés</w:t>
      </w:r>
      <w:r w:rsidRPr="002D4DA3">
        <w:rPr>
          <w:color w:val="000000"/>
          <w:lang w:val="es-ES"/>
        </w:rPr>
        <w:t xml:space="preserve">), </w:t>
      </w:r>
      <w:r>
        <w:rPr>
          <w:color w:val="000000"/>
          <w:lang w:val="es-ES"/>
        </w:rPr>
        <w:t xml:space="preserve">las convocatorias de propuestas se publicarán en </w:t>
      </w:r>
      <w:r w:rsidRPr="002D4DA3">
        <w:rPr>
          <w:color w:val="000000"/>
          <w:lang w:val="es-ES"/>
        </w:rPr>
        <w:t>2016.</w:t>
      </w:r>
      <w:r>
        <w:rPr>
          <w:color w:val="000000"/>
          <w:lang w:val="es-ES"/>
        </w:rPr>
        <w:t xml:space="preserve"> El</w:t>
      </w:r>
      <w:r w:rsidRPr="002D4DA3">
        <w:rPr>
          <w:color w:val="000000"/>
          <w:lang w:val="es-ES"/>
        </w:rPr>
        <w:t xml:space="preserve"> </w:t>
      </w:r>
      <w:r>
        <w:rPr>
          <w:color w:val="000000"/>
          <w:lang w:val="es-ES"/>
        </w:rPr>
        <w:t xml:space="preserve">Programa </w:t>
      </w:r>
      <w:r w:rsidRPr="002D4DA3">
        <w:rPr>
          <w:color w:val="000000"/>
          <w:lang w:val="es-ES"/>
        </w:rPr>
        <w:t xml:space="preserve">GPGC </w:t>
      </w:r>
      <w:r>
        <w:rPr>
          <w:color w:val="000000"/>
          <w:lang w:val="es-ES"/>
        </w:rPr>
        <w:t>está compuesto de diversas áreas estratégicas:</w:t>
      </w:r>
    </w:p>
    <w:p w14:paraId="2D2D9336" w14:textId="77777777" w:rsidR="00B02BC0" w:rsidRPr="002D4DA3" w:rsidRDefault="00B02BC0" w:rsidP="00B02BC0">
      <w:pPr>
        <w:spacing w:after="0" w:line="240" w:lineRule="auto"/>
        <w:jc w:val="both"/>
        <w:rPr>
          <w:color w:val="000000"/>
          <w:lang w:val="es-ES"/>
        </w:rPr>
      </w:pPr>
    </w:p>
    <w:p w14:paraId="48755BFA" w14:textId="77777777" w:rsidR="00B02BC0" w:rsidRPr="002D4DA3" w:rsidRDefault="00B02BC0" w:rsidP="00B02BC0">
      <w:pPr>
        <w:pStyle w:val="ListParagraph"/>
        <w:numPr>
          <w:ilvl w:val="0"/>
          <w:numId w:val="3"/>
        </w:numPr>
        <w:tabs>
          <w:tab w:val="left" w:pos="0"/>
        </w:tabs>
        <w:spacing w:after="0" w:line="240" w:lineRule="auto"/>
        <w:contextualSpacing w:val="0"/>
        <w:jc w:val="both"/>
        <w:rPr>
          <w:color w:val="000000"/>
          <w:lang w:val="es-ES"/>
        </w:rPr>
      </w:pPr>
      <w:r>
        <w:rPr>
          <w:color w:val="000000"/>
          <w:lang w:val="es-ES"/>
        </w:rPr>
        <w:t>Medioambiente y cambio climático</w:t>
      </w:r>
    </w:p>
    <w:p w14:paraId="59566C19" w14:textId="77777777" w:rsidR="00B02BC0" w:rsidRPr="002D4DA3" w:rsidRDefault="00B02BC0" w:rsidP="00B02BC0">
      <w:pPr>
        <w:pStyle w:val="ListParagraph"/>
        <w:numPr>
          <w:ilvl w:val="0"/>
          <w:numId w:val="3"/>
        </w:numPr>
        <w:tabs>
          <w:tab w:val="left" w:pos="0"/>
        </w:tabs>
        <w:spacing w:after="0" w:line="240" w:lineRule="auto"/>
        <w:contextualSpacing w:val="0"/>
        <w:jc w:val="both"/>
        <w:rPr>
          <w:color w:val="000000"/>
          <w:lang w:val="es-ES"/>
        </w:rPr>
      </w:pPr>
      <w:r>
        <w:rPr>
          <w:color w:val="000000"/>
          <w:lang w:val="es-ES"/>
        </w:rPr>
        <w:t>Energía sostenible</w:t>
      </w:r>
    </w:p>
    <w:p w14:paraId="637DD299" w14:textId="77777777" w:rsidR="00B02BC0" w:rsidRPr="002D4DA3" w:rsidRDefault="00B02BC0" w:rsidP="00B02BC0">
      <w:pPr>
        <w:pStyle w:val="ListParagraph"/>
        <w:numPr>
          <w:ilvl w:val="0"/>
          <w:numId w:val="3"/>
        </w:numPr>
        <w:tabs>
          <w:tab w:val="left" w:pos="0"/>
        </w:tabs>
        <w:spacing w:after="0" w:line="240" w:lineRule="auto"/>
        <w:contextualSpacing w:val="0"/>
        <w:jc w:val="both"/>
        <w:rPr>
          <w:color w:val="000000"/>
          <w:lang w:val="es-ES"/>
        </w:rPr>
      </w:pPr>
      <w:r>
        <w:rPr>
          <w:color w:val="000000"/>
          <w:lang w:val="es-ES"/>
        </w:rPr>
        <w:t>Desarrollo humano</w:t>
      </w:r>
      <w:r w:rsidRPr="002D4DA3">
        <w:rPr>
          <w:color w:val="000000"/>
          <w:lang w:val="es-ES"/>
        </w:rPr>
        <w:t xml:space="preserve"> (</w:t>
      </w:r>
      <w:r>
        <w:rPr>
          <w:color w:val="000000"/>
          <w:lang w:val="es-ES"/>
        </w:rPr>
        <w:t>sanidad, educación, igualdad de género, bienestar infantil, empleo/trabajo decente/inclusión social/protección social, crecimiento/empleo/ sector privado</w:t>
      </w:r>
      <w:r w:rsidRPr="002D4DA3">
        <w:rPr>
          <w:color w:val="000000"/>
          <w:lang w:val="es-ES"/>
        </w:rPr>
        <w:t>)</w:t>
      </w:r>
    </w:p>
    <w:p w14:paraId="6D05176A" w14:textId="77777777" w:rsidR="00B02BC0" w:rsidRPr="002D4DA3" w:rsidRDefault="00B02BC0" w:rsidP="00B02BC0">
      <w:pPr>
        <w:pStyle w:val="ListParagraph"/>
        <w:numPr>
          <w:ilvl w:val="0"/>
          <w:numId w:val="3"/>
        </w:numPr>
        <w:tabs>
          <w:tab w:val="left" w:pos="0"/>
        </w:tabs>
        <w:spacing w:after="0" w:line="240" w:lineRule="auto"/>
        <w:contextualSpacing w:val="0"/>
        <w:jc w:val="both"/>
        <w:rPr>
          <w:color w:val="000000"/>
          <w:lang w:val="es-ES"/>
        </w:rPr>
      </w:pPr>
      <w:r>
        <w:rPr>
          <w:color w:val="000000"/>
          <w:lang w:val="es-ES"/>
        </w:rPr>
        <w:t>Seguridad alimentaria y nutricional y agricultura sostenible</w:t>
      </w:r>
    </w:p>
    <w:p w14:paraId="7760238F" w14:textId="77777777" w:rsidR="00B02BC0" w:rsidRDefault="00B02BC0" w:rsidP="00B02BC0">
      <w:pPr>
        <w:pStyle w:val="ListParagraph"/>
        <w:numPr>
          <w:ilvl w:val="0"/>
          <w:numId w:val="3"/>
        </w:numPr>
        <w:tabs>
          <w:tab w:val="left" w:pos="0"/>
        </w:tabs>
        <w:spacing w:after="0" w:line="240" w:lineRule="auto"/>
        <w:contextualSpacing w:val="0"/>
        <w:jc w:val="both"/>
        <w:rPr>
          <w:lang w:val="es-ES"/>
        </w:rPr>
      </w:pPr>
      <w:r w:rsidRPr="002D4DA3">
        <w:rPr>
          <w:lang w:val="es-ES"/>
        </w:rPr>
        <w:t>Migra</w:t>
      </w:r>
      <w:r>
        <w:rPr>
          <w:lang w:val="es-ES"/>
        </w:rPr>
        <w:t>ción y asilo</w:t>
      </w:r>
    </w:p>
    <w:p w14:paraId="3E410E13" w14:textId="77777777" w:rsidR="00B02BC0" w:rsidRPr="002D4DA3" w:rsidRDefault="00B02BC0" w:rsidP="00B02BC0">
      <w:pPr>
        <w:pStyle w:val="ListParagraph"/>
        <w:tabs>
          <w:tab w:val="left" w:pos="0"/>
        </w:tabs>
        <w:spacing w:after="0" w:line="240" w:lineRule="auto"/>
        <w:ind w:left="360"/>
        <w:jc w:val="both"/>
        <w:rPr>
          <w:lang w:val="es-ES"/>
        </w:rPr>
      </w:pPr>
    </w:p>
    <w:p w14:paraId="60C5C2BF" w14:textId="77777777" w:rsidR="00B02BC0" w:rsidRPr="002D4DA3" w:rsidRDefault="00B02BC0" w:rsidP="00B02BC0">
      <w:pPr>
        <w:spacing w:after="0" w:line="240" w:lineRule="auto"/>
        <w:jc w:val="both"/>
        <w:rPr>
          <w:color w:val="000000"/>
          <w:lang w:val="es-ES"/>
        </w:rPr>
      </w:pPr>
    </w:p>
    <w:p w14:paraId="1DCCFD0B" w14:textId="77777777" w:rsidR="00B02BC0" w:rsidRPr="002D4DA3" w:rsidRDefault="00B02BC0" w:rsidP="00B02BC0">
      <w:pPr>
        <w:spacing w:after="0" w:line="240" w:lineRule="auto"/>
        <w:jc w:val="both"/>
        <w:rPr>
          <w:color w:val="000000"/>
          <w:lang w:val="es-ES"/>
        </w:rPr>
      </w:pPr>
      <w:r>
        <w:rPr>
          <w:color w:val="000000"/>
          <w:lang w:val="es-ES"/>
        </w:rPr>
        <w:t>Ver área estratégica</w:t>
      </w:r>
      <w:r w:rsidRPr="002D4DA3">
        <w:rPr>
          <w:color w:val="000000"/>
          <w:lang w:val="es-ES"/>
        </w:rPr>
        <w:t xml:space="preserve"> 3 </w:t>
      </w:r>
      <w:r>
        <w:rPr>
          <w:color w:val="000000"/>
          <w:lang w:val="es-ES"/>
        </w:rPr>
        <w:t>del siguiente documento (</w:t>
      </w:r>
      <w:r w:rsidRPr="002D4DA3">
        <w:rPr>
          <w:color w:val="000000"/>
          <w:lang w:val="es-ES"/>
        </w:rPr>
        <w:t>p</w:t>
      </w:r>
      <w:r>
        <w:rPr>
          <w:color w:val="000000"/>
          <w:lang w:val="es-ES"/>
        </w:rPr>
        <w:t>ág</w:t>
      </w:r>
      <w:r w:rsidRPr="002D4DA3">
        <w:rPr>
          <w:color w:val="000000"/>
          <w:lang w:val="es-ES"/>
        </w:rPr>
        <w:t>. 60</w:t>
      </w:r>
      <w:r>
        <w:rPr>
          <w:color w:val="000000"/>
          <w:lang w:val="es-ES"/>
        </w:rPr>
        <w:t>)</w:t>
      </w:r>
      <w:r w:rsidRPr="002D4DA3">
        <w:rPr>
          <w:color w:val="000000"/>
          <w:lang w:val="es-ES"/>
        </w:rPr>
        <w:t xml:space="preserve"> </w:t>
      </w:r>
      <w:r>
        <w:rPr>
          <w:color w:val="000000"/>
          <w:lang w:val="es-ES"/>
        </w:rPr>
        <w:t>y</w:t>
      </w:r>
      <w:r w:rsidRPr="002D4DA3">
        <w:rPr>
          <w:color w:val="000000"/>
          <w:lang w:val="es-ES"/>
        </w:rPr>
        <w:t xml:space="preserve"> </w:t>
      </w:r>
      <w:r>
        <w:rPr>
          <w:color w:val="000000"/>
          <w:lang w:val="es-ES"/>
        </w:rPr>
        <w:t>programas emblemáticos (</w:t>
      </w:r>
      <w:proofErr w:type="spellStart"/>
      <w:r w:rsidRPr="0078128F">
        <w:rPr>
          <w:i/>
          <w:iCs/>
          <w:color w:val="000000"/>
          <w:lang w:val="es-ES"/>
        </w:rPr>
        <w:t>flagships</w:t>
      </w:r>
      <w:proofErr w:type="spellEnd"/>
      <w:r>
        <w:rPr>
          <w:color w:val="000000"/>
          <w:lang w:val="es-ES"/>
        </w:rPr>
        <w:t>)</w:t>
      </w:r>
      <w:r w:rsidRPr="002D4DA3">
        <w:rPr>
          <w:color w:val="000000"/>
          <w:lang w:val="es-ES"/>
        </w:rPr>
        <w:t xml:space="preserve"> </w:t>
      </w:r>
      <w:r>
        <w:rPr>
          <w:color w:val="000000"/>
          <w:lang w:val="es-ES"/>
        </w:rPr>
        <w:t>al final del mismo</w:t>
      </w:r>
      <w:r w:rsidRPr="002D4DA3">
        <w:rPr>
          <w:color w:val="000000"/>
          <w:lang w:val="es-ES"/>
        </w:rPr>
        <w:t>:</w:t>
      </w:r>
    </w:p>
    <w:p w14:paraId="5C1458CD" w14:textId="0D9A6446" w:rsidR="00B02BC0" w:rsidRPr="002D4DA3" w:rsidRDefault="00B02BC0" w:rsidP="00B02BC0">
      <w:pPr>
        <w:spacing w:after="0" w:line="240" w:lineRule="auto"/>
        <w:jc w:val="both"/>
        <w:rPr>
          <w:lang w:val="es-ES"/>
        </w:rPr>
      </w:pPr>
      <w:hyperlink r:id="rId12" w:history="1">
        <w:r>
          <w:rPr>
            <w:rStyle w:val="Hyperlink"/>
            <w:lang w:val="es-ES"/>
          </w:rPr>
          <w:t xml:space="preserve">Programa Plurianual </w:t>
        </w:r>
        <w:r w:rsidRPr="002D4DA3">
          <w:rPr>
            <w:rStyle w:val="Hyperlink"/>
            <w:lang w:val="es-ES"/>
          </w:rPr>
          <w:t>GPGC 2014-201</w:t>
        </w:r>
        <w:r>
          <w:rPr>
            <w:rStyle w:val="Hyperlink"/>
            <w:lang w:val="es-ES"/>
          </w:rPr>
          <w:t>7 (en inglés)</w:t>
        </w:r>
      </w:hyperlink>
      <w:r w:rsidRPr="002D4DA3">
        <w:rPr>
          <w:lang w:val="es-ES"/>
        </w:rPr>
        <w:t xml:space="preserve"> </w:t>
      </w:r>
      <w:r>
        <w:rPr>
          <w:noProof/>
          <w:lang w:val="fr-BE" w:eastAsia="fr-BE"/>
        </w:rPr>
        <w:drawing>
          <wp:inline distT="0" distB="0" distL="0" distR="0" wp14:anchorId="500F4774" wp14:editId="114E8D96">
            <wp:extent cx="476250" cy="419100"/>
            <wp:effectExtent l="0" t="0" r="0" b="0"/>
            <wp:docPr id="3" name="Picture 3" descr="Ne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139F8718" w14:textId="77777777" w:rsidR="00B02BC0" w:rsidRPr="002D4DA3" w:rsidRDefault="00B02BC0" w:rsidP="00B02BC0">
      <w:pPr>
        <w:spacing w:after="0" w:line="240" w:lineRule="auto"/>
        <w:jc w:val="both"/>
        <w:rPr>
          <w:color w:val="000000"/>
          <w:lang w:val="es-ES"/>
        </w:rPr>
      </w:pPr>
    </w:p>
    <w:p w14:paraId="6A0E564B" w14:textId="77777777" w:rsidR="00B02BC0" w:rsidRPr="002D4DA3" w:rsidRDefault="00B02BC0" w:rsidP="00B02BC0">
      <w:pPr>
        <w:spacing w:after="0" w:line="240" w:lineRule="auto"/>
        <w:jc w:val="both"/>
        <w:rPr>
          <w:color w:val="000000"/>
          <w:lang w:val="es-ES"/>
        </w:rPr>
      </w:pPr>
      <w:r>
        <w:rPr>
          <w:color w:val="000000"/>
          <w:lang w:val="es-ES"/>
        </w:rPr>
        <w:t xml:space="preserve"> </w:t>
      </w:r>
    </w:p>
    <w:p w14:paraId="43116C63" w14:textId="77777777" w:rsidR="00B02BC0" w:rsidRPr="002D4DA3" w:rsidRDefault="00B02BC0" w:rsidP="00B02BC0">
      <w:pPr>
        <w:spacing w:after="0" w:line="240" w:lineRule="auto"/>
        <w:jc w:val="both"/>
        <w:rPr>
          <w:i/>
          <w:iCs/>
          <w:color w:val="000000"/>
          <w:lang w:val="es-ES"/>
        </w:rPr>
      </w:pPr>
      <w:r>
        <w:rPr>
          <w:i/>
          <w:iCs/>
          <w:color w:val="000000"/>
          <w:lang w:val="es-ES"/>
        </w:rPr>
        <w:t>Retos</w:t>
      </w:r>
    </w:p>
    <w:p w14:paraId="0E77F672" w14:textId="77777777" w:rsidR="00B02BC0" w:rsidRPr="002D4DA3" w:rsidRDefault="00B02BC0" w:rsidP="00B02BC0">
      <w:pPr>
        <w:spacing w:after="0" w:line="240" w:lineRule="auto"/>
        <w:jc w:val="both"/>
        <w:rPr>
          <w:color w:val="000000"/>
          <w:lang w:val="es-ES"/>
        </w:rPr>
      </w:pPr>
    </w:p>
    <w:p w14:paraId="2B363D25" w14:textId="77777777" w:rsidR="00B02BC0" w:rsidRPr="002D4DA3" w:rsidRDefault="00B02BC0" w:rsidP="00B02BC0">
      <w:pPr>
        <w:spacing w:after="0" w:line="240" w:lineRule="auto"/>
        <w:jc w:val="both"/>
        <w:rPr>
          <w:color w:val="000000"/>
          <w:lang w:val="es-ES"/>
        </w:rPr>
      </w:pPr>
      <w:r w:rsidRPr="002D4DA3">
        <w:rPr>
          <w:color w:val="000000"/>
          <w:lang w:val="es-ES"/>
        </w:rPr>
        <w:t xml:space="preserve">→ </w:t>
      </w:r>
      <w:r>
        <w:rPr>
          <w:color w:val="000000"/>
          <w:lang w:val="es-ES"/>
        </w:rPr>
        <w:t xml:space="preserve">La Comisión Europea sigue considerando en gran medida a las ONG de </w:t>
      </w:r>
      <w:proofErr w:type="gramStart"/>
      <w:r>
        <w:rPr>
          <w:color w:val="000000"/>
          <w:lang w:val="es-ES"/>
        </w:rPr>
        <w:t>desarrollo tradicionales</w:t>
      </w:r>
      <w:proofErr w:type="gramEnd"/>
      <w:r>
        <w:rPr>
          <w:color w:val="000000"/>
          <w:lang w:val="es-ES"/>
        </w:rPr>
        <w:t xml:space="preserve"> como el punto de referencia en el ámbito de la sensibilización social y la educación para el desarrollo. Tenemos que consolidar nuestra visibilidad y reforzar nuestra influencia política de cara a la CE. ¿Cómo vamos a conseguirlo</w:t>
      </w:r>
      <w:r w:rsidRPr="002D4DA3">
        <w:rPr>
          <w:color w:val="000000"/>
          <w:lang w:val="es-ES"/>
        </w:rPr>
        <w:t xml:space="preserve">? </w:t>
      </w:r>
    </w:p>
    <w:p w14:paraId="5AD48417" w14:textId="77777777" w:rsidR="00B02BC0" w:rsidRPr="002D4DA3" w:rsidRDefault="00B02BC0" w:rsidP="00B02BC0">
      <w:pPr>
        <w:spacing w:after="0" w:line="240" w:lineRule="auto"/>
        <w:jc w:val="both"/>
        <w:rPr>
          <w:color w:val="000000"/>
          <w:lang w:val="es-ES"/>
        </w:rPr>
      </w:pPr>
    </w:p>
    <w:p w14:paraId="25DC436B" w14:textId="77777777" w:rsidR="00B02BC0" w:rsidRPr="002D4DA3" w:rsidRDefault="00B02BC0" w:rsidP="00B02BC0">
      <w:pPr>
        <w:spacing w:after="0" w:line="240" w:lineRule="auto"/>
        <w:jc w:val="both"/>
        <w:rPr>
          <w:color w:val="000000"/>
          <w:lang w:val="es-ES"/>
        </w:rPr>
      </w:pPr>
      <w:r w:rsidRPr="002D4DA3">
        <w:rPr>
          <w:color w:val="000000"/>
          <w:lang w:val="es-ES"/>
        </w:rPr>
        <w:t xml:space="preserve">→ </w:t>
      </w:r>
      <w:r>
        <w:rPr>
          <w:color w:val="000000"/>
          <w:lang w:val="es-ES"/>
        </w:rPr>
        <w:t xml:space="preserve">Las Redes </w:t>
      </w:r>
      <w:r w:rsidRPr="002D4DA3">
        <w:rPr>
          <w:color w:val="000000"/>
          <w:lang w:val="es-ES"/>
        </w:rPr>
        <w:t>Regional</w:t>
      </w:r>
      <w:r>
        <w:rPr>
          <w:color w:val="000000"/>
          <w:lang w:val="es-ES"/>
        </w:rPr>
        <w:t>es</w:t>
      </w:r>
      <w:r w:rsidRPr="002D4DA3">
        <w:rPr>
          <w:color w:val="000000"/>
          <w:lang w:val="es-ES"/>
        </w:rPr>
        <w:t xml:space="preserve"> </w:t>
      </w:r>
      <w:r>
        <w:rPr>
          <w:color w:val="000000"/>
          <w:lang w:val="es-ES"/>
        </w:rPr>
        <w:t>de Desarrollo tendrá la oportunidad de solicitar fondos de la CE. La CE va a introducir en esta ocasión un nuevo procedimiento de adjudicación basado en una primera selección de convocatorias de propuestas, seguida de un acuerdo marco. La CE quiere seleccionar un máximo de cinco programas. ¿Cómo organizarse para apoyar a las organizaciones regionales</w:t>
      </w:r>
      <w:r w:rsidRPr="002D4DA3">
        <w:rPr>
          <w:color w:val="000000"/>
          <w:lang w:val="es-ES"/>
        </w:rPr>
        <w:t>?</w:t>
      </w:r>
    </w:p>
    <w:p w14:paraId="0E132A47" w14:textId="77777777" w:rsidR="00B02BC0" w:rsidRPr="002D4DA3" w:rsidRDefault="00B02BC0" w:rsidP="00B02BC0">
      <w:pPr>
        <w:spacing w:after="0" w:line="240" w:lineRule="auto"/>
        <w:jc w:val="both"/>
        <w:rPr>
          <w:color w:val="000000"/>
          <w:lang w:val="es-ES"/>
        </w:rPr>
      </w:pPr>
    </w:p>
    <w:p w14:paraId="1049A76F" w14:textId="77777777" w:rsidR="00B02BC0" w:rsidRPr="002D4DA3" w:rsidRDefault="00B02BC0" w:rsidP="00B02BC0">
      <w:pPr>
        <w:spacing w:after="0" w:line="240" w:lineRule="auto"/>
        <w:jc w:val="both"/>
        <w:rPr>
          <w:color w:val="000000"/>
          <w:lang w:val="es-ES"/>
        </w:rPr>
      </w:pPr>
      <w:r w:rsidRPr="002D4DA3">
        <w:rPr>
          <w:color w:val="000000"/>
          <w:lang w:val="es-ES"/>
        </w:rPr>
        <w:t xml:space="preserve">→ </w:t>
      </w:r>
      <w:r>
        <w:rPr>
          <w:color w:val="000000"/>
          <w:lang w:val="es-ES"/>
        </w:rPr>
        <w:t>El diálogo social y el rol de los interlocutores sociales no aparecen suficientemente reflejados en el actual Programa Plurianual. Todavía tenemos la oportunidad de realizar aportaciones durante el proceso de redacción del Plan de Acción Anual</w:t>
      </w:r>
      <w:r w:rsidRPr="002D4DA3">
        <w:rPr>
          <w:color w:val="000000"/>
          <w:lang w:val="es-ES"/>
        </w:rPr>
        <w:t xml:space="preserve">-AAP 2015, </w:t>
      </w:r>
      <w:r>
        <w:rPr>
          <w:color w:val="000000"/>
          <w:lang w:val="es-ES"/>
        </w:rPr>
        <w:t>en el que participa el Parlamento Europeo en el marco del ejercicio de su derecho de control. ¿Cuál es la mejor manera de coordinarnos en este sentido?</w:t>
      </w:r>
    </w:p>
    <w:p w14:paraId="74A9054B" w14:textId="77777777" w:rsidR="00B02BC0" w:rsidRPr="002D4DA3" w:rsidRDefault="00B02BC0" w:rsidP="00B02BC0">
      <w:pPr>
        <w:rPr>
          <w:lang w:val="es-ES"/>
        </w:rPr>
      </w:pPr>
    </w:p>
    <w:p w14:paraId="4CA177F3" w14:textId="68D7244C" w:rsidR="003A0DF9" w:rsidRPr="00B02BC0" w:rsidRDefault="003A0DF9" w:rsidP="00B02BC0">
      <w:pPr>
        <w:rPr>
          <w:lang w:val="es-ES"/>
        </w:rPr>
      </w:pPr>
    </w:p>
    <w:sectPr w:rsidR="003A0DF9" w:rsidRPr="00B02BC0" w:rsidSect="003A0DF9">
      <w:headerReference w:type="even" r:id="rId13"/>
      <w:headerReference w:type="default" r:id="rId14"/>
      <w:footerReference w:type="even" r:id="rId15"/>
      <w:footerReference w:type="default" r:id="rId16"/>
      <w:headerReference w:type="first" r:id="rId17"/>
      <w:footerReference w:type="first" r:id="rId18"/>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C4EB2" w14:textId="77777777" w:rsidR="000F1F0E" w:rsidRDefault="000F1F0E" w:rsidP="00463227">
      <w:pPr>
        <w:spacing w:after="0" w:line="240" w:lineRule="auto"/>
      </w:pPr>
      <w:r>
        <w:separator/>
      </w:r>
    </w:p>
  </w:endnote>
  <w:endnote w:type="continuationSeparator" w:id="0">
    <w:p w14:paraId="18FB0E66" w14:textId="77777777" w:rsidR="000F1F0E" w:rsidRDefault="000F1F0E"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296B9" w14:textId="77777777" w:rsidR="000F1F0E" w:rsidRDefault="000F1F0E" w:rsidP="00463227">
      <w:pPr>
        <w:spacing w:after="0" w:line="240" w:lineRule="auto"/>
      </w:pPr>
      <w:r>
        <w:separator/>
      </w:r>
    </w:p>
  </w:footnote>
  <w:footnote w:type="continuationSeparator" w:id="0">
    <w:p w14:paraId="3A1489A0" w14:textId="77777777" w:rsidR="000F1F0E" w:rsidRDefault="000F1F0E" w:rsidP="00463227">
      <w:pPr>
        <w:spacing w:after="0" w:line="240" w:lineRule="auto"/>
      </w:pPr>
      <w:r>
        <w:continuationSeparator/>
      </w:r>
    </w:p>
  </w:footnote>
  <w:footnote w:id="1">
    <w:p w14:paraId="133D0263" w14:textId="77777777" w:rsidR="00B02BC0" w:rsidRDefault="00B02BC0" w:rsidP="00B02BC0">
      <w:pPr>
        <w:pStyle w:val="FootnoteText"/>
      </w:pPr>
      <w:r w:rsidRPr="007333D2">
        <w:rPr>
          <w:rStyle w:val="FootnoteReference"/>
          <w:rFonts w:ascii="Calibri" w:hAnsi="Calibri" w:cs="Calibri"/>
          <w:lang w:val="es-ES"/>
        </w:rPr>
        <w:footnoteRef/>
      </w:r>
      <w:r w:rsidRPr="007333D2">
        <w:rPr>
          <w:rFonts w:ascii="Calibri" w:hAnsi="Calibri" w:cs="Calibri"/>
          <w:lang w:val="es-ES"/>
        </w:rPr>
        <w:t xml:space="preserve"> Seminario de Florencia sobre Educación para el Desarrollo </w:t>
      </w:r>
      <w:hyperlink r:id="rId1" w:history="1">
        <w:r w:rsidRPr="009D0636">
          <w:rPr>
            <w:rStyle w:val="Hyperlink"/>
            <w:lang w:val="es-ES"/>
          </w:rPr>
          <w:t>http://www.ituc-csi.org/informe-del-taller?lang=es</w:t>
        </w:r>
      </w:hyperlink>
      <w:r>
        <w:rPr>
          <w:rFonts w:ascii="Calibri" w:hAnsi="Calibri" w:cs="Calibri"/>
          <w:lang w:val="es-ES"/>
        </w:rPr>
        <w:t xml:space="preserve">, septiembre de </w:t>
      </w:r>
      <w:r w:rsidRPr="007333D2">
        <w:rPr>
          <w:rFonts w:ascii="Calibri" w:hAnsi="Calibri" w:cs="Calibri"/>
          <w:lang w:val="es-ES"/>
        </w:rPr>
        <w:t xml:space="preserve">2013; </w:t>
      </w:r>
      <w:r>
        <w:rPr>
          <w:rFonts w:ascii="Calibri" w:hAnsi="Calibri" w:cs="Calibri"/>
          <w:lang w:val="es-ES"/>
        </w:rPr>
        <w:t xml:space="preserve">y Seminario de Lome sobre Economía Informal, febrero de </w:t>
      </w:r>
      <w:r w:rsidRPr="007333D2">
        <w:rPr>
          <w:rFonts w:ascii="Calibri" w:hAnsi="Calibri" w:cs="Calibri"/>
          <w:lang w:val="es-ES"/>
        </w:rPr>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0F1F0E">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0F1F0E">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0F1F0E">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B58AA"/>
    <w:multiLevelType w:val="hybridMultilevel"/>
    <w:tmpl w:val="5D5858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2EE2BD0"/>
    <w:multiLevelType w:val="hybridMultilevel"/>
    <w:tmpl w:val="06564CE0"/>
    <w:lvl w:ilvl="0" w:tplc="38209E2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C26D82"/>
    <w:multiLevelType w:val="hybridMultilevel"/>
    <w:tmpl w:val="A7E0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37993"/>
    <w:rsid w:val="000F1F0E"/>
    <w:rsid w:val="001175CD"/>
    <w:rsid w:val="001351B9"/>
    <w:rsid w:val="002F4CD7"/>
    <w:rsid w:val="003A0DF9"/>
    <w:rsid w:val="00463227"/>
    <w:rsid w:val="004F222C"/>
    <w:rsid w:val="00542A41"/>
    <w:rsid w:val="005613F6"/>
    <w:rsid w:val="00583C45"/>
    <w:rsid w:val="00606ABE"/>
    <w:rsid w:val="00646D4F"/>
    <w:rsid w:val="006F2776"/>
    <w:rsid w:val="00B02BC0"/>
    <w:rsid w:val="00B50CDC"/>
    <w:rsid w:val="00B55C5F"/>
    <w:rsid w:val="00BC2F49"/>
    <w:rsid w:val="00C97769"/>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BC0"/>
    <w:rPr>
      <w:rFonts w:ascii="Calibri" w:eastAsia="Calibri" w:hAnsi="Calibri" w:cs="Calibri"/>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rsid w:val="006F2776"/>
    <w:rPr>
      <w:color w:val="0000FF"/>
      <w:u w:val="single"/>
    </w:rPr>
  </w:style>
  <w:style w:type="paragraph" w:styleId="FootnoteText">
    <w:name w:val="footnote text"/>
    <w:basedOn w:val="Normal"/>
    <w:link w:val="FootnoteTextChar"/>
    <w:uiPriority w:val="99"/>
    <w:semiHidden/>
    <w:unhideWhenUsed/>
    <w:rsid w:val="006F277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2776"/>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semiHidden/>
    <w:unhideWhenUsed/>
    <w:rsid w:val="006F2776"/>
    <w:rPr>
      <w:vertAlign w:val="superscript"/>
    </w:rPr>
  </w:style>
  <w:style w:type="paragraph" w:styleId="ListParagraph">
    <w:name w:val="List Paragraph"/>
    <w:basedOn w:val="Normal"/>
    <w:uiPriority w:val="99"/>
    <w:qFormat/>
    <w:rsid w:val="006F2776"/>
    <w:pPr>
      <w:ind w:left="720"/>
      <w:contextualSpacing/>
    </w:pPr>
  </w:style>
  <w:style w:type="paragraph" w:styleId="BalloonText">
    <w:name w:val="Balloon Text"/>
    <w:basedOn w:val="Normal"/>
    <w:link w:val="BalloonTextChar"/>
    <w:uiPriority w:val="99"/>
    <w:semiHidden/>
    <w:unhideWhenUsed/>
    <w:rsid w:val="006F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7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BC0"/>
    <w:rPr>
      <w:rFonts w:ascii="Calibri" w:eastAsia="Calibri" w:hAnsi="Calibri" w:cs="Calibri"/>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rsid w:val="006F2776"/>
    <w:rPr>
      <w:color w:val="0000FF"/>
      <w:u w:val="single"/>
    </w:rPr>
  </w:style>
  <w:style w:type="paragraph" w:styleId="FootnoteText">
    <w:name w:val="footnote text"/>
    <w:basedOn w:val="Normal"/>
    <w:link w:val="FootnoteTextChar"/>
    <w:uiPriority w:val="99"/>
    <w:semiHidden/>
    <w:unhideWhenUsed/>
    <w:rsid w:val="006F277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2776"/>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semiHidden/>
    <w:unhideWhenUsed/>
    <w:rsid w:val="006F2776"/>
    <w:rPr>
      <w:vertAlign w:val="superscript"/>
    </w:rPr>
  </w:style>
  <w:style w:type="paragraph" w:styleId="ListParagraph">
    <w:name w:val="List Paragraph"/>
    <w:basedOn w:val="Normal"/>
    <w:uiPriority w:val="99"/>
    <w:qFormat/>
    <w:rsid w:val="006F2776"/>
    <w:pPr>
      <w:ind w:left="720"/>
      <w:contextualSpacing/>
    </w:pPr>
  </w:style>
  <w:style w:type="paragraph" w:styleId="BalloonText">
    <w:name w:val="Balloon Text"/>
    <w:basedOn w:val="Normal"/>
    <w:link w:val="BalloonTextChar"/>
    <w:uiPriority w:val="99"/>
    <w:semiHidden/>
    <w:unhideWhenUsed/>
    <w:rsid w:val="006F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7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gate.ec.europa.eu/fpfis/mwikis/aidco/images/2/20/C_2014_5072_F1_ANNEX_EN_V2_P1_77417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ebgate.ec.europa.eu/fpfis/mwikis/aidco/index.php/File:N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gate.ec.europa.eu/fpfis/mwikis/aidco/images/2/2b/CSO_LA_MIP_CSO_LA_2014_2020_EN.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informe-del-taller?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EF9A-B8F6-4F5F-A328-6B18AEBF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3863</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3</cp:revision>
  <dcterms:created xsi:type="dcterms:W3CDTF">2014-09-25T10:06:00Z</dcterms:created>
  <dcterms:modified xsi:type="dcterms:W3CDTF">2014-09-25T10:06:00Z</dcterms:modified>
</cp:coreProperties>
</file>