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8975A" w14:textId="48BF2348" w:rsidR="00946C87" w:rsidRPr="00946C87" w:rsidRDefault="00946C87" w:rsidP="00946C87">
      <w:pPr>
        <w:pStyle w:val="SubTitulo"/>
        <w:rPr>
          <w:rFonts w:ascii="KlavikaBoldCaps-SC" w:hAnsi="KlavikaBoldCaps-SC"/>
          <w:b/>
          <w:lang w:val="en-GB"/>
        </w:rPr>
      </w:pPr>
      <w:r w:rsidRPr="00946C87">
        <w:rPr>
          <w:rFonts w:ascii="KlavikaBoldCaps-SC" w:hAnsi="KlavikaBoldCaps-SC"/>
          <w:b/>
          <w:lang w:val="en-GB"/>
        </w:rPr>
        <w:t>TU-DAC Forum concept note, December 2015</w:t>
      </w:r>
    </w:p>
    <w:p w14:paraId="5885BC3F" w14:textId="77777777" w:rsidR="00946C87" w:rsidRDefault="00946C87" w:rsidP="00946C87">
      <w:pPr>
        <w:pStyle w:val="Corpotexto"/>
        <w:jc w:val="both"/>
        <w:rPr>
          <w:rFonts w:ascii="Times New Roman" w:hAnsi="Times New Roman" w:cs="Times New Roman"/>
          <w:b/>
          <w:bCs/>
          <w:lang w:val="en-GB"/>
        </w:rPr>
      </w:pPr>
      <w:bookmarkStart w:id="0" w:name="_GoBack"/>
      <w:bookmarkEnd w:id="0"/>
    </w:p>
    <w:p w14:paraId="18529BDF" w14:textId="77777777" w:rsidR="00946C87" w:rsidRPr="00946C87" w:rsidRDefault="00946C87" w:rsidP="00946C87">
      <w:pPr>
        <w:pStyle w:val="Corpotexto"/>
        <w:jc w:val="both"/>
        <w:rPr>
          <w:rFonts w:ascii="Times New Roman" w:hAnsi="Times New Roman" w:cs="Times New Roman"/>
          <w:b/>
          <w:bCs/>
          <w:lang w:val="en-GB"/>
        </w:rPr>
      </w:pPr>
      <w:r w:rsidRPr="00946C87">
        <w:rPr>
          <w:rFonts w:ascii="Times New Roman" w:hAnsi="Times New Roman" w:cs="Times New Roman"/>
          <w:b/>
          <w:bCs/>
          <w:lang w:val="en-GB"/>
        </w:rPr>
        <w:t>Where we are coming from</w:t>
      </w:r>
    </w:p>
    <w:p w14:paraId="57C6E6A7" w14:textId="77777777" w:rsidR="00946C87" w:rsidRPr="00946C87" w:rsidRDefault="00946C87" w:rsidP="00946C87">
      <w:pPr>
        <w:pStyle w:val="Corpotexto"/>
        <w:spacing w:after="0"/>
        <w:rPr>
          <w:rFonts w:ascii="Times New Roman" w:hAnsi="Times New Roman" w:cs="Times New Roman"/>
          <w:bCs/>
          <w:lang w:val="en-GB"/>
        </w:rPr>
      </w:pPr>
      <w:r w:rsidRPr="00946C87">
        <w:rPr>
          <w:rFonts w:ascii="Times New Roman" w:hAnsi="Times New Roman" w:cs="Times New Roman"/>
          <w:bCs/>
          <w:lang w:val="en-GB"/>
        </w:rPr>
        <w:t xml:space="preserve">Conclusions from the previous TU-DAC forum, 2014: </w:t>
      </w:r>
    </w:p>
    <w:p w14:paraId="0E0C612C" w14:textId="048B8B6F" w:rsidR="00946C87" w:rsidRPr="00946C87" w:rsidRDefault="00946C87" w:rsidP="00946C87">
      <w:pPr>
        <w:pStyle w:val="Corpotexto"/>
        <w:rPr>
          <w:rFonts w:ascii="Times New Roman" w:hAnsi="Times New Roman" w:cs="Times New Roman"/>
          <w:bCs/>
          <w:lang w:val="en-GB"/>
        </w:rPr>
      </w:pPr>
      <w:hyperlink r:id="rId9" w:history="1">
        <w:r w:rsidRPr="00946C87">
          <w:rPr>
            <w:rStyle w:val="Hyperlink"/>
            <w:rFonts w:ascii="Times New Roman" w:hAnsi="Times New Roman" w:cs="Times New Roman"/>
            <w:bCs/>
            <w:lang w:val="en-GB"/>
          </w:rPr>
          <w:t>http://www.ituc-csi.org/IMG/pdf/summary_tu-dac_forum_final_logos.pdf</w:t>
        </w:r>
      </w:hyperlink>
      <w:r w:rsidRPr="00946C87">
        <w:rPr>
          <w:rFonts w:ascii="Times New Roman" w:hAnsi="Times New Roman" w:cs="Times New Roman"/>
          <w:bCs/>
          <w:lang w:val="en-GB"/>
        </w:rPr>
        <w:t xml:space="preserve"> </w:t>
      </w:r>
    </w:p>
    <w:p w14:paraId="0BF884DE" w14:textId="77777777" w:rsidR="00946C87" w:rsidRPr="00946C87" w:rsidRDefault="00946C87" w:rsidP="00946C87">
      <w:pPr>
        <w:pStyle w:val="Corpotexto"/>
        <w:jc w:val="both"/>
        <w:rPr>
          <w:rFonts w:ascii="Times New Roman" w:hAnsi="Times New Roman" w:cs="Times New Roman"/>
          <w:bCs/>
          <w:lang w:val="en-GB"/>
        </w:rPr>
      </w:pPr>
      <w:r w:rsidRPr="00946C87">
        <w:rPr>
          <w:rFonts w:ascii="Times New Roman" w:hAnsi="Times New Roman" w:cs="Times New Roman"/>
          <w:bCs/>
          <w:lang w:val="en-GB"/>
        </w:rPr>
        <w:t xml:space="preserve">In the dialogue between the DAC delegates and the TU representatives there was a broad consensus on the need to address economic development in an inclusive and multi-stakeholder way. References were made to different policies by national agencies (and EU) that integrate a rights based approaches to development. The role of the donors in supporting innovative approaches was also highlighted and the importance of supporting exploration of new ideas and mutual learning. Questions were raised on the issues of policy coherence, tax evasion/avoidance and the return of “tied aid”. </w:t>
      </w:r>
    </w:p>
    <w:p w14:paraId="580DEEBF" w14:textId="77777777" w:rsidR="00946C87" w:rsidRPr="00946C87" w:rsidRDefault="00946C87" w:rsidP="00946C87">
      <w:pPr>
        <w:pStyle w:val="Corpotexto"/>
        <w:jc w:val="both"/>
        <w:rPr>
          <w:rFonts w:ascii="Times New Roman" w:hAnsi="Times New Roman" w:cs="Times New Roman"/>
          <w:bCs/>
          <w:lang w:val="en-GB"/>
        </w:rPr>
      </w:pPr>
      <w:r w:rsidRPr="00946C87">
        <w:rPr>
          <w:rFonts w:ascii="Times New Roman" w:hAnsi="Times New Roman" w:cs="Times New Roman"/>
          <w:bCs/>
          <w:lang w:val="en-GB"/>
        </w:rPr>
        <w:t xml:space="preserve">Creating a </w:t>
      </w:r>
      <w:r w:rsidRPr="00946C87">
        <w:rPr>
          <w:rFonts w:ascii="Times New Roman" w:hAnsi="Times New Roman" w:cs="Times New Roman"/>
          <w:b/>
          <w:bCs/>
          <w:i/>
          <w:iCs/>
          <w:lang w:val="en-GB"/>
        </w:rPr>
        <w:t xml:space="preserve">partnership on social dialogue </w:t>
      </w:r>
      <w:r w:rsidRPr="00946C87">
        <w:rPr>
          <w:rFonts w:ascii="Times New Roman" w:hAnsi="Times New Roman" w:cs="Times New Roman"/>
          <w:bCs/>
          <w:lang w:val="en-GB"/>
        </w:rPr>
        <w:t>as a relevant “how</w:t>
      </w:r>
      <w:r w:rsidRPr="00946C87">
        <w:rPr>
          <w:rFonts w:ascii="Cambria Math" w:hAnsi="Cambria Math" w:cs="Cambria Math"/>
          <w:bCs/>
          <w:lang w:val="en-GB"/>
        </w:rPr>
        <w:t>‐</w:t>
      </w:r>
      <w:r w:rsidRPr="00946C87">
        <w:rPr>
          <w:rFonts w:ascii="Times New Roman" w:hAnsi="Times New Roman" w:cs="Times New Roman"/>
          <w:bCs/>
          <w:lang w:val="en-GB"/>
        </w:rPr>
        <w:t>to” instrument of economic and social development, especially with regard to private sector policies, was felt to be a proposal that could be explored further both in the TU</w:t>
      </w:r>
      <w:r w:rsidRPr="00946C87">
        <w:rPr>
          <w:rFonts w:ascii="Cambria Math" w:hAnsi="Cambria Math" w:cs="Cambria Math"/>
          <w:bCs/>
          <w:lang w:val="en-GB"/>
        </w:rPr>
        <w:t>‐</w:t>
      </w:r>
      <w:r w:rsidRPr="00946C87">
        <w:rPr>
          <w:rFonts w:ascii="Times New Roman" w:hAnsi="Times New Roman" w:cs="Times New Roman"/>
          <w:bCs/>
          <w:lang w:val="en-GB"/>
        </w:rPr>
        <w:t xml:space="preserve">DAC dialogue, within the framework of the GPEDC and by individual donor efforts in cooperation with the relevant actors. Social Dialogue as a governance instrument for development, can give more ownership to people, can help to increase accountability, can help strengthen domestic policies and can contribute to better redistribution policy. It is a forceful instrument for reconciliation and reconstruction, and facilitates social peace. </w:t>
      </w:r>
    </w:p>
    <w:p w14:paraId="298CF4C6" w14:textId="77777777" w:rsidR="00946C87" w:rsidRPr="00946C87" w:rsidRDefault="00946C87" w:rsidP="00946C87">
      <w:pPr>
        <w:pStyle w:val="Corpotexto"/>
        <w:jc w:val="both"/>
        <w:rPr>
          <w:rFonts w:ascii="Times New Roman" w:hAnsi="Times New Roman" w:cs="Times New Roman"/>
          <w:b/>
          <w:bCs/>
          <w:lang w:val="en-GB"/>
        </w:rPr>
      </w:pPr>
      <w:r w:rsidRPr="00946C87">
        <w:rPr>
          <w:rFonts w:ascii="Times New Roman" w:hAnsi="Times New Roman" w:cs="Times New Roman"/>
          <w:b/>
          <w:bCs/>
          <w:lang w:val="en-GB"/>
        </w:rPr>
        <w:t xml:space="preserve">Where do we want to go in the long term </w:t>
      </w:r>
    </w:p>
    <w:p w14:paraId="00BACF53" w14:textId="77777777" w:rsidR="00946C87" w:rsidRPr="00946C87" w:rsidRDefault="00946C87" w:rsidP="00946C87">
      <w:pPr>
        <w:pStyle w:val="Corpotexto"/>
        <w:numPr>
          <w:ilvl w:val="0"/>
          <w:numId w:val="1"/>
        </w:numPr>
        <w:spacing w:after="0"/>
        <w:rPr>
          <w:rFonts w:ascii="Times New Roman" w:hAnsi="Times New Roman" w:cs="Times New Roman"/>
          <w:bCs/>
          <w:lang w:val="en-GB"/>
        </w:rPr>
      </w:pPr>
      <w:r w:rsidRPr="00946C87">
        <w:rPr>
          <w:rFonts w:ascii="Times New Roman" w:hAnsi="Times New Roman" w:cs="Times New Roman"/>
          <w:bCs/>
          <w:lang w:val="en-GB"/>
        </w:rPr>
        <w:t xml:space="preserve">Social dialogue is regarded as a key input for a sustainable development process, especially with the increasing focus on creating inclusive partnerships; </w:t>
      </w:r>
    </w:p>
    <w:p w14:paraId="19B066BE" w14:textId="77777777" w:rsidR="00946C87" w:rsidRPr="00946C87" w:rsidRDefault="00946C87" w:rsidP="00946C87">
      <w:pPr>
        <w:pStyle w:val="Corpotexto"/>
        <w:numPr>
          <w:ilvl w:val="0"/>
          <w:numId w:val="1"/>
        </w:numPr>
        <w:spacing w:after="0"/>
        <w:rPr>
          <w:rFonts w:ascii="Times New Roman" w:hAnsi="Times New Roman" w:cs="Times New Roman"/>
          <w:bCs/>
          <w:lang w:val="en-GB"/>
        </w:rPr>
      </w:pPr>
      <w:r w:rsidRPr="00946C87">
        <w:rPr>
          <w:rFonts w:ascii="Times New Roman" w:hAnsi="Times New Roman" w:cs="Times New Roman"/>
          <w:bCs/>
          <w:lang w:val="en-GB"/>
        </w:rPr>
        <w:t>Promote social dialogue as MOI in the SDGs implementation agenda;</w:t>
      </w:r>
    </w:p>
    <w:p w14:paraId="1F62345C" w14:textId="77777777" w:rsidR="00946C87" w:rsidRPr="00946C87" w:rsidRDefault="00946C87" w:rsidP="00946C87">
      <w:pPr>
        <w:pStyle w:val="Corpotexto"/>
        <w:numPr>
          <w:ilvl w:val="0"/>
          <w:numId w:val="1"/>
        </w:numPr>
        <w:spacing w:after="0"/>
        <w:rPr>
          <w:rFonts w:ascii="Times New Roman" w:hAnsi="Times New Roman" w:cs="Times New Roman"/>
          <w:bCs/>
          <w:lang w:val="en-GB"/>
        </w:rPr>
      </w:pPr>
      <w:r w:rsidRPr="00946C87">
        <w:rPr>
          <w:rFonts w:ascii="Times New Roman" w:hAnsi="Times New Roman" w:cs="Times New Roman"/>
          <w:bCs/>
          <w:lang w:val="en-GB"/>
        </w:rPr>
        <w:t xml:space="preserve">Promote social dialogue within Donors and developing countries governments development strategies; </w:t>
      </w:r>
    </w:p>
    <w:p w14:paraId="157F6848" w14:textId="77777777" w:rsidR="00946C87" w:rsidRPr="00946C87" w:rsidRDefault="00946C87" w:rsidP="00946C87">
      <w:pPr>
        <w:pStyle w:val="Corpotexto"/>
        <w:numPr>
          <w:ilvl w:val="0"/>
          <w:numId w:val="1"/>
        </w:numPr>
        <w:spacing w:after="0"/>
        <w:rPr>
          <w:rFonts w:ascii="Times New Roman" w:hAnsi="Times New Roman" w:cs="Times New Roman"/>
          <w:bCs/>
          <w:lang w:val="en-GB"/>
        </w:rPr>
      </w:pPr>
      <w:r w:rsidRPr="00946C87">
        <w:rPr>
          <w:rFonts w:ascii="Times New Roman" w:hAnsi="Times New Roman" w:cs="Times New Roman"/>
          <w:bCs/>
          <w:lang w:val="en-GB"/>
        </w:rPr>
        <w:lastRenderedPageBreak/>
        <w:t xml:space="preserve">Specific allocation of financial resources to support social dialogue and social partners in developing countries; </w:t>
      </w:r>
    </w:p>
    <w:p w14:paraId="53D04C7D" w14:textId="77777777" w:rsidR="00946C87" w:rsidRPr="00946C87" w:rsidRDefault="00946C87" w:rsidP="00946C87">
      <w:pPr>
        <w:pStyle w:val="Corpotexto"/>
        <w:numPr>
          <w:ilvl w:val="0"/>
          <w:numId w:val="1"/>
        </w:numPr>
        <w:spacing w:after="0"/>
        <w:rPr>
          <w:rFonts w:ascii="Times New Roman" w:hAnsi="Times New Roman" w:cs="Times New Roman"/>
          <w:bCs/>
          <w:lang w:val="en-GB"/>
        </w:rPr>
      </w:pPr>
      <w:r w:rsidRPr="00946C87">
        <w:rPr>
          <w:rFonts w:ascii="Times New Roman" w:hAnsi="Times New Roman" w:cs="Times New Roman"/>
          <w:bCs/>
          <w:lang w:val="en-GB"/>
        </w:rPr>
        <w:t>Mitigate the growing/overwhelming priority given to “private sector” in development issues by governments and international institutions and tame corporate power in development cooperation policies;</w:t>
      </w:r>
    </w:p>
    <w:p w14:paraId="79132DB0" w14:textId="77777777" w:rsidR="00946C87" w:rsidRPr="00946C87" w:rsidRDefault="00946C87" w:rsidP="00946C87">
      <w:pPr>
        <w:pStyle w:val="Corpotexto"/>
        <w:numPr>
          <w:ilvl w:val="0"/>
          <w:numId w:val="1"/>
        </w:numPr>
        <w:spacing w:after="0"/>
        <w:rPr>
          <w:rFonts w:ascii="Times New Roman" w:hAnsi="Times New Roman" w:cs="Times New Roman"/>
          <w:bCs/>
          <w:lang w:val="en-GB"/>
        </w:rPr>
      </w:pPr>
      <w:r w:rsidRPr="00946C87">
        <w:rPr>
          <w:rFonts w:ascii="Times New Roman" w:hAnsi="Times New Roman" w:cs="Times New Roman"/>
          <w:bCs/>
          <w:lang w:val="en-GB"/>
        </w:rPr>
        <w:t>Strengthen alliances with institutional actors that can support this agenda at international level.</w:t>
      </w:r>
    </w:p>
    <w:p w14:paraId="2E6C0723" w14:textId="77777777" w:rsidR="00946C87" w:rsidRPr="00946C87" w:rsidRDefault="00946C87" w:rsidP="00946C87">
      <w:pPr>
        <w:pStyle w:val="Corpotexto"/>
        <w:spacing w:after="0"/>
        <w:rPr>
          <w:rFonts w:ascii="Times New Roman" w:hAnsi="Times New Roman" w:cs="Times New Roman"/>
          <w:bCs/>
          <w:lang w:val="en-GB"/>
        </w:rPr>
      </w:pPr>
    </w:p>
    <w:p w14:paraId="6FCCAC1A" w14:textId="77777777" w:rsidR="00946C87" w:rsidRPr="00946C87" w:rsidRDefault="00946C87" w:rsidP="00946C87">
      <w:pPr>
        <w:pStyle w:val="Corpotexto"/>
        <w:jc w:val="both"/>
        <w:rPr>
          <w:rFonts w:ascii="Times New Roman" w:hAnsi="Times New Roman" w:cs="Times New Roman"/>
          <w:b/>
          <w:bCs/>
          <w:lang w:val="en-GB"/>
        </w:rPr>
      </w:pPr>
      <w:r w:rsidRPr="00946C87">
        <w:rPr>
          <w:rFonts w:ascii="Times New Roman" w:hAnsi="Times New Roman" w:cs="Times New Roman"/>
          <w:b/>
          <w:bCs/>
          <w:lang w:val="en-GB"/>
        </w:rPr>
        <w:t>Deliverables of the next TU-DAC Forum</w:t>
      </w:r>
    </w:p>
    <w:p w14:paraId="2444651D" w14:textId="77777777" w:rsidR="00946C87" w:rsidRPr="00946C87" w:rsidRDefault="00946C87" w:rsidP="00946C87">
      <w:pPr>
        <w:pStyle w:val="Corpotexto"/>
        <w:numPr>
          <w:ilvl w:val="0"/>
          <w:numId w:val="1"/>
        </w:numPr>
        <w:spacing w:after="0"/>
        <w:rPr>
          <w:rFonts w:ascii="Times New Roman" w:hAnsi="Times New Roman" w:cs="Times New Roman"/>
          <w:bCs/>
          <w:lang w:val="en-GB"/>
        </w:rPr>
      </w:pPr>
      <w:r w:rsidRPr="00946C87">
        <w:rPr>
          <w:rFonts w:ascii="Times New Roman" w:hAnsi="Times New Roman" w:cs="Times New Roman"/>
          <w:bCs/>
          <w:lang w:val="en-GB"/>
        </w:rPr>
        <w:t>Starting the debate on the developmental role of social dialogue with DAC members;</w:t>
      </w:r>
    </w:p>
    <w:p w14:paraId="6EE7BFC8" w14:textId="77777777" w:rsidR="00946C87" w:rsidRPr="00946C87" w:rsidRDefault="00946C87" w:rsidP="00946C87">
      <w:pPr>
        <w:pStyle w:val="Corpotexto"/>
        <w:numPr>
          <w:ilvl w:val="0"/>
          <w:numId w:val="1"/>
        </w:numPr>
        <w:spacing w:after="0"/>
        <w:rPr>
          <w:rFonts w:ascii="Times New Roman" w:hAnsi="Times New Roman" w:cs="Times New Roman"/>
          <w:bCs/>
          <w:lang w:val="en-GB"/>
        </w:rPr>
      </w:pPr>
      <w:r w:rsidRPr="00946C87">
        <w:rPr>
          <w:rFonts w:ascii="Times New Roman" w:hAnsi="Times New Roman" w:cs="Times New Roman"/>
          <w:bCs/>
          <w:lang w:val="en-GB"/>
        </w:rPr>
        <w:t>Providing and discussing preliminary findings from ‘evidence oriented research’ at country level (Indonesia, Brazil and Ghana/Senegal);</w:t>
      </w:r>
    </w:p>
    <w:p w14:paraId="4BB548FA" w14:textId="77777777" w:rsidR="00946C87" w:rsidRPr="00946C87" w:rsidRDefault="00946C87" w:rsidP="00946C87">
      <w:pPr>
        <w:pStyle w:val="Corpotexto"/>
        <w:numPr>
          <w:ilvl w:val="0"/>
          <w:numId w:val="1"/>
        </w:numPr>
        <w:spacing w:after="0"/>
        <w:rPr>
          <w:rFonts w:ascii="Times New Roman" w:hAnsi="Times New Roman" w:cs="Times New Roman"/>
          <w:bCs/>
          <w:lang w:val="en-GB"/>
        </w:rPr>
      </w:pPr>
      <w:r w:rsidRPr="00946C87">
        <w:rPr>
          <w:rFonts w:ascii="Times New Roman" w:hAnsi="Times New Roman" w:cs="Times New Roman"/>
          <w:bCs/>
          <w:lang w:val="en-GB"/>
        </w:rPr>
        <w:t>Setting the scene for possible engagement of friendly governments (this could be already at the level of further evidence gathering and for upholding final recommendations in relevant international fora on development);</w:t>
      </w:r>
    </w:p>
    <w:p w14:paraId="04BD7943" w14:textId="77777777" w:rsidR="00946C87" w:rsidRPr="00946C87" w:rsidRDefault="00946C87" w:rsidP="00946C87">
      <w:pPr>
        <w:pStyle w:val="Corpotexto"/>
        <w:numPr>
          <w:ilvl w:val="0"/>
          <w:numId w:val="1"/>
        </w:numPr>
        <w:rPr>
          <w:rFonts w:ascii="Times New Roman" w:hAnsi="Times New Roman" w:cs="Times New Roman"/>
          <w:bCs/>
          <w:lang w:val="en-GB"/>
        </w:rPr>
      </w:pPr>
      <w:r w:rsidRPr="00946C87">
        <w:rPr>
          <w:rFonts w:ascii="Times New Roman" w:hAnsi="Times New Roman" w:cs="Times New Roman"/>
          <w:bCs/>
          <w:lang w:val="en-GB"/>
        </w:rPr>
        <w:t>Keeping the momentum towards a formalisation of a permanent “TU-DAC dialogue”.</w:t>
      </w:r>
    </w:p>
    <w:p w14:paraId="35F75DB1" w14:textId="53A2FB3A" w:rsidR="00946C87" w:rsidRPr="00946C87" w:rsidRDefault="00946C87" w:rsidP="00946C87">
      <w:pPr>
        <w:pStyle w:val="Corpotexto"/>
        <w:jc w:val="both"/>
        <w:rPr>
          <w:rFonts w:ascii="Times New Roman" w:hAnsi="Times New Roman" w:cs="Times New Roman"/>
          <w:b/>
          <w:bCs/>
          <w:lang w:val="en-GB"/>
        </w:rPr>
      </w:pPr>
      <w:r w:rsidRPr="00946C87">
        <w:rPr>
          <w:rFonts w:ascii="Times New Roman" w:hAnsi="Times New Roman" w:cs="Times New Roman"/>
          <w:b/>
          <w:bCs/>
          <w:lang w:val="en-GB"/>
        </w:rPr>
        <w:t xml:space="preserve">Key </w:t>
      </w:r>
      <w:r>
        <w:rPr>
          <w:rFonts w:ascii="Times New Roman" w:hAnsi="Times New Roman" w:cs="Times New Roman"/>
          <w:b/>
          <w:bCs/>
          <w:lang w:val="en-GB"/>
        </w:rPr>
        <w:t>players</w:t>
      </w:r>
    </w:p>
    <w:p w14:paraId="31396A7F" w14:textId="77777777" w:rsidR="00946C87" w:rsidRPr="00946C87" w:rsidRDefault="00946C87" w:rsidP="00946C87">
      <w:pPr>
        <w:pStyle w:val="Corpotexto"/>
        <w:numPr>
          <w:ilvl w:val="0"/>
          <w:numId w:val="1"/>
        </w:numPr>
        <w:spacing w:after="0"/>
        <w:rPr>
          <w:rFonts w:ascii="Times New Roman" w:hAnsi="Times New Roman" w:cs="Times New Roman"/>
          <w:bCs/>
          <w:lang w:val="en-GB"/>
        </w:rPr>
      </w:pPr>
      <w:r w:rsidRPr="00946C87">
        <w:rPr>
          <w:rFonts w:ascii="Times New Roman" w:hAnsi="Times New Roman" w:cs="Times New Roman"/>
          <w:bCs/>
          <w:lang w:val="en-GB"/>
        </w:rPr>
        <w:t>DAC members (i.e. “Friends of Decent Work”, Swedish gov. on GND) and the EU;</w:t>
      </w:r>
    </w:p>
    <w:p w14:paraId="02B7469C" w14:textId="77777777" w:rsidR="00946C87" w:rsidRPr="00946C87" w:rsidRDefault="00946C87" w:rsidP="00946C87">
      <w:pPr>
        <w:pStyle w:val="Corpotexto"/>
        <w:numPr>
          <w:ilvl w:val="0"/>
          <w:numId w:val="1"/>
        </w:numPr>
        <w:spacing w:after="0"/>
        <w:rPr>
          <w:rFonts w:ascii="Times New Roman" w:hAnsi="Times New Roman" w:cs="Times New Roman"/>
          <w:bCs/>
          <w:lang w:val="en-GB"/>
        </w:rPr>
      </w:pPr>
      <w:r w:rsidRPr="00946C87">
        <w:rPr>
          <w:rFonts w:ascii="Times New Roman" w:hAnsi="Times New Roman" w:cs="Times New Roman"/>
          <w:bCs/>
          <w:lang w:val="en-GB"/>
        </w:rPr>
        <w:t>Developing countries governments reps;</w:t>
      </w:r>
    </w:p>
    <w:p w14:paraId="4C1C7230" w14:textId="5FDA65F1" w:rsidR="00946C87" w:rsidRPr="00946C87" w:rsidRDefault="00946C87" w:rsidP="00946C87">
      <w:pPr>
        <w:pStyle w:val="Corpotexto"/>
        <w:numPr>
          <w:ilvl w:val="0"/>
          <w:numId w:val="1"/>
        </w:numPr>
        <w:spacing w:after="0"/>
        <w:rPr>
          <w:rFonts w:ascii="Times New Roman" w:hAnsi="Times New Roman" w:cs="Times New Roman"/>
          <w:bCs/>
          <w:lang w:val="en-GB"/>
        </w:rPr>
      </w:pPr>
      <w:r w:rsidRPr="00946C87">
        <w:rPr>
          <w:rFonts w:ascii="Times New Roman" w:hAnsi="Times New Roman" w:cs="Times New Roman"/>
          <w:bCs/>
          <w:lang w:val="en-GB"/>
        </w:rPr>
        <w:t>ILO</w:t>
      </w:r>
      <w:r>
        <w:rPr>
          <w:rFonts w:ascii="Times New Roman" w:hAnsi="Times New Roman" w:cs="Times New Roman"/>
          <w:bCs/>
          <w:lang w:val="en-GB"/>
        </w:rPr>
        <w:t>;</w:t>
      </w:r>
    </w:p>
    <w:p w14:paraId="7A557906" w14:textId="3AC98404" w:rsidR="00946C87" w:rsidRPr="00946C87" w:rsidRDefault="00946C87" w:rsidP="00946C87">
      <w:pPr>
        <w:pStyle w:val="Corpotexto"/>
        <w:numPr>
          <w:ilvl w:val="0"/>
          <w:numId w:val="1"/>
        </w:numPr>
        <w:rPr>
          <w:rFonts w:ascii="Times New Roman" w:hAnsi="Times New Roman" w:cs="Times New Roman"/>
          <w:bCs/>
          <w:lang w:val="en-GB"/>
        </w:rPr>
      </w:pPr>
      <w:r w:rsidRPr="00946C87">
        <w:rPr>
          <w:rFonts w:ascii="Times New Roman" w:hAnsi="Times New Roman" w:cs="Times New Roman"/>
          <w:bCs/>
          <w:lang w:val="en-GB"/>
        </w:rPr>
        <w:t>Employers and donor countries Development Finance Institutions (DFIs)</w:t>
      </w:r>
      <w:r>
        <w:rPr>
          <w:rFonts w:ascii="Times New Roman" w:hAnsi="Times New Roman" w:cs="Times New Roman"/>
          <w:bCs/>
          <w:lang w:val="en-GB"/>
        </w:rPr>
        <w:t>.</w:t>
      </w:r>
    </w:p>
    <w:p w14:paraId="01645E63" w14:textId="77777777" w:rsidR="00946C87" w:rsidRPr="00946C87" w:rsidRDefault="00946C87" w:rsidP="00064020">
      <w:pPr>
        <w:pStyle w:val="Corpotexto"/>
        <w:jc w:val="both"/>
        <w:rPr>
          <w:rFonts w:ascii="Times New Roman" w:hAnsi="Times New Roman" w:cs="Times New Roman"/>
          <w:bCs/>
          <w:lang w:val="en-GB"/>
        </w:rPr>
      </w:pPr>
    </w:p>
    <w:sectPr w:rsidR="00946C87" w:rsidRPr="00946C87" w:rsidSect="00064020">
      <w:headerReference w:type="even" r:id="rId10"/>
      <w:headerReference w:type="default" r:id="rId11"/>
      <w:headerReference w:type="first" r:id="rId12"/>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99A37" w14:textId="77777777" w:rsidR="001351B9" w:rsidRDefault="001351B9" w:rsidP="00463227">
      <w:pPr>
        <w:spacing w:after="0" w:line="240" w:lineRule="auto"/>
      </w:pPr>
      <w:r>
        <w:separator/>
      </w:r>
    </w:p>
  </w:endnote>
  <w:endnote w:type="continuationSeparator" w:id="0">
    <w:p w14:paraId="3EBB03EE" w14:textId="77777777" w:rsidR="001351B9" w:rsidRDefault="001351B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KlavikaBoldCaps-SC">
    <w:altName w:val="Segoe UI Semibold"/>
    <w:charset w:val="00"/>
    <w:family w:val="auto"/>
    <w:pitch w:val="variable"/>
    <w:sig w:usb0="00000001" w:usb1="5000204A"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37B11" w14:textId="77777777" w:rsidR="001351B9" w:rsidRDefault="001351B9" w:rsidP="00463227">
      <w:pPr>
        <w:spacing w:after="0" w:line="240" w:lineRule="auto"/>
      </w:pPr>
      <w:r>
        <w:separator/>
      </w:r>
    </w:p>
  </w:footnote>
  <w:footnote w:type="continuationSeparator" w:id="0">
    <w:p w14:paraId="6D742B55" w14:textId="77777777" w:rsidR="001351B9" w:rsidRDefault="001351B9"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C12731">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80922755"/>
      <w:docPartObj>
        <w:docPartGallery w:val="Page Numbers (Top of Page)"/>
        <w:docPartUnique/>
      </w:docPartObj>
    </w:sdtPr>
    <w:sdtEndPr>
      <w:rPr>
        <w:noProof/>
      </w:rPr>
    </w:sdtEndPr>
    <w:sdtContent>
      <w:p w14:paraId="153B8139" w14:textId="75C5FFC6" w:rsidR="00946C87" w:rsidRPr="00946C87" w:rsidRDefault="00946C87">
        <w:pPr>
          <w:pStyle w:val="Header"/>
          <w:jc w:val="center"/>
          <w:rPr>
            <w:rFonts w:ascii="Times New Roman" w:hAnsi="Times New Roman" w:cs="Times New Roman"/>
          </w:rPr>
        </w:pPr>
        <w:r w:rsidRPr="00946C87">
          <w:rPr>
            <w:rFonts w:ascii="Times New Roman" w:hAnsi="Times New Roman" w:cs="Times New Roman"/>
          </w:rPr>
          <w:fldChar w:fldCharType="begin"/>
        </w:r>
        <w:r w:rsidRPr="00946C87">
          <w:rPr>
            <w:rFonts w:ascii="Times New Roman" w:hAnsi="Times New Roman" w:cs="Times New Roman"/>
          </w:rPr>
          <w:instrText xml:space="preserve"> PAGE   \* MERGEFORMAT </w:instrText>
        </w:r>
        <w:r w:rsidRPr="00946C87">
          <w:rPr>
            <w:rFonts w:ascii="Times New Roman" w:hAnsi="Times New Roman" w:cs="Times New Roman"/>
          </w:rPr>
          <w:fldChar w:fldCharType="separate"/>
        </w:r>
        <w:r w:rsidR="00C12731">
          <w:rPr>
            <w:rFonts w:ascii="Times New Roman" w:hAnsi="Times New Roman" w:cs="Times New Roman"/>
            <w:noProof/>
          </w:rPr>
          <w:t>1</w:t>
        </w:r>
        <w:r w:rsidRPr="00946C87">
          <w:rPr>
            <w:rFonts w:ascii="Times New Roman" w:hAnsi="Times New Roman" w:cs="Times New Roman"/>
            <w:noProof/>
          </w:rPr>
          <w:fldChar w:fldCharType="end"/>
        </w:r>
      </w:p>
    </w:sdtContent>
  </w:sdt>
  <w:p w14:paraId="625B8EE3" w14:textId="668139DA" w:rsidR="00463227" w:rsidRPr="00946C87" w:rsidRDefault="00C12731">
    <w:pPr>
      <w:pStyle w:val="Header"/>
      <w:rPr>
        <w:rFonts w:ascii="Times New Roman" w:hAnsi="Times New Roman" w:cs="Times New Roman"/>
      </w:rPr>
    </w:pPr>
    <w:r w:rsidRPr="00946C87">
      <w:rPr>
        <w:rFonts w:ascii="Times New Roman" w:hAnsi="Times New Roman" w:cs="Times New Roman"/>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C12731">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E75"/>
    <w:multiLevelType w:val="hybridMultilevel"/>
    <w:tmpl w:val="9578C77C"/>
    <w:lvl w:ilvl="0" w:tplc="F75C2CB6">
      <w:start w:val="11"/>
      <w:numFmt w:val="bullet"/>
      <w:lvlText w:val="-"/>
      <w:lvlJc w:val="left"/>
      <w:pPr>
        <w:ind w:left="360" w:hanging="360"/>
      </w:pPr>
      <w:rPr>
        <w:rFonts w:ascii="Times New Roman" w:eastAsiaTheme="minorEastAsia"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64020"/>
    <w:rsid w:val="001175CD"/>
    <w:rsid w:val="001351B9"/>
    <w:rsid w:val="002F4CD7"/>
    <w:rsid w:val="003052FB"/>
    <w:rsid w:val="003A0DF9"/>
    <w:rsid w:val="00463227"/>
    <w:rsid w:val="005613F6"/>
    <w:rsid w:val="00583C45"/>
    <w:rsid w:val="005A7105"/>
    <w:rsid w:val="00606ABE"/>
    <w:rsid w:val="00946C87"/>
    <w:rsid w:val="00A701EB"/>
    <w:rsid w:val="00B50CDC"/>
    <w:rsid w:val="00B55C5F"/>
    <w:rsid w:val="00BC2F49"/>
    <w:rsid w:val="00C12731"/>
    <w:rsid w:val="00C802C3"/>
    <w:rsid w:val="00C97769"/>
    <w:rsid w:val="00D945BB"/>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c-csi.org/IMG/pdf/summary_tu-dac_forum_final_logo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64E5-D954-43CF-9E17-9078F7B3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document</dc:title>
  <dc:creator>Carol</dc:creator>
  <cp:lastModifiedBy>Lanfranco, Joan</cp:lastModifiedBy>
  <cp:revision>4</cp:revision>
  <cp:lastPrinted>2014-10-16T08:32:00Z</cp:lastPrinted>
  <dcterms:created xsi:type="dcterms:W3CDTF">2015-09-21T14:23:00Z</dcterms:created>
  <dcterms:modified xsi:type="dcterms:W3CDTF">2015-09-21T14:32:00Z</dcterms:modified>
</cp:coreProperties>
</file>