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B338F3" w:rsidRDefault="0069704F" w:rsidP="00B338F3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7017166C" wp14:editId="40C421AD">
            <wp:extent cx="2704699" cy="993563"/>
            <wp:effectExtent l="0" t="0" r="635" b="0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65" cy="10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22" w:rsidRPr="001D7E91" w:rsidRDefault="00312322" w:rsidP="00CE2738">
      <w:pPr>
        <w:pStyle w:val="Title"/>
        <w:spacing w:after="120"/>
        <w:jc w:val="center"/>
        <w:rPr>
          <w:b/>
          <w:bCs/>
          <w:sz w:val="28"/>
          <w:szCs w:val="36"/>
        </w:rPr>
      </w:pPr>
    </w:p>
    <w:p w:rsidR="000E5730" w:rsidRPr="00681EDC" w:rsidRDefault="00557966" w:rsidP="000E5730">
      <w:pPr>
        <w:pStyle w:val="Title"/>
        <w:spacing w:after="120"/>
        <w:jc w:val="center"/>
        <w:rPr>
          <w:b/>
          <w:bCs/>
          <w:sz w:val="36"/>
          <w:szCs w:val="36"/>
        </w:rPr>
      </w:pPr>
      <w:r w:rsidRPr="00681EDC">
        <w:rPr>
          <w:b/>
          <w:bCs/>
          <w:sz w:val="36"/>
          <w:szCs w:val="36"/>
        </w:rPr>
        <w:t xml:space="preserve">TUDCN </w:t>
      </w:r>
      <w:r w:rsidR="009C764D" w:rsidRPr="009C764D">
        <w:rPr>
          <w:b/>
          <w:bCs/>
          <w:sz w:val="36"/>
          <w:szCs w:val="36"/>
        </w:rPr>
        <w:t>SEMINAR ON THE PRIVATE SECTOR IN DEVELOPMENT</w:t>
      </w:r>
    </w:p>
    <w:p w:rsidR="009C764D" w:rsidRPr="00AE3FB2" w:rsidRDefault="009C764D" w:rsidP="006A395B">
      <w:pPr>
        <w:spacing w:after="0"/>
        <w:jc w:val="center"/>
        <w:rPr>
          <w:rFonts w:ascii="Arial" w:hAnsi="Arial" w:cs="Arial"/>
          <w:szCs w:val="24"/>
          <w:lang w:val="es-ES_tradnl"/>
        </w:rPr>
      </w:pPr>
      <w:r w:rsidRPr="00AE3FB2">
        <w:rPr>
          <w:rFonts w:ascii="Arial" w:hAnsi="Arial" w:cs="Arial"/>
          <w:szCs w:val="24"/>
          <w:lang w:val="es-ES_tradnl"/>
        </w:rPr>
        <w:t>28-30 OCTOBER 2013</w:t>
      </w:r>
    </w:p>
    <w:p w:rsidR="00233A6A" w:rsidRPr="00AE3FB2" w:rsidRDefault="00233A6A" w:rsidP="006A395B">
      <w:pPr>
        <w:spacing w:after="0"/>
        <w:jc w:val="center"/>
        <w:rPr>
          <w:rFonts w:ascii="Arial" w:hAnsi="Arial" w:cs="Arial"/>
          <w:szCs w:val="24"/>
          <w:lang w:val="es-ES_tradnl"/>
        </w:rPr>
      </w:pPr>
      <w:r w:rsidRPr="00AE3FB2">
        <w:rPr>
          <w:rFonts w:ascii="Arial" w:hAnsi="Arial" w:cs="Arial"/>
          <w:szCs w:val="24"/>
          <w:lang w:val="es-ES_tradnl"/>
        </w:rPr>
        <w:t xml:space="preserve">UGT - Sala de les </w:t>
      </w:r>
      <w:r w:rsidRPr="00AE3FB2">
        <w:rPr>
          <w:rFonts w:ascii="Arial" w:hAnsi="Arial" w:cs="Arial"/>
          <w:szCs w:val="24"/>
          <w:lang w:val="ca-ES"/>
        </w:rPr>
        <w:t>Brigades Internacionals</w:t>
      </w:r>
      <w:r w:rsidRPr="00AE3FB2">
        <w:rPr>
          <w:rFonts w:ascii="Arial" w:hAnsi="Arial" w:cs="Arial"/>
          <w:szCs w:val="24"/>
          <w:lang w:val="es-ES_tradnl"/>
        </w:rPr>
        <w:t xml:space="preserve"> </w:t>
      </w:r>
    </w:p>
    <w:p w:rsidR="00F971A6" w:rsidRPr="00AE3FB2" w:rsidRDefault="00F971A6" w:rsidP="00381C4F">
      <w:pPr>
        <w:spacing w:after="0"/>
        <w:jc w:val="center"/>
        <w:rPr>
          <w:rFonts w:ascii="Arial" w:hAnsi="Arial" w:cs="Arial"/>
          <w:szCs w:val="24"/>
          <w:lang w:val="es-ES_tradnl"/>
        </w:rPr>
      </w:pPr>
      <w:r w:rsidRPr="00AE3FB2">
        <w:rPr>
          <w:rFonts w:ascii="Arial" w:hAnsi="Arial" w:cs="Arial"/>
          <w:szCs w:val="24"/>
          <w:lang w:val="es-ES_tradnl"/>
        </w:rPr>
        <w:t>La Rambla de Santa Mónica, 10</w:t>
      </w:r>
    </w:p>
    <w:p w:rsidR="009C764D" w:rsidRPr="00AE3FB2" w:rsidRDefault="00F971A6" w:rsidP="00381C4F">
      <w:pPr>
        <w:spacing w:after="0"/>
        <w:jc w:val="center"/>
        <w:rPr>
          <w:rFonts w:ascii="Arial" w:hAnsi="Arial" w:cs="Arial"/>
          <w:szCs w:val="24"/>
          <w:lang w:val="es-ES_tradnl"/>
        </w:rPr>
      </w:pPr>
      <w:r w:rsidRPr="00AE3FB2">
        <w:rPr>
          <w:rFonts w:ascii="Arial" w:hAnsi="Arial" w:cs="Arial"/>
          <w:szCs w:val="24"/>
          <w:lang w:val="es-ES_tradnl"/>
        </w:rPr>
        <w:t>Barcelona</w:t>
      </w:r>
    </w:p>
    <w:p w:rsidR="005B61B8" w:rsidRPr="00F971A6" w:rsidRDefault="005B61B8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es-ES_tradnl"/>
        </w:rPr>
      </w:pPr>
    </w:p>
    <w:p w:rsidR="009C764D" w:rsidRPr="008B0997" w:rsidRDefault="009C764D" w:rsidP="009C764D">
      <w:pPr>
        <w:spacing w:after="0"/>
        <w:rPr>
          <w:b/>
          <w:u w:val="single"/>
        </w:rPr>
      </w:pPr>
      <w:r>
        <w:rPr>
          <w:b/>
          <w:u w:val="single"/>
        </w:rPr>
        <w:t>Seminar objectives</w:t>
      </w:r>
      <w:r w:rsidRPr="008B0997">
        <w:rPr>
          <w:b/>
          <w:u w:val="single"/>
        </w:rPr>
        <w:t>:</w:t>
      </w:r>
    </w:p>
    <w:p w:rsidR="009C764D" w:rsidRDefault="00E727C3" w:rsidP="00F971A6">
      <w:pPr>
        <w:pStyle w:val="ListParagraph"/>
        <w:numPr>
          <w:ilvl w:val="0"/>
          <w:numId w:val="14"/>
        </w:numPr>
        <w:jc w:val="both"/>
      </w:pPr>
      <w:r>
        <w:t>E</w:t>
      </w:r>
      <w:r w:rsidR="002174B6">
        <w:t>ndorse shared analysis and vision on the role of private sector in development: b</w:t>
      </w:r>
      <w:r w:rsidR="00276A55">
        <w:t>rainstorming</w:t>
      </w:r>
      <w:r w:rsidR="009C764D" w:rsidRPr="008B0997">
        <w:t xml:space="preserve"> analysis </w:t>
      </w:r>
      <w:r w:rsidR="00276A55">
        <w:t xml:space="preserve">on the basis of the </w:t>
      </w:r>
      <w:hyperlink r:id="rId10" w:history="1">
        <w:r w:rsidR="00276A55" w:rsidRPr="00F971A6">
          <w:rPr>
            <w:rStyle w:val="Hyperlink"/>
          </w:rPr>
          <w:t xml:space="preserve">TUDCN </w:t>
        </w:r>
        <w:r w:rsidR="009C764D" w:rsidRPr="00F971A6">
          <w:rPr>
            <w:rStyle w:val="Hyperlink"/>
          </w:rPr>
          <w:t xml:space="preserve">background </w:t>
        </w:r>
        <w:r w:rsidR="00F971A6" w:rsidRPr="00F971A6">
          <w:rPr>
            <w:rStyle w:val="Hyperlink"/>
          </w:rPr>
          <w:t xml:space="preserve">discussion </w:t>
        </w:r>
        <w:r w:rsidR="009C764D" w:rsidRPr="00F971A6">
          <w:rPr>
            <w:rStyle w:val="Hyperlink"/>
          </w:rPr>
          <w:t>document</w:t>
        </w:r>
      </w:hyperlink>
      <w:r w:rsidR="00276A55">
        <w:t>;</w:t>
      </w:r>
    </w:p>
    <w:p w:rsidR="00E727C3" w:rsidRPr="008B0997" w:rsidRDefault="00E727C3" w:rsidP="00E727C3">
      <w:pPr>
        <w:pStyle w:val="ListParagraph"/>
        <w:jc w:val="both"/>
      </w:pPr>
    </w:p>
    <w:p w:rsidR="002174B6" w:rsidRDefault="00E727C3" w:rsidP="00F971A6">
      <w:pPr>
        <w:pStyle w:val="ListParagraph"/>
        <w:numPr>
          <w:ilvl w:val="0"/>
          <w:numId w:val="14"/>
        </w:numPr>
        <w:jc w:val="both"/>
      </w:pPr>
      <w:r>
        <w:t>S</w:t>
      </w:r>
      <w:r w:rsidR="002174B6">
        <w:t>trengthen</w:t>
      </w:r>
      <w:r w:rsidR="002174B6" w:rsidRPr="008B0997">
        <w:t xml:space="preserve"> advocacy </w:t>
      </w:r>
      <w:r w:rsidR="002174B6">
        <w:t xml:space="preserve">capacity of trade unions </w:t>
      </w:r>
      <w:r w:rsidR="002174B6" w:rsidRPr="008B0997">
        <w:t>at national, regional and international level</w:t>
      </w:r>
      <w:r w:rsidR="002174B6">
        <w:t>: d</w:t>
      </w:r>
      <w:r w:rsidR="009C764D" w:rsidRPr="008B0997">
        <w:t>iscuss</w:t>
      </w:r>
      <w:r w:rsidR="00276A55">
        <w:t>ing</w:t>
      </w:r>
      <w:r w:rsidR="009C764D" w:rsidRPr="008B0997">
        <w:t xml:space="preserve"> and adopt</w:t>
      </w:r>
      <w:r w:rsidR="00276A55">
        <w:t>ing</w:t>
      </w:r>
      <w:r w:rsidR="009C764D" w:rsidRPr="008B0997">
        <w:t xml:space="preserve"> T</w:t>
      </w:r>
      <w:r w:rsidR="00276A55">
        <w:t xml:space="preserve">rade </w:t>
      </w:r>
      <w:r w:rsidR="009C764D" w:rsidRPr="008B0997">
        <w:t>U</w:t>
      </w:r>
      <w:r w:rsidR="00276A55">
        <w:t>nion</w:t>
      </w:r>
      <w:r w:rsidR="009C764D" w:rsidRPr="008B0997">
        <w:t xml:space="preserve"> </w:t>
      </w:r>
      <w:r w:rsidR="002174B6">
        <w:t xml:space="preserve">priority </w:t>
      </w:r>
      <w:r w:rsidR="009C764D" w:rsidRPr="008B0997">
        <w:t>messages on Private Sector in Development</w:t>
      </w:r>
      <w:r w:rsidR="002174B6">
        <w:t>.</w:t>
      </w:r>
      <w:r w:rsidR="009C764D" w:rsidRPr="008B0997">
        <w:t xml:space="preserve"> </w:t>
      </w:r>
    </w:p>
    <w:p w:rsidR="009C764D" w:rsidRPr="002174B6" w:rsidRDefault="00233A6A" w:rsidP="00F971A6">
      <w:pPr>
        <w:jc w:val="center"/>
      </w:pPr>
      <w:r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>Revised</w:t>
      </w:r>
      <w:r w:rsidR="009C764D" w:rsidRPr="002174B6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 xml:space="preserve"> AGENDA</w:t>
      </w:r>
    </w:p>
    <w:p w:rsidR="00B7259F" w:rsidRDefault="009C764D" w:rsidP="009C764D">
      <w:pPr>
        <w:spacing w:after="0"/>
        <w:rPr>
          <w:b/>
          <w:i/>
        </w:rPr>
      </w:pPr>
      <w:proofErr w:type="gramStart"/>
      <w:r>
        <w:rPr>
          <w:b/>
          <w:i/>
        </w:rPr>
        <w:t xml:space="preserve">Monday </w:t>
      </w:r>
      <w:r w:rsidR="00B7259F" w:rsidRPr="00681EDC">
        <w:rPr>
          <w:b/>
          <w:i/>
        </w:rPr>
        <w:t xml:space="preserve"> </w:t>
      </w:r>
      <w:r>
        <w:rPr>
          <w:b/>
          <w:i/>
        </w:rPr>
        <w:t>28</w:t>
      </w:r>
      <w:r w:rsidR="00E0541B" w:rsidRPr="00E0541B">
        <w:rPr>
          <w:b/>
          <w:i/>
          <w:vertAlign w:val="superscript"/>
        </w:rPr>
        <w:t>th</w:t>
      </w:r>
      <w:proofErr w:type="gramEnd"/>
      <w:r w:rsidR="00E0541B">
        <w:rPr>
          <w:b/>
          <w:i/>
        </w:rPr>
        <w:t xml:space="preserve"> </w:t>
      </w:r>
      <w:r w:rsidR="00233A6A">
        <w:rPr>
          <w:b/>
          <w:i/>
        </w:rPr>
        <w:t xml:space="preserve"> October</w:t>
      </w:r>
    </w:p>
    <w:p w:rsidR="009C764D" w:rsidRPr="00681EDC" w:rsidRDefault="009C764D" w:rsidP="00381C4F">
      <w:pPr>
        <w:spacing w:after="0"/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</w:rPr>
      </w:pPr>
    </w:p>
    <w:tbl>
      <w:tblPr>
        <w:tblStyle w:val="TableGrid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</w:tblGrid>
      <w:tr w:rsidR="009C764D" w:rsidRPr="00F971A6" w:rsidTr="001D7E91">
        <w:trPr>
          <w:trHeight w:val="397"/>
        </w:trPr>
        <w:tc>
          <w:tcPr>
            <w:tcW w:w="2411" w:type="dxa"/>
          </w:tcPr>
          <w:p w:rsidR="009C764D" w:rsidRPr="00F971A6" w:rsidRDefault="009C764D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Morning</w:t>
            </w:r>
          </w:p>
        </w:tc>
        <w:tc>
          <w:tcPr>
            <w:tcW w:w="6095" w:type="dxa"/>
          </w:tcPr>
          <w:p w:rsidR="009C764D" w:rsidRPr="00F971A6" w:rsidRDefault="009C764D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Arrival of participants</w:t>
            </w:r>
          </w:p>
        </w:tc>
      </w:tr>
      <w:tr w:rsidR="009C764D" w:rsidRPr="00F971A6" w:rsidTr="001D7E91">
        <w:tc>
          <w:tcPr>
            <w:tcW w:w="2411" w:type="dxa"/>
          </w:tcPr>
          <w:p w:rsidR="00E0541B" w:rsidRDefault="009C764D" w:rsidP="00132F40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16.00h-</w:t>
            </w:r>
            <w:r w:rsidR="00E0541B">
              <w:rPr>
                <w:color w:val="E36C0A" w:themeColor="accent6" w:themeShade="BF"/>
                <w:lang w:val="en-GB"/>
              </w:rPr>
              <w:t>16.30h</w:t>
            </w:r>
          </w:p>
          <w:p w:rsidR="00E0541B" w:rsidRDefault="00E0541B" w:rsidP="00132F40">
            <w:pPr>
              <w:rPr>
                <w:color w:val="E36C0A" w:themeColor="accent6" w:themeShade="BF"/>
                <w:lang w:val="en-GB"/>
              </w:rPr>
            </w:pPr>
          </w:p>
          <w:p w:rsidR="001D7E91" w:rsidRDefault="001D7E91" w:rsidP="00132F40">
            <w:pPr>
              <w:rPr>
                <w:color w:val="E36C0A" w:themeColor="accent6" w:themeShade="BF"/>
                <w:lang w:val="en-GB"/>
              </w:rPr>
            </w:pPr>
          </w:p>
          <w:p w:rsidR="00E0541B" w:rsidRDefault="00E0541B" w:rsidP="00132F40">
            <w:pPr>
              <w:rPr>
                <w:color w:val="E36C0A" w:themeColor="accent6" w:themeShade="BF"/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16.30h-</w:t>
            </w:r>
            <w:r w:rsidR="00E03DB8">
              <w:rPr>
                <w:color w:val="E36C0A" w:themeColor="accent6" w:themeShade="BF"/>
                <w:lang w:val="en-GB"/>
              </w:rPr>
              <w:t>18.30h</w:t>
            </w:r>
          </w:p>
          <w:p w:rsidR="00E0541B" w:rsidRDefault="00E0541B" w:rsidP="00132F40">
            <w:pPr>
              <w:rPr>
                <w:color w:val="E36C0A" w:themeColor="accent6" w:themeShade="BF"/>
                <w:lang w:val="en-GB"/>
              </w:rPr>
            </w:pPr>
          </w:p>
          <w:p w:rsidR="00E0541B" w:rsidRDefault="00E0541B" w:rsidP="00132F40">
            <w:pPr>
              <w:rPr>
                <w:color w:val="E36C0A" w:themeColor="accent6" w:themeShade="BF"/>
                <w:lang w:val="en-GB"/>
              </w:rPr>
            </w:pPr>
          </w:p>
          <w:p w:rsidR="00E0541B" w:rsidRPr="00F971A6" w:rsidRDefault="00E0541B" w:rsidP="00E0541B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6095" w:type="dxa"/>
          </w:tcPr>
          <w:p w:rsidR="00F971A6" w:rsidRPr="00F971A6" w:rsidRDefault="009C764D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Opening of the seminar</w:t>
            </w:r>
            <w:r w:rsidR="00F971A6" w:rsidRPr="00F971A6">
              <w:rPr>
                <w:lang w:val="en-GB"/>
              </w:rPr>
              <w:t xml:space="preserve"> and participants’ i</w:t>
            </w:r>
            <w:r w:rsidRPr="00F971A6">
              <w:rPr>
                <w:lang w:val="en-GB"/>
              </w:rPr>
              <w:t xml:space="preserve">ntroduction </w:t>
            </w:r>
          </w:p>
          <w:p w:rsidR="00F971A6" w:rsidRDefault="00233A6A" w:rsidP="00233A6A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lang w:val="en-GB"/>
              </w:rPr>
            </w:pPr>
            <w:r w:rsidRPr="00233A6A">
              <w:rPr>
                <w:b/>
                <w:i/>
                <w:lang w:val="en-GB"/>
              </w:rPr>
              <w:t xml:space="preserve">Jan Dereymaeker, Paola Simonetti </w:t>
            </w:r>
            <w:r w:rsidR="001D7E91">
              <w:rPr>
                <w:b/>
                <w:i/>
                <w:lang w:val="en-GB"/>
              </w:rPr>
              <w:t>–</w:t>
            </w:r>
            <w:r w:rsidRPr="00233A6A">
              <w:rPr>
                <w:b/>
                <w:i/>
                <w:lang w:val="en-GB"/>
              </w:rPr>
              <w:t xml:space="preserve"> TUDCN</w:t>
            </w:r>
          </w:p>
          <w:p w:rsidR="001D7E91" w:rsidRPr="00233A6A" w:rsidRDefault="001D7E91" w:rsidP="001D7E91">
            <w:pPr>
              <w:pStyle w:val="ListParagraph"/>
              <w:ind w:left="360"/>
              <w:rPr>
                <w:b/>
                <w:i/>
                <w:lang w:val="en-GB"/>
              </w:rPr>
            </w:pPr>
          </w:p>
          <w:p w:rsidR="009C764D" w:rsidRPr="00F971A6" w:rsidRDefault="00F971A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P</w:t>
            </w:r>
            <w:r w:rsidR="009C764D" w:rsidRPr="00F971A6">
              <w:rPr>
                <w:lang w:val="en-GB"/>
              </w:rPr>
              <w:t xml:space="preserve">resentation of the </w:t>
            </w:r>
            <w:r w:rsidRPr="00F971A6">
              <w:rPr>
                <w:lang w:val="en-GB"/>
              </w:rPr>
              <w:t xml:space="preserve">TUDCN </w:t>
            </w:r>
            <w:r w:rsidR="009C764D" w:rsidRPr="00F971A6">
              <w:rPr>
                <w:lang w:val="en-GB"/>
              </w:rPr>
              <w:t>background discussion document:</w:t>
            </w:r>
          </w:p>
          <w:p w:rsidR="009C764D" w:rsidRPr="00233A6A" w:rsidRDefault="009C764D" w:rsidP="00233A6A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lang w:val="en-GB"/>
              </w:rPr>
            </w:pPr>
            <w:r w:rsidRPr="00233A6A">
              <w:rPr>
                <w:b/>
                <w:i/>
                <w:lang w:val="en-GB"/>
              </w:rPr>
              <w:t>Pierre Habbard, TUAC/ITUC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  <w:p w:rsidR="009C764D" w:rsidRPr="00F971A6" w:rsidRDefault="009C764D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Presentation of analysis and points of view by</w:t>
            </w:r>
            <w:r w:rsidR="00F971A6" w:rsidRPr="00F971A6">
              <w:rPr>
                <w:lang w:val="en-GB"/>
              </w:rPr>
              <w:t>:</w:t>
            </w:r>
            <w:r w:rsidRPr="00F971A6">
              <w:rPr>
                <w:lang w:val="en-GB"/>
              </w:rPr>
              <w:t xml:space="preserve"> </w:t>
            </w:r>
          </w:p>
          <w:p w:rsidR="009C764D" w:rsidRPr="00F971A6" w:rsidRDefault="001D7E91" w:rsidP="00233A6A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 w:rsidRPr="00233A6A">
              <w:rPr>
                <w:b/>
                <w:i/>
                <w:lang w:val="en-GB"/>
              </w:rPr>
              <w:t>Jes</w:t>
            </w:r>
            <w:r>
              <w:rPr>
                <w:b/>
                <w:i/>
                <w:lang w:val="en-GB"/>
              </w:rPr>
              <w:t>ú</w:t>
            </w:r>
            <w:r w:rsidRPr="00233A6A">
              <w:rPr>
                <w:b/>
                <w:i/>
                <w:lang w:val="en-GB"/>
              </w:rPr>
              <w:t>s</w:t>
            </w:r>
            <w:proofErr w:type="spellEnd"/>
            <w:r w:rsidR="009C764D" w:rsidRPr="00233A6A">
              <w:rPr>
                <w:b/>
                <w:i/>
                <w:lang w:val="en-GB"/>
              </w:rPr>
              <w:t xml:space="preserve"> </w:t>
            </w:r>
            <w:proofErr w:type="spellStart"/>
            <w:r w:rsidR="009C764D" w:rsidRPr="00233A6A">
              <w:rPr>
                <w:b/>
                <w:i/>
                <w:lang w:val="en-GB"/>
              </w:rPr>
              <w:t>Carri</w:t>
            </w:r>
            <w:r>
              <w:rPr>
                <w:b/>
                <w:i/>
                <w:lang w:val="en-GB"/>
              </w:rPr>
              <w:t>ó</w:t>
            </w:r>
            <w:r w:rsidR="009C764D" w:rsidRPr="00233A6A">
              <w:rPr>
                <w:b/>
                <w:i/>
                <w:lang w:val="en-GB"/>
              </w:rPr>
              <w:t>n</w:t>
            </w:r>
            <w:proofErr w:type="spellEnd"/>
            <w:r w:rsidR="009C764D" w:rsidRPr="00F971A6">
              <w:rPr>
                <w:lang w:val="en-GB"/>
              </w:rPr>
              <w:t xml:space="preserve">:  RETS (Network on </w:t>
            </w:r>
            <w:r w:rsidR="00A01D3A" w:rsidRPr="00F971A6">
              <w:rPr>
                <w:lang w:val="en-GB"/>
              </w:rPr>
              <w:t>Transnational</w:t>
            </w:r>
            <w:r w:rsidR="009C764D" w:rsidRPr="00F971A6">
              <w:rPr>
                <w:lang w:val="en-GB"/>
              </w:rPr>
              <w:t xml:space="preserve"> Corporations)</w:t>
            </w:r>
          </w:p>
          <w:p w:rsidR="009C764D" w:rsidRPr="00F971A6" w:rsidRDefault="009C764D" w:rsidP="00233A6A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233A6A">
              <w:rPr>
                <w:b/>
                <w:i/>
                <w:lang w:val="en-GB"/>
              </w:rPr>
              <w:t>Jeroen Kwakkenbos</w:t>
            </w:r>
            <w:r w:rsidRPr="00F971A6">
              <w:rPr>
                <w:lang w:val="en-GB"/>
              </w:rPr>
              <w:t>, Eurodad (on Doing Business Report)</w:t>
            </w:r>
          </w:p>
          <w:p w:rsidR="00E03DB8" w:rsidRPr="00E03DB8" w:rsidRDefault="00FE0E72" w:rsidP="00233A6A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Aitor</w:t>
            </w:r>
            <w:proofErr w:type="spellEnd"/>
            <w:r>
              <w:rPr>
                <w:b/>
                <w:i/>
                <w:lang w:val="en-GB"/>
              </w:rPr>
              <w:t xml:space="preserve"> Pé</w:t>
            </w:r>
            <w:bookmarkStart w:id="0" w:name="_GoBack"/>
            <w:bookmarkEnd w:id="0"/>
            <w:r w:rsidR="00E03DB8" w:rsidRPr="00AE3FB2">
              <w:rPr>
                <w:b/>
                <w:i/>
                <w:lang w:val="en-GB"/>
              </w:rPr>
              <w:t>rez</w:t>
            </w:r>
            <w:r w:rsidR="00E03DB8">
              <w:rPr>
                <w:lang w:val="en-GB"/>
              </w:rPr>
              <w:t xml:space="preserve">: </w:t>
            </w:r>
            <w:proofErr w:type="spellStart"/>
            <w:r w:rsidR="00AE3FB2">
              <w:rPr>
                <w:lang w:val="en-GB"/>
              </w:rPr>
              <w:t>Instituto</w:t>
            </w:r>
            <w:proofErr w:type="spellEnd"/>
            <w:r w:rsidR="00AE3FB2">
              <w:rPr>
                <w:lang w:val="en-GB"/>
              </w:rPr>
              <w:t xml:space="preserve"> </w:t>
            </w:r>
            <w:proofErr w:type="spellStart"/>
            <w:r w:rsidR="00AE3FB2">
              <w:rPr>
                <w:lang w:val="en-GB"/>
              </w:rPr>
              <w:t>Elcano</w:t>
            </w:r>
            <w:proofErr w:type="spellEnd"/>
            <w:r w:rsidR="00AE3FB2">
              <w:rPr>
                <w:lang w:val="en-GB"/>
              </w:rPr>
              <w:t>, Expert to the UNDCF</w:t>
            </w:r>
          </w:p>
          <w:p w:rsidR="00E03DB8" w:rsidRPr="00F971A6" w:rsidRDefault="009C764D" w:rsidP="00E03DB8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 w:rsidRPr="00233A6A">
              <w:rPr>
                <w:b/>
                <w:i/>
                <w:lang w:val="en-GB"/>
              </w:rPr>
              <w:t>Nùria</w:t>
            </w:r>
            <w:proofErr w:type="spellEnd"/>
            <w:r w:rsidRPr="00233A6A">
              <w:rPr>
                <w:b/>
                <w:i/>
                <w:lang w:val="en-GB"/>
              </w:rPr>
              <w:t xml:space="preserve"> Camps</w:t>
            </w:r>
            <w:r w:rsidR="001D7E91">
              <w:rPr>
                <w:b/>
                <w:i/>
                <w:lang w:val="en-GB"/>
              </w:rPr>
              <w:t xml:space="preserve"> I Vidal</w:t>
            </w:r>
            <w:r w:rsidRPr="00F971A6">
              <w:rPr>
                <w:lang w:val="en-GB"/>
              </w:rPr>
              <w:t xml:space="preserve"> : Coordination of NGO in </w:t>
            </w:r>
            <w:r w:rsidR="00233A6A" w:rsidRPr="00F971A6">
              <w:rPr>
                <w:lang w:val="en-GB"/>
              </w:rPr>
              <w:t>Catalon</w:t>
            </w:r>
            <w:r w:rsidR="00233A6A">
              <w:rPr>
                <w:lang w:val="en-GB"/>
              </w:rPr>
              <w:t>i</w:t>
            </w:r>
            <w:r w:rsidR="00233A6A" w:rsidRPr="00F971A6">
              <w:rPr>
                <w:lang w:val="en-GB"/>
              </w:rPr>
              <w:t>a</w:t>
            </w:r>
          </w:p>
          <w:p w:rsidR="00F971A6" w:rsidRPr="00F971A6" w:rsidRDefault="00F971A6" w:rsidP="00F971A6">
            <w:pPr>
              <w:rPr>
                <w:lang w:val="en-GB"/>
              </w:rPr>
            </w:pPr>
          </w:p>
        </w:tc>
      </w:tr>
      <w:tr w:rsidR="009C764D" w:rsidRPr="00F971A6" w:rsidTr="001D7E91">
        <w:tc>
          <w:tcPr>
            <w:tcW w:w="2411" w:type="dxa"/>
          </w:tcPr>
          <w:p w:rsidR="009C764D" w:rsidRPr="00F971A6" w:rsidRDefault="00E0541B" w:rsidP="00E03DB8">
            <w:pPr>
              <w:rPr>
                <w:color w:val="E36C0A" w:themeColor="accent6" w:themeShade="BF"/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18.</w:t>
            </w:r>
            <w:r w:rsidR="00E03DB8">
              <w:rPr>
                <w:color w:val="E36C0A" w:themeColor="accent6" w:themeShade="BF"/>
                <w:lang w:val="en-GB"/>
              </w:rPr>
              <w:t>30</w:t>
            </w:r>
            <w:r>
              <w:rPr>
                <w:color w:val="E36C0A" w:themeColor="accent6" w:themeShade="BF"/>
                <w:lang w:val="en-GB"/>
              </w:rPr>
              <w:t>h-19.</w:t>
            </w:r>
            <w:r w:rsidR="00E03DB8">
              <w:rPr>
                <w:color w:val="E36C0A" w:themeColor="accent6" w:themeShade="BF"/>
                <w:lang w:val="en-GB"/>
              </w:rPr>
              <w:t>3</w:t>
            </w:r>
            <w:r>
              <w:rPr>
                <w:color w:val="E36C0A" w:themeColor="accent6" w:themeShade="BF"/>
                <w:lang w:val="en-GB"/>
              </w:rPr>
              <w:t>0h</w:t>
            </w:r>
          </w:p>
        </w:tc>
        <w:tc>
          <w:tcPr>
            <w:tcW w:w="6095" w:type="dxa"/>
          </w:tcPr>
          <w:p w:rsidR="009C764D" w:rsidRDefault="00E0541B" w:rsidP="00132F40">
            <w:pPr>
              <w:rPr>
                <w:lang w:val="en-GB"/>
              </w:rPr>
            </w:pPr>
            <w:r>
              <w:rPr>
                <w:lang w:val="en-GB"/>
              </w:rPr>
              <w:t>Plenary Q&amp;A and Debate</w:t>
            </w:r>
          </w:p>
          <w:p w:rsidR="00E0541B" w:rsidRPr="00F971A6" w:rsidRDefault="00E0541B" w:rsidP="00132F40">
            <w:pPr>
              <w:rPr>
                <w:lang w:val="en-GB"/>
              </w:rPr>
            </w:pPr>
          </w:p>
        </w:tc>
      </w:tr>
      <w:tr w:rsidR="009C764D" w:rsidRPr="00F971A6" w:rsidTr="001D7E91">
        <w:tc>
          <w:tcPr>
            <w:tcW w:w="2411" w:type="dxa"/>
            <w:shd w:val="clear" w:color="auto" w:fill="FFC000"/>
          </w:tcPr>
          <w:p w:rsidR="009C764D" w:rsidRPr="00F971A6" w:rsidRDefault="009C764D" w:rsidP="00E03DB8">
            <w:pPr>
              <w:rPr>
                <w:lang w:val="en-GB"/>
              </w:rPr>
            </w:pPr>
            <w:r w:rsidRPr="00F971A6">
              <w:rPr>
                <w:lang w:val="en-GB"/>
              </w:rPr>
              <w:t>19.</w:t>
            </w:r>
            <w:r w:rsidR="00E03DB8">
              <w:rPr>
                <w:lang w:val="en-GB"/>
              </w:rPr>
              <w:t>3</w:t>
            </w:r>
            <w:r w:rsidRPr="00F971A6">
              <w:rPr>
                <w:lang w:val="en-GB"/>
              </w:rPr>
              <w:t>0-20.</w:t>
            </w:r>
            <w:r w:rsidR="00E03DB8">
              <w:rPr>
                <w:lang w:val="en-GB"/>
              </w:rPr>
              <w:t>3</w:t>
            </w:r>
            <w:r w:rsidRPr="00F971A6">
              <w:rPr>
                <w:lang w:val="en-GB"/>
              </w:rPr>
              <w:t>0h</w:t>
            </w:r>
          </w:p>
        </w:tc>
        <w:tc>
          <w:tcPr>
            <w:tcW w:w="6095" w:type="dxa"/>
            <w:shd w:val="clear" w:color="auto" w:fill="FFC000"/>
          </w:tcPr>
          <w:p w:rsidR="009C764D" w:rsidRDefault="009C764D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Welcome reception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</w:tbl>
    <w:p w:rsidR="005B61B8" w:rsidRDefault="005B61B8" w:rsidP="009C764D">
      <w:pPr>
        <w:rPr>
          <w:b/>
          <w:i/>
        </w:rPr>
      </w:pPr>
    </w:p>
    <w:p w:rsidR="00E0541B" w:rsidRPr="00F971A6" w:rsidRDefault="00E0541B" w:rsidP="009C764D">
      <w:pPr>
        <w:rPr>
          <w:b/>
          <w:i/>
        </w:rPr>
      </w:pPr>
    </w:p>
    <w:p w:rsidR="006F745D" w:rsidRPr="00F971A6" w:rsidRDefault="00DA6E0F" w:rsidP="009C764D">
      <w:pPr>
        <w:rPr>
          <w:rStyle w:val="IntenseReference"/>
          <w:bCs w:val="0"/>
          <w:i/>
          <w:smallCaps w:val="0"/>
          <w:color w:val="auto"/>
          <w:spacing w:val="0"/>
          <w:u w:val="none"/>
        </w:rPr>
      </w:pPr>
      <w:r w:rsidRPr="00F971A6">
        <w:rPr>
          <w:b/>
          <w:i/>
        </w:rPr>
        <w:lastRenderedPageBreak/>
        <w:t>Tuesday</w:t>
      </w:r>
      <w:r w:rsidR="009C764D" w:rsidRPr="00F971A6">
        <w:rPr>
          <w:b/>
          <w:i/>
        </w:rPr>
        <w:t xml:space="preserve"> 29</w:t>
      </w:r>
      <w:r w:rsidR="00E0541B" w:rsidRPr="00E0541B">
        <w:rPr>
          <w:b/>
          <w:i/>
          <w:vertAlign w:val="superscript"/>
        </w:rPr>
        <w:t>th</w:t>
      </w:r>
      <w:r w:rsidR="00E0541B">
        <w:rPr>
          <w:b/>
          <w:i/>
        </w:rPr>
        <w:t xml:space="preserve"> October</w:t>
      </w: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F971A6" w:rsidTr="009C764D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233A6A" w:rsidRDefault="00187E66" w:rsidP="00233A6A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9.</w:t>
            </w:r>
            <w:r w:rsidR="00233A6A">
              <w:rPr>
                <w:color w:val="E36C0A" w:themeColor="accent6" w:themeShade="BF"/>
                <w:lang w:val="en-GB"/>
              </w:rPr>
              <w:t>3</w:t>
            </w:r>
            <w:r w:rsidRPr="00F971A6">
              <w:rPr>
                <w:color w:val="E36C0A" w:themeColor="accent6" w:themeShade="BF"/>
                <w:lang w:val="en-GB"/>
              </w:rPr>
              <w:t>0</w:t>
            </w:r>
            <w:r w:rsidR="00233A6A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 xml:space="preserve"> – </w:t>
            </w:r>
            <w:r w:rsidR="00233A6A">
              <w:rPr>
                <w:color w:val="E36C0A" w:themeColor="accent6" w:themeShade="BF"/>
                <w:lang w:val="en-GB"/>
              </w:rPr>
              <w:t>10.30h</w:t>
            </w:r>
          </w:p>
          <w:p w:rsidR="00233A6A" w:rsidRDefault="00233A6A" w:rsidP="00233A6A">
            <w:pPr>
              <w:rPr>
                <w:color w:val="E36C0A" w:themeColor="accent6" w:themeShade="BF"/>
                <w:lang w:val="en-GB"/>
              </w:rPr>
            </w:pPr>
          </w:p>
          <w:p w:rsidR="00233A6A" w:rsidRDefault="00233A6A" w:rsidP="00233A6A">
            <w:pPr>
              <w:rPr>
                <w:color w:val="E36C0A" w:themeColor="accent6" w:themeShade="BF"/>
                <w:lang w:val="en-GB"/>
              </w:rPr>
            </w:pPr>
          </w:p>
          <w:p w:rsidR="00233A6A" w:rsidRDefault="00233A6A" w:rsidP="00233A6A">
            <w:pPr>
              <w:rPr>
                <w:color w:val="E36C0A" w:themeColor="accent6" w:themeShade="BF"/>
                <w:lang w:val="en-GB"/>
              </w:rPr>
            </w:pPr>
          </w:p>
          <w:p w:rsidR="00187E66" w:rsidRPr="00F971A6" w:rsidRDefault="00233A6A" w:rsidP="00233A6A">
            <w:pPr>
              <w:rPr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10.00h-</w:t>
            </w:r>
            <w:r w:rsidR="00187E66" w:rsidRPr="00F971A6">
              <w:rPr>
                <w:color w:val="E36C0A" w:themeColor="accent6" w:themeShade="BF"/>
                <w:lang w:val="en-GB"/>
              </w:rPr>
              <w:t>12.00h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3A6A" w:rsidRDefault="00233A6A" w:rsidP="00F971A6">
            <w:pPr>
              <w:rPr>
                <w:lang w:val="en-GB"/>
              </w:rPr>
            </w:pPr>
            <w:r>
              <w:rPr>
                <w:lang w:val="en-GB"/>
              </w:rPr>
              <w:t xml:space="preserve">Analysis of Private Sector Engagement, The Burgeoning International Agenda and of Donor Policy Drivers </w:t>
            </w:r>
          </w:p>
          <w:p w:rsidR="00233A6A" w:rsidRPr="00E0541B" w:rsidRDefault="00233A6A" w:rsidP="00233A6A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lang w:val="en-GB"/>
              </w:rPr>
            </w:pPr>
            <w:r w:rsidRPr="00E0541B">
              <w:rPr>
                <w:b/>
                <w:i/>
                <w:lang w:val="en-GB"/>
              </w:rPr>
              <w:t xml:space="preserve">Pierre Habbard, TUAC </w:t>
            </w:r>
          </w:p>
          <w:p w:rsidR="00233A6A" w:rsidRDefault="00233A6A" w:rsidP="00F971A6">
            <w:pPr>
              <w:rPr>
                <w:lang w:val="en-GB"/>
              </w:rPr>
            </w:pPr>
          </w:p>
          <w:p w:rsidR="00F971A6" w:rsidRDefault="00187E6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 xml:space="preserve">Break-out groups </w:t>
            </w:r>
          </w:p>
          <w:p w:rsidR="00233A6A" w:rsidRPr="00F971A6" w:rsidRDefault="00233A6A" w:rsidP="00132F40">
            <w:pPr>
              <w:rPr>
                <w:lang w:val="en-GB"/>
              </w:rPr>
            </w:pPr>
          </w:p>
        </w:tc>
      </w:tr>
      <w:tr w:rsidR="00F971A6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F971A6" w:rsidRPr="00F971A6" w:rsidRDefault="00F971A6" w:rsidP="00132F40">
            <w:pPr>
              <w:rPr>
                <w:lang w:val="en-GB"/>
              </w:rPr>
            </w:pPr>
          </w:p>
        </w:tc>
        <w:tc>
          <w:tcPr>
            <w:tcW w:w="5670" w:type="dxa"/>
            <w:shd w:val="clear" w:color="auto" w:fill="FFC000"/>
          </w:tcPr>
          <w:p w:rsidR="00F971A6" w:rsidRPr="00F971A6" w:rsidRDefault="00F971A6" w:rsidP="00132F40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187E66" w:rsidRPr="00F971A6" w:rsidTr="009C764D">
        <w:tc>
          <w:tcPr>
            <w:tcW w:w="2552" w:type="dxa"/>
            <w:shd w:val="clear" w:color="auto" w:fill="auto"/>
          </w:tcPr>
          <w:p w:rsidR="00187E66" w:rsidRPr="00F971A6" w:rsidRDefault="00187E66" w:rsidP="00132F40">
            <w:pPr>
              <w:rPr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12.30</w:t>
            </w:r>
            <w:r w:rsidR="00233A6A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>-14.00h</w:t>
            </w:r>
          </w:p>
        </w:tc>
        <w:tc>
          <w:tcPr>
            <w:tcW w:w="5670" w:type="dxa"/>
            <w:shd w:val="clear" w:color="auto" w:fill="auto"/>
          </w:tcPr>
          <w:p w:rsidR="00F971A6" w:rsidRDefault="00187E66" w:rsidP="00233A6A">
            <w:pPr>
              <w:rPr>
                <w:lang w:val="en-GB"/>
              </w:rPr>
            </w:pPr>
            <w:r w:rsidRPr="00F971A6">
              <w:rPr>
                <w:lang w:val="en-GB"/>
              </w:rPr>
              <w:t xml:space="preserve">Plenary discussion on </w:t>
            </w:r>
            <w:r w:rsidR="00233A6A">
              <w:rPr>
                <w:lang w:val="en-GB"/>
              </w:rPr>
              <w:t xml:space="preserve">reports of the break out groups on Analysis of Private Sector Engagement, The Burgeoning International Agenda and of Donor Policy Drivers. </w:t>
            </w:r>
          </w:p>
          <w:p w:rsidR="00233A6A" w:rsidRPr="00F971A6" w:rsidRDefault="00233A6A" w:rsidP="00233A6A">
            <w:pPr>
              <w:rPr>
                <w:lang w:val="en-GB"/>
              </w:rPr>
            </w:pPr>
          </w:p>
        </w:tc>
      </w:tr>
      <w:tr w:rsidR="00187E66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F971A6" w:rsidRDefault="00187E66" w:rsidP="00132F40">
            <w:pPr>
              <w:rPr>
                <w:lang w:val="en-GB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Default="00187E6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Lunch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  <w:tr w:rsidR="00187E66" w:rsidRPr="00F971A6" w:rsidTr="009C764D">
        <w:tc>
          <w:tcPr>
            <w:tcW w:w="2552" w:type="dxa"/>
            <w:shd w:val="clear" w:color="auto" w:fill="auto"/>
          </w:tcPr>
          <w:p w:rsidR="00233A6A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16.00</w:t>
            </w:r>
            <w:r w:rsidR="00233A6A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>-</w:t>
            </w:r>
            <w:r w:rsidR="00233A6A">
              <w:rPr>
                <w:color w:val="E36C0A" w:themeColor="accent6" w:themeShade="BF"/>
                <w:lang w:val="en-GB"/>
              </w:rPr>
              <w:t>17.00h</w:t>
            </w:r>
          </w:p>
          <w:p w:rsidR="00233A6A" w:rsidRDefault="00233A6A" w:rsidP="00132F40">
            <w:pPr>
              <w:rPr>
                <w:color w:val="E36C0A" w:themeColor="accent6" w:themeShade="BF"/>
                <w:lang w:val="en-GB"/>
              </w:rPr>
            </w:pPr>
          </w:p>
          <w:p w:rsidR="00187E66" w:rsidRPr="00F971A6" w:rsidRDefault="00233A6A" w:rsidP="00233A6A">
            <w:pPr>
              <w:rPr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17.00h-19.00h</w:t>
            </w:r>
          </w:p>
        </w:tc>
        <w:tc>
          <w:tcPr>
            <w:tcW w:w="5670" w:type="dxa"/>
            <w:shd w:val="clear" w:color="auto" w:fill="auto"/>
          </w:tcPr>
          <w:p w:rsidR="00187E66" w:rsidRDefault="00187E6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 xml:space="preserve">Working groups on </w:t>
            </w:r>
            <w:r w:rsidR="00233A6A">
              <w:rPr>
                <w:lang w:val="en-GB"/>
              </w:rPr>
              <w:t xml:space="preserve">the </w:t>
            </w:r>
            <w:r w:rsidRPr="00F971A6">
              <w:rPr>
                <w:lang w:val="en-GB"/>
              </w:rPr>
              <w:t>T</w:t>
            </w:r>
            <w:r w:rsidR="00F971A6" w:rsidRPr="00F971A6">
              <w:rPr>
                <w:lang w:val="en-GB"/>
              </w:rPr>
              <w:t>rade Union</w:t>
            </w:r>
            <w:r w:rsidR="00233A6A">
              <w:rPr>
                <w:lang w:val="en-GB"/>
              </w:rPr>
              <w:t xml:space="preserve"> Perspective</w:t>
            </w:r>
            <w:r w:rsidR="00F971A6" w:rsidRPr="00F971A6">
              <w:rPr>
                <w:lang w:val="en-GB"/>
              </w:rPr>
              <w:t xml:space="preserve"> </w:t>
            </w:r>
          </w:p>
          <w:p w:rsidR="00E0541B" w:rsidRPr="00E0541B" w:rsidRDefault="00E0541B" w:rsidP="00E0541B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lang w:val="en-GB"/>
              </w:rPr>
            </w:pPr>
            <w:r w:rsidRPr="00E0541B">
              <w:rPr>
                <w:b/>
                <w:i/>
                <w:lang w:val="en-GB"/>
              </w:rPr>
              <w:t xml:space="preserve">Pierre Habbard, TUAC 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  <w:p w:rsidR="00F971A6" w:rsidRPr="00F971A6" w:rsidRDefault="00233A6A" w:rsidP="00132F40">
            <w:pPr>
              <w:rPr>
                <w:lang w:val="en-GB"/>
              </w:rPr>
            </w:pPr>
            <w:r>
              <w:rPr>
                <w:lang w:val="en-GB"/>
              </w:rPr>
              <w:t>Break out groups on Trade Union Perspective and Messages</w:t>
            </w:r>
          </w:p>
        </w:tc>
      </w:tr>
    </w:tbl>
    <w:p w:rsidR="006F745D" w:rsidRPr="00F971A6" w:rsidRDefault="006F745D" w:rsidP="00092BF1">
      <w:pPr>
        <w:rPr>
          <w:rStyle w:val="IntenseReference"/>
          <w:b w:val="0"/>
          <w:sz w:val="24"/>
          <w:szCs w:val="24"/>
          <w:u w:val="none"/>
        </w:rPr>
      </w:pPr>
    </w:p>
    <w:p w:rsidR="00187E66" w:rsidRPr="00F971A6" w:rsidRDefault="00187E66" w:rsidP="00092BF1">
      <w:pPr>
        <w:rPr>
          <w:b/>
          <w:i/>
        </w:rPr>
      </w:pPr>
      <w:r w:rsidRPr="00F971A6">
        <w:rPr>
          <w:b/>
          <w:i/>
        </w:rPr>
        <w:t xml:space="preserve">Wednesday </w:t>
      </w:r>
      <w:proofErr w:type="gramStart"/>
      <w:r w:rsidRPr="00F971A6">
        <w:rPr>
          <w:b/>
          <w:i/>
        </w:rPr>
        <w:t>30</w:t>
      </w:r>
      <w:r w:rsidR="00E0541B" w:rsidRPr="00E0541B">
        <w:rPr>
          <w:b/>
          <w:i/>
          <w:vertAlign w:val="superscript"/>
        </w:rPr>
        <w:t>th</w:t>
      </w:r>
      <w:r w:rsidR="00E0541B">
        <w:rPr>
          <w:b/>
          <w:i/>
        </w:rPr>
        <w:t xml:space="preserve">  October</w:t>
      </w:r>
      <w:proofErr w:type="gramEnd"/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F971A6" w:rsidTr="00132F40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187E66" w:rsidRPr="008412BE" w:rsidRDefault="00187E66" w:rsidP="00233A6A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9.</w:t>
            </w:r>
            <w:r w:rsidR="00233A6A">
              <w:rPr>
                <w:color w:val="E36C0A" w:themeColor="accent6" w:themeShade="BF"/>
                <w:lang w:val="en-GB"/>
              </w:rPr>
              <w:t>0</w:t>
            </w:r>
            <w:r w:rsidRPr="008412BE">
              <w:rPr>
                <w:color w:val="E36C0A" w:themeColor="accent6" w:themeShade="BF"/>
                <w:lang w:val="en-GB"/>
              </w:rPr>
              <w:t>0-11.</w:t>
            </w:r>
            <w:r w:rsidR="00233A6A">
              <w:rPr>
                <w:color w:val="E36C0A" w:themeColor="accent6" w:themeShade="BF"/>
                <w:lang w:val="en-GB"/>
              </w:rPr>
              <w:t>0</w:t>
            </w:r>
            <w:r w:rsidRPr="008412BE">
              <w:rPr>
                <w:color w:val="E36C0A" w:themeColor="accent6" w:themeShade="BF"/>
                <w:lang w:val="en-GB"/>
              </w:rPr>
              <w:t>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71A6" w:rsidRDefault="00233A6A" w:rsidP="00132F40">
            <w:pPr>
              <w:rPr>
                <w:lang w:val="en-GB"/>
              </w:rPr>
            </w:pPr>
            <w:r w:rsidRPr="00233A6A">
              <w:rPr>
                <w:lang w:val="en-GB"/>
              </w:rPr>
              <w:t>Plenary discussion on reports from the break out groups on Trade Union Perspective and Messages</w:t>
            </w:r>
          </w:p>
          <w:p w:rsidR="00233A6A" w:rsidRPr="00F971A6" w:rsidRDefault="00233A6A" w:rsidP="00132F40">
            <w:pPr>
              <w:rPr>
                <w:lang w:val="en-GB"/>
              </w:rPr>
            </w:pPr>
          </w:p>
        </w:tc>
      </w:tr>
      <w:tr w:rsidR="008412BE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8412BE" w:rsidRPr="008412BE" w:rsidRDefault="008412BE" w:rsidP="00132F40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5670" w:type="dxa"/>
            <w:shd w:val="clear" w:color="auto" w:fill="FFC000"/>
          </w:tcPr>
          <w:p w:rsidR="008412BE" w:rsidRPr="00F971A6" w:rsidRDefault="008412BE" w:rsidP="00132F40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187E66" w:rsidRPr="00F971A6" w:rsidTr="00132F40">
        <w:tc>
          <w:tcPr>
            <w:tcW w:w="2552" w:type="dxa"/>
            <w:shd w:val="clear" w:color="auto" w:fill="auto"/>
          </w:tcPr>
          <w:p w:rsidR="00187E66" w:rsidRPr="008412BE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12.00-13.30h</w:t>
            </w:r>
          </w:p>
        </w:tc>
        <w:tc>
          <w:tcPr>
            <w:tcW w:w="5670" w:type="dxa"/>
            <w:shd w:val="clear" w:color="auto" w:fill="auto"/>
          </w:tcPr>
          <w:p w:rsidR="00187E66" w:rsidRPr="00F971A6" w:rsidRDefault="00187E6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Way forward and action plan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  <w:tr w:rsidR="00187E66" w:rsidRPr="00F971A6" w:rsidTr="00132F40">
        <w:tc>
          <w:tcPr>
            <w:tcW w:w="2552" w:type="dxa"/>
            <w:shd w:val="clear" w:color="auto" w:fill="auto"/>
          </w:tcPr>
          <w:p w:rsidR="00187E66" w:rsidRPr="008412BE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13.30h</w:t>
            </w:r>
            <w:r w:rsidR="008412BE" w:rsidRPr="008412BE">
              <w:rPr>
                <w:color w:val="E36C0A" w:themeColor="accent6" w:themeShade="BF"/>
                <w:lang w:val="en-GB"/>
              </w:rPr>
              <w:t>- 14.00h</w:t>
            </w:r>
          </w:p>
        </w:tc>
        <w:tc>
          <w:tcPr>
            <w:tcW w:w="5670" w:type="dxa"/>
            <w:shd w:val="clear" w:color="auto" w:fill="auto"/>
          </w:tcPr>
          <w:p w:rsidR="00187E66" w:rsidRPr="00F971A6" w:rsidRDefault="008412BE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>Conclusions</w:t>
            </w:r>
            <w:r w:rsidR="00187E66" w:rsidRPr="00F971A6">
              <w:rPr>
                <w:lang w:val="en-GB"/>
              </w:rPr>
              <w:t xml:space="preserve"> </w:t>
            </w:r>
            <w:r w:rsidR="00233A6A">
              <w:rPr>
                <w:lang w:val="en-GB"/>
              </w:rPr>
              <w:t xml:space="preserve">and closing session </w:t>
            </w:r>
            <w:r w:rsidR="00187E66" w:rsidRPr="00F971A6">
              <w:rPr>
                <w:lang w:val="en-GB"/>
              </w:rPr>
              <w:t>of the seminar</w:t>
            </w:r>
            <w:r w:rsidR="00AE3FB2">
              <w:rPr>
                <w:lang w:val="en-GB"/>
              </w:rPr>
              <w:t xml:space="preserve"> 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  <w:tr w:rsidR="00187E66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F971A6" w:rsidRDefault="00187E66" w:rsidP="00132F40">
            <w:pPr>
              <w:rPr>
                <w:lang w:val="en-GB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Default="00187E66" w:rsidP="00132F40">
            <w:pPr>
              <w:rPr>
                <w:lang w:val="en-GB"/>
              </w:rPr>
            </w:pPr>
            <w:r w:rsidRPr="00F971A6">
              <w:rPr>
                <w:lang w:val="en-GB"/>
              </w:rPr>
              <w:t xml:space="preserve">Lunch and </w:t>
            </w:r>
            <w:r w:rsidR="00F971A6" w:rsidRPr="00F971A6">
              <w:rPr>
                <w:lang w:val="en-GB"/>
              </w:rPr>
              <w:t>P</w:t>
            </w:r>
            <w:r w:rsidRPr="00F971A6">
              <w:rPr>
                <w:lang w:val="en-GB"/>
              </w:rPr>
              <w:t>articipants</w:t>
            </w:r>
            <w:r w:rsidR="00F971A6" w:rsidRPr="00F971A6">
              <w:rPr>
                <w:lang w:val="en-GB"/>
              </w:rPr>
              <w:t xml:space="preserve"> departure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</w:tbl>
    <w:p w:rsidR="00187E66" w:rsidRDefault="00187E66" w:rsidP="00092BF1">
      <w:pPr>
        <w:rPr>
          <w:b/>
          <w:i/>
        </w:rPr>
      </w:pPr>
    </w:p>
    <w:p w:rsidR="008412BE" w:rsidRDefault="008412BE" w:rsidP="00092BF1">
      <w:pPr>
        <w:rPr>
          <w:b/>
          <w:i/>
        </w:rPr>
      </w:pPr>
    </w:p>
    <w:p w:rsidR="008412BE" w:rsidRDefault="008412BE" w:rsidP="00092BF1">
      <w:pPr>
        <w:rPr>
          <w:b/>
          <w:i/>
        </w:rPr>
      </w:pPr>
    </w:p>
    <w:p w:rsidR="008412BE" w:rsidRPr="00F971A6" w:rsidRDefault="008412BE" w:rsidP="008412BE">
      <w:pPr>
        <w:jc w:val="center"/>
        <w:rPr>
          <w:b/>
          <w:i/>
        </w:rPr>
      </w:pPr>
      <w:r>
        <w:rPr>
          <w:b/>
          <w:i/>
        </w:rPr>
        <w:t>**********</w:t>
      </w:r>
    </w:p>
    <w:sectPr w:rsidR="008412BE" w:rsidRPr="00F971A6" w:rsidSect="00ED7033">
      <w:headerReference w:type="default" r:id="rId11"/>
      <w:footerReference w:type="default" r:id="rId12"/>
      <w:footerReference w:type="first" r:id="rId13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54" w:rsidRDefault="00E16B54" w:rsidP="00D0108B">
      <w:pPr>
        <w:spacing w:after="0" w:line="240" w:lineRule="auto"/>
      </w:pPr>
      <w:r>
        <w:separator/>
      </w:r>
    </w:p>
  </w:endnote>
  <w:endnote w:type="continuationSeparator" w:id="0">
    <w:p w:rsidR="00E16B54" w:rsidRDefault="00E16B54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ED7033" w:rsidRPr="00ED7033" w:rsidTr="00ED7033">
      <w:trPr>
        <w:trHeight w:val="300"/>
      </w:trPr>
      <w:tc>
        <w:tcPr>
          <w:tcW w:w="9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10340CD0" wp14:editId="37DC4AED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7" name="Picture 7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D7033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ED7033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This Meeting has been organised with the financial assistance of the European Union.</w:t>
          </w:r>
        </w:p>
      </w:tc>
    </w:tr>
    <w:tr w:rsidR="00ED7033" w:rsidRPr="00ED7033" w:rsidTr="00ED7033">
      <w:trPr>
        <w:trHeight w:val="885"/>
      </w:trPr>
      <w:tc>
        <w:tcPr>
          <w:tcW w:w="9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D7033" w:rsidRPr="00ED7033" w:rsidRDefault="00ED7033" w:rsidP="00DB0FD6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The contents of the Meeting and this document are to the sole responsibility of the </w:t>
          </w:r>
          <w:r w:rsidR="00DB0FD6" w:rsidRPr="007D2382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TUDCN</w:t>
          </w: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 and cannot by any circumstances be regarded as reflecting the position of the European Union.</w:t>
          </w:r>
        </w:p>
      </w:tc>
    </w:tr>
  </w:tbl>
  <w:p w:rsidR="0065783B" w:rsidRPr="00804CA6" w:rsidRDefault="0065783B">
    <w:pPr>
      <w:pStyle w:val="Footer"/>
      <w:rPr>
        <w:i/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B" w:rsidRPr="004F25B8" w:rsidRDefault="0065783B" w:rsidP="004F25B8">
    <w:pPr>
      <w:pStyle w:val="Footer"/>
      <w:tabs>
        <w:tab w:val="clear" w:pos="4513"/>
      </w:tabs>
      <w:ind w:left="1276" w:right="-873"/>
      <w:rPr>
        <w:i/>
        <w:sz w:val="18"/>
        <w:szCs w:val="18"/>
      </w:rPr>
    </w:pPr>
    <w:r>
      <w:tab/>
    </w:r>
    <w:r>
      <w:tab/>
    </w:r>
  </w:p>
  <w:p w:rsidR="0065783B" w:rsidRDefault="0065783B">
    <w:pPr>
      <w:pStyle w:val="Footer"/>
    </w:pPr>
  </w:p>
  <w:p w:rsidR="0065783B" w:rsidRDefault="0065783B">
    <w:pPr>
      <w:pStyle w:val="Footer"/>
    </w:pPr>
  </w:p>
  <w:p w:rsidR="0065783B" w:rsidRPr="00512B3E" w:rsidRDefault="0065783B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54" w:rsidRDefault="00E16B54" w:rsidP="00D0108B">
      <w:pPr>
        <w:spacing w:after="0" w:line="240" w:lineRule="auto"/>
      </w:pPr>
      <w:r>
        <w:separator/>
      </w:r>
    </w:p>
  </w:footnote>
  <w:footnote w:type="continuationSeparator" w:id="0">
    <w:p w:rsidR="00E16B54" w:rsidRDefault="00E16B54" w:rsidP="00D0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B8" w:rsidRDefault="005B61B8" w:rsidP="005B61B8">
    <w:pPr>
      <w:pStyle w:val="Title"/>
      <w:spacing w:after="120"/>
      <w:jc w:val="center"/>
      <w:rPr>
        <w:b/>
        <w:bCs/>
        <w:sz w:val="36"/>
        <w:szCs w:val="36"/>
      </w:rPr>
    </w:pPr>
  </w:p>
  <w:p w:rsidR="005B61B8" w:rsidRPr="00681EDC" w:rsidRDefault="005B61B8" w:rsidP="005B61B8">
    <w:pPr>
      <w:pStyle w:val="Title"/>
      <w:spacing w:after="120"/>
      <w:jc w:val="center"/>
      <w:rPr>
        <w:b/>
        <w:bCs/>
        <w:sz w:val="36"/>
        <w:szCs w:val="36"/>
      </w:rPr>
    </w:pPr>
    <w:r w:rsidRPr="00681EDC">
      <w:rPr>
        <w:b/>
        <w:bCs/>
        <w:sz w:val="36"/>
        <w:szCs w:val="36"/>
      </w:rPr>
      <w:t xml:space="preserve">TUDCN </w:t>
    </w:r>
    <w:r w:rsidRPr="009C764D">
      <w:rPr>
        <w:b/>
        <w:bCs/>
        <w:sz w:val="36"/>
        <w:szCs w:val="36"/>
      </w:rPr>
      <w:t>SEMINAR ON THE PRIVATE SECTOR IN DEVELOPMENT</w:t>
    </w:r>
  </w:p>
  <w:p w:rsidR="005B61B8" w:rsidRDefault="005B61B8" w:rsidP="005B61B8">
    <w:pPr>
      <w:pStyle w:val="Header"/>
      <w:jc w:val="center"/>
    </w:pPr>
    <w:r>
      <w:t>28-30 OCTOBER 2013</w:t>
    </w:r>
  </w:p>
  <w:p w:rsidR="005B61B8" w:rsidRDefault="005B61B8" w:rsidP="005B61B8">
    <w:pPr>
      <w:pStyle w:val="Header"/>
      <w:jc w:val="center"/>
    </w:pPr>
    <w:r>
      <w:t>BARCELONA</w:t>
    </w:r>
  </w:p>
  <w:p w:rsidR="005B61B8" w:rsidRDefault="005B6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B8"/>
    <w:multiLevelType w:val="hybridMultilevel"/>
    <w:tmpl w:val="B0543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268"/>
    <w:multiLevelType w:val="hybridMultilevel"/>
    <w:tmpl w:val="C126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1E79"/>
    <w:multiLevelType w:val="hybridMultilevel"/>
    <w:tmpl w:val="40B6E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01DE8"/>
    <w:multiLevelType w:val="hybridMultilevel"/>
    <w:tmpl w:val="1B6AF6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591000"/>
    <w:multiLevelType w:val="hybridMultilevel"/>
    <w:tmpl w:val="E06E61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90A4C65"/>
    <w:multiLevelType w:val="hybridMultilevel"/>
    <w:tmpl w:val="F434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26D1A"/>
    <w:rsid w:val="000349CE"/>
    <w:rsid w:val="00073EB6"/>
    <w:rsid w:val="00092BF1"/>
    <w:rsid w:val="000E5730"/>
    <w:rsid w:val="00110D6B"/>
    <w:rsid w:val="00111268"/>
    <w:rsid w:val="001652BF"/>
    <w:rsid w:val="00167CF8"/>
    <w:rsid w:val="00187E66"/>
    <w:rsid w:val="001C07E0"/>
    <w:rsid w:val="001D0D41"/>
    <w:rsid w:val="001D7E91"/>
    <w:rsid w:val="00202FAA"/>
    <w:rsid w:val="0020392E"/>
    <w:rsid w:val="002174B6"/>
    <w:rsid w:val="00233A6A"/>
    <w:rsid w:val="00263FC6"/>
    <w:rsid w:val="00275F5C"/>
    <w:rsid w:val="00276A55"/>
    <w:rsid w:val="0029421F"/>
    <w:rsid w:val="002A3EBB"/>
    <w:rsid w:val="002D7818"/>
    <w:rsid w:val="00312322"/>
    <w:rsid w:val="0031350D"/>
    <w:rsid w:val="003515E3"/>
    <w:rsid w:val="00381C4F"/>
    <w:rsid w:val="003A4D1A"/>
    <w:rsid w:val="003C3F91"/>
    <w:rsid w:val="003E1A1D"/>
    <w:rsid w:val="003E2812"/>
    <w:rsid w:val="003E7CB7"/>
    <w:rsid w:val="00491AE4"/>
    <w:rsid w:val="004C1C05"/>
    <w:rsid w:val="004C72D0"/>
    <w:rsid w:val="004F25B8"/>
    <w:rsid w:val="00512B3E"/>
    <w:rsid w:val="0052269D"/>
    <w:rsid w:val="005502D8"/>
    <w:rsid w:val="00557966"/>
    <w:rsid w:val="00577428"/>
    <w:rsid w:val="005A305C"/>
    <w:rsid w:val="005B61B8"/>
    <w:rsid w:val="005C061F"/>
    <w:rsid w:val="005C44A3"/>
    <w:rsid w:val="0065783B"/>
    <w:rsid w:val="00681EDC"/>
    <w:rsid w:val="0069704F"/>
    <w:rsid w:val="006A395B"/>
    <w:rsid w:val="006A3BEA"/>
    <w:rsid w:val="006B05A1"/>
    <w:rsid w:val="006D5F60"/>
    <w:rsid w:val="006F745D"/>
    <w:rsid w:val="00752BD4"/>
    <w:rsid w:val="00762B75"/>
    <w:rsid w:val="00792841"/>
    <w:rsid w:val="007A65F6"/>
    <w:rsid w:val="007D2382"/>
    <w:rsid w:val="007E06A1"/>
    <w:rsid w:val="007F5A00"/>
    <w:rsid w:val="0080425A"/>
    <w:rsid w:val="00804CA6"/>
    <w:rsid w:val="00807A2C"/>
    <w:rsid w:val="00832E0A"/>
    <w:rsid w:val="008412BE"/>
    <w:rsid w:val="008473F4"/>
    <w:rsid w:val="0089355B"/>
    <w:rsid w:val="008B08F6"/>
    <w:rsid w:val="008D6152"/>
    <w:rsid w:val="008E0D0C"/>
    <w:rsid w:val="0092654F"/>
    <w:rsid w:val="009359ED"/>
    <w:rsid w:val="009C352F"/>
    <w:rsid w:val="009C764D"/>
    <w:rsid w:val="00A01D3A"/>
    <w:rsid w:val="00A21A59"/>
    <w:rsid w:val="00A21BF1"/>
    <w:rsid w:val="00A22A51"/>
    <w:rsid w:val="00A721A7"/>
    <w:rsid w:val="00AC79E3"/>
    <w:rsid w:val="00AE3FB2"/>
    <w:rsid w:val="00AF04F1"/>
    <w:rsid w:val="00B05F20"/>
    <w:rsid w:val="00B338F3"/>
    <w:rsid w:val="00B34717"/>
    <w:rsid w:val="00B54951"/>
    <w:rsid w:val="00B7259F"/>
    <w:rsid w:val="00B8476D"/>
    <w:rsid w:val="00B923E7"/>
    <w:rsid w:val="00BC34A0"/>
    <w:rsid w:val="00BE0452"/>
    <w:rsid w:val="00BE7C0C"/>
    <w:rsid w:val="00C52302"/>
    <w:rsid w:val="00C842F9"/>
    <w:rsid w:val="00CC0AD2"/>
    <w:rsid w:val="00CC3D0C"/>
    <w:rsid w:val="00CE2738"/>
    <w:rsid w:val="00CF7306"/>
    <w:rsid w:val="00D0108B"/>
    <w:rsid w:val="00D15B8A"/>
    <w:rsid w:val="00D200FD"/>
    <w:rsid w:val="00D20BEE"/>
    <w:rsid w:val="00D81327"/>
    <w:rsid w:val="00D93005"/>
    <w:rsid w:val="00DA6E0F"/>
    <w:rsid w:val="00DB0FD6"/>
    <w:rsid w:val="00DE6413"/>
    <w:rsid w:val="00E03DB8"/>
    <w:rsid w:val="00E0541B"/>
    <w:rsid w:val="00E16B54"/>
    <w:rsid w:val="00E21EC4"/>
    <w:rsid w:val="00E448C6"/>
    <w:rsid w:val="00E56B42"/>
    <w:rsid w:val="00E66ABD"/>
    <w:rsid w:val="00E727C3"/>
    <w:rsid w:val="00E7336D"/>
    <w:rsid w:val="00EA566B"/>
    <w:rsid w:val="00EB361A"/>
    <w:rsid w:val="00ED7033"/>
    <w:rsid w:val="00ED7BB4"/>
    <w:rsid w:val="00F05BE2"/>
    <w:rsid w:val="00F14E81"/>
    <w:rsid w:val="00F53829"/>
    <w:rsid w:val="00F65A79"/>
    <w:rsid w:val="00F73A75"/>
    <w:rsid w:val="00F81B58"/>
    <w:rsid w:val="00F971A6"/>
    <w:rsid w:val="00FA17B2"/>
    <w:rsid w:val="00FA4312"/>
    <w:rsid w:val="00FA5EEC"/>
    <w:rsid w:val="00FC06E5"/>
    <w:rsid w:val="00FE0E72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c-csi.org/the-private-sector-and-its-role-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F31-368B-4572-9BFB-D347F3C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4</cp:revision>
  <cp:lastPrinted>2012-01-11T15:20:00Z</cp:lastPrinted>
  <dcterms:created xsi:type="dcterms:W3CDTF">2013-10-25T10:53:00Z</dcterms:created>
  <dcterms:modified xsi:type="dcterms:W3CDTF">2013-10-25T11:18:00Z</dcterms:modified>
</cp:coreProperties>
</file>