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D0" w:rsidRDefault="008556D0" w:rsidP="00200BD0">
      <w:pPr>
        <w:pStyle w:val="Title"/>
        <w:jc w:val="center"/>
      </w:pPr>
      <w:r>
        <w:t>AGENDA</w:t>
      </w:r>
    </w:p>
    <w:p w:rsidR="004E2B27" w:rsidRPr="004E2B27" w:rsidRDefault="004E2B27" w:rsidP="004E2B27">
      <w:pPr>
        <w:keepNext/>
        <w:keepLines/>
        <w:spacing w:after="0"/>
        <w:jc w:val="center"/>
        <w:outlineLvl w:val="1"/>
        <w:rPr>
          <w:rFonts w:ascii="Cambria" w:eastAsia="Times New Roman" w:hAnsi="Cambria" w:cs="Times New Roman"/>
          <w:color w:val="17365D"/>
          <w:spacing w:val="5"/>
          <w:kern w:val="28"/>
          <w:sz w:val="32"/>
          <w:szCs w:val="32"/>
        </w:rPr>
      </w:pPr>
      <w:r w:rsidRPr="004E2B27">
        <w:rPr>
          <w:rFonts w:ascii="Cambria" w:eastAsia="Times New Roman" w:hAnsi="Cambria" w:cs="Times New Roman"/>
          <w:color w:val="17365D"/>
          <w:spacing w:val="5"/>
          <w:kern w:val="28"/>
          <w:sz w:val="32"/>
          <w:szCs w:val="32"/>
        </w:rPr>
        <w:t>17-19 April 2013</w:t>
      </w:r>
    </w:p>
    <w:p w:rsidR="004E2B27" w:rsidRPr="004E2B27" w:rsidRDefault="004E2B27" w:rsidP="004E2B27">
      <w:pPr>
        <w:spacing w:after="0"/>
        <w:jc w:val="center"/>
        <w:rPr>
          <w:rFonts w:ascii="Cambria" w:eastAsia="Times New Roman" w:hAnsi="Cambria" w:cs="Times New Roman"/>
          <w:color w:val="17365D"/>
          <w:spacing w:val="5"/>
          <w:kern w:val="28"/>
          <w:sz w:val="32"/>
          <w:szCs w:val="32"/>
        </w:rPr>
      </w:pPr>
      <w:r w:rsidRPr="004E2B27">
        <w:rPr>
          <w:rFonts w:ascii="Cambria" w:eastAsia="Times New Roman" w:hAnsi="Cambria" w:cs="Times New Roman"/>
          <w:color w:val="17365D"/>
          <w:spacing w:val="5"/>
          <w:kern w:val="28"/>
          <w:sz w:val="32"/>
          <w:szCs w:val="32"/>
        </w:rPr>
        <w:t xml:space="preserve">Danish </w:t>
      </w:r>
      <w:proofErr w:type="spellStart"/>
      <w:r w:rsidRPr="004E2B27">
        <w:rPr>
          <w:rFonts w:ascii="Cambria" w:eastAsia="Times New Roman" w:hAnsi="Cambria" w:cs="Times New Roman"/>
          <w:color w:val="17365D"/>
          <w:spacing w:val="5"/>
          <w:kern w:val="28"/>
          <w:sz w:val="32"/>
          <w:szCs w:val="32"/>
        </w:rPr>
        <w:t>Metalscholen</w:t>
      </w:r>
      <w:proofErr w:type="spellEnd"/>
      <w:r w:rsidRPr="004E2B27">
        <w:rPr>
          <w:rFonts w:ascii="Cambria" w:eastAsia="Times New Roman" w:hAnsi="Cambria" w:cs="Times New Roman"/>
          <w:color w:val="17365D"/>
          <w:spacing w:val="5"/>
          <w:kern w:val="28"/>
          <w:sz w:val="32"/>
          <w:szCs w:val="32"/>
        </w:rPr>
        <w:t xml:space="preserve">, Slangerup </w:t>
      </w:r>
    </w:p>
    <w:p w:rsidR="004E2B27" w:rsidRDefault="004E2B27" w:rsidP="004E2B27">
      <w:pPr>
        <w:spacing w:after="0"/>
        <w:jc w:val="center"/>
        <w:rPr>
          <w:rFonts w:ascii="Cambria" w:eastAsia="Times New Roman" w:hAnsi="Cambria" w:cs="Times New Roman"/>
          <w:color w:val="17365D"/>
          <w:spacing w:val="5"/>
          <w:kern w:val="28"/>
          <w:sz w:val="32"/>
          <w:szCs w:val="32"/>
        </w:rPr>
      </w:pPr>
      <w:r w:rsidRPr="004E2B27">
        <w:rPr>
          <w:rFonts w:ascii="Cambria" w:eastAsia="Times New Roman" w:hAnsi="Cambria" w:cs="Times New Roman"/>
          <w:color w:val="17365D"/>
          <w:spacing w:val="5"/>
          <w:kern w:val="28"/>
          <w:sz w:val="32"/>
          <w:szCs w:val="32"/>
        </w:rPr>
        <w:t>Copenhagen, Denmark</w:t>
      </w:r>
    </w:p>
    <w:p w:rsidR="004E2B27" w:rsidRDefault="00ED4CC4" w:rsidP="00E21FE6">
      <w:pPr>
        <w:spacing w:after="0"/>
        <w:jc w:val="center"/>
        <w:rPr>
          <w:rFonts w:ascii="Cambria" w:eastAsia="Times New Roman" w:hAnsi="Cambria" w:cs="Times New Roman"/>
          <w:color w:val="17365D"/>
          <w:spacing w:val="5"/>
          <w:kern w:val="28"/>
          <w:sz w:val="20"/>
          <w:szCs w:val="20"/>
        </w:rPr>
      </w:pPr>
      <w:hyperlink r:id="rId9" w:history="1">
        <w:r w:rsidR="00E21FE6" w:rsidRPr="00FE5D8D">
          <w:rPr>
            <w:rStyle w:val="Hyperlink"/>
            <w:rFonts w:ascii="Cambria" w:eastAsia="Times New Roman" w:hAnsi="Cambria" w:cs="Times New Roman"/>
            <w:spacing w:val="5"/>
            <w:kern w:val="28"/>
            <w:sz w:val="20"/>
            <w:szCs w:val="20"/>
          </w:rPr>
          <w:t>http://www.danskmetal.dk/metalskolen/</w:t>
        </w:r>
      </w:hyperlink>
      <w:r w:rsidR="00E21FE6">
        <w:rPr>
          <w:rFonts w:ascii="Cambria" w:eastAsia="Times New Roman" w:hAnsi="Cambria" w:cs="Times New Roman"/>
          <w:color w:val="17365D"/>
          <w:spacing w:val="5"/>
          <w:kern w:val="28"/>
          <w:sz w:val="20"/>
          <w:szCs w:val="20"/>
        </w:rPr>
        <w:t xml:space="preserve"> </w:t>
      </w:r>
    </w:p>
    <w:p w:rsidR="00E21FE6" w:rsidRPr="00E21FE6" w:rsidRDefault="00E21FE6" w:rsidP="00E21FE6">
      <w:pPr>
        <w:spacing w:after="0"/>
        <w:jc w:val="center"/>
        <w:rPr>
          <w:rFonts w:ascii="Cambria" w:eastAsia="Times New Roman" w:hAnsi="Cambria" w:cs="Times New Roman"/>
          <w:color w:val="17365D"/>
          <w:spacing w:val="5"/>
          <w:kern w:val="28"/>
          <w:sz w:val="20"/>
          <w:szCs w:val="20"/>
        </w:rPr>
      </w:pPr>
    </w:p>
    <w:p w:rsidR="004E2B27" w:rsidRPr="004E2B27" w:rsidRDefault="004E2B27" w:rsidP="004E2B27">
      <w:pPr>
        <w:shd w:val="clear" w:color="auto" w:fill="FFC000"/>
        <w:spacing w:after="0" w:line="240" w:lineRule="auto"/>
        <w:jc w:val="both"/>
        <w:rPr>
          <w:rFonts w:ascii="Calibri" w:eastAsia="Calibri" w:hAnsi="Calibri" w:cs="Times New Roman"/>
          <w:b/>
          <w:sz w:val="32"/>
          <w:szCs w:val="32"/>
        </w:rPr>
      </w:pPr>
      <w:r w:rsidRPr="004E2B27">
        <w:rPr>
          <w:rFonts w:ascii="Calibri" w:eastAsia="Calibri" w:hAnsi="Calibri" w:cs="Times New Roman"/>
          <w:b/>
          <w:sz w:val="32"/>
          <w:szCs w:val="32"/>
        </w:rPr>
        <w:t>WEDNESDAY 17:</w:t>
      </w:r>
    </w:p>
    <w:p w:rsidR="004E2B27" w:rsidRPr="004E2B27" w:rsidRDefault="004E2B27" w:rsidP="004E2B27">
      <w:pPr>
        <w:spacing w:after="0" w:line="240" w:lineRule="auto"/>
        <w:jc w:val="both"/>
        <w:rPr>
          <w:rFonts w:ascii="Calibri" w:eastAsia="Calibri" w:hAnsi="Calibri" w:cs="Times New Roman"/>
          <w:sz w:val="24"/>
          <w:szCs w:val="24"/>
        </w:rPr>
      </w:pPr>
      <w:r w:rsidRPr="004E2B27">
        <w:rPr>
          <w:rFonts w:ascii="Calibri" w:eastAsia="Calibri" w:hAnsi="Calibri" w:cs="Times New Roman"/>
          <w:sz w:val="24"/>
          <w:szCs w:val="24"/>
        </w:rPr>
        <w:tab/>
      </w:r>
    </w:p>
    <w:p w:rsidR="004E2B27" w:rsidRPr="004E2B27" w:rsidRDefault="004E2B27" w:rsidP="00E21FE6">
      <w:pPr>
        <w:spacing w:after="0" w:line="240" w:lineRule="auto"/>
        <w:jc w:val="both"/>
        <w:rPr>
          <w:rFonts w:ascii="Calibri" w:eastAsia="Calibri" w:hAnsi="Calibri" w:cs="Times New Roman"/>
          <w:sz w:val="24"/>
          <w:szCs w:val="24"/>
        </w:rPr>
      </w:pPr>
      <w:r w:rsidRPr="004E2B27">
        <w:rPr>
          <w:rFonts w:ascii="Calibri" w:eastAsia="Calibri" w:hAnsi="Calibri" w:cs="Times New Roman"/>
          <w:sz w:val="24"/>
          <w:szCs w:val="24"/>
        </w:rPr>
        <w:t>Arrival of participants</w:t>
      </w:r>
    </w:p>
    <w:p w:rsidR="004E2B27" w:rsidRPr="004E2B27" w:rsidRDefault="004E2B27" w:rsidP="00E21FE6">
      <w:pPr>
        <w:spacing w:after="0" w:line="240" w:lineRule="auto"/>
        <w:jc w:val="both"/>
        <w:rPr>
          <w:rFonts w:ascii="Calibri" w:eastAsia="Calibri" w:hAnsi="Calibri" w:cs="Times New Roman"/>
          <w:sz w:val="24"/>
          <w:szCs w:val="24"/>
        </w:rPr>
      </w:pPr>
      <w:r w:rsidRPr="004E2B27">
        <w:rPr>
          <w:rFonts w:ascii="Calibri" w:eastAsia="Calibri" w:hAnsi="Calibri" w:cs="Times New Roman"/>
          <w:sz w:val="24"/>
          <w:szCs w:val="24"/>
        </w:rPr>
        <w:tab/>
      </w:r>
    </w:p>
    <w:p w:rsidR="004E2B27" w:rsidRPr="004E2B27" w:rsidRDefault="004E2B27" w:rsidP="00E21FE6">
      <w:pPr>
        <w:spacing w:after="0" w:line="240" w:lineRule="auto"/>
        <w:jc w:val="both"/>
        <w:rPr>
          <w:rFonts w:ascii="Calibri" w:eastAsia="Calibri" w:hAnsi="Calibri" w:cs="Times New Roman"/>
          <w:sz w:val="24"/>
          <w:szCs w:val="24"/>
        </w:rPr>
      </w:pPr>
      <w:r w:rsidRPr="004E2B27">
        <w:rPr>
          <w:rFonts w:ascii="Calibri" w:eastAsia="Calibri" w:hAnsi="Calibri" w:cs="Times New Roman"/>
          <w:b/>
          <w:sz w:val="24"/>
          <w:szCs w:val="24"/>
        </w:rPr>
        <w:t>12H30</w:t>
      </w:r>
      <w:r w:rsidRPr="004E2B27">
        <w:rPr>
          <w:rFonts w:ascii="Calibri" w:eastAsia="Calibri" w:hAnsi="Calibri" w:cs="Times New Roman"/>
          <w:sz w:val="24"/>
          <w:szCs w:val="24"/>
        </w:rPr>
        <w:t xml:space="preserve">  </w:t>
      </w:r>
      <w:r w:rsidRPr="004E2B27">
        <w:rPr>
          <w:rFonts w:ascii="Calibri" w:eastAsia="Calibri" w:hAnsi="Calibri" w:cs="Times New Roman"/>
          <w:sz w:val="24"/>
          <w:szCs w:val="24"/>
        </w:rPr>
        <w:tab/>
      </w:r>
      <w:r w:rsidRPr="004E2B27">
        <w:rPr>
          <w:rFonts w:ascii="Calibri" w:eastAsia="Calibri" w:hAnsi="Calibri" w:cs="Times New Roman"/>
          <w:b/>
          <w:sz w:val="24"/>
          <w:szCs w:val="24"/>
        </w:rPr>
        <w:t>LUNCH</w:t>
      </w:r>
    </w:p>
    <w:p w:rsidR="004E2B27" w:rsidRPr="004E2B27" w:rsidRDefault="004E2B27" w:rsidP="00E21FE6">
      <w:pPr>
        <w:spacing w:after="0" w:line="240" w:lineRule="auto"/>
        <w:jc w:val="both"/>
        <w:rPr>
          <w:rFonts w:ascii="Calibri" w:eastAsia="Calibri" w:hAnsi="Calibri" w:cs="Times New Roman"/>
          <w:b/>
          <w:sz w:val="24"/>
          <w:szCs w:val="24"/>
        </w:rPr>
      </w:pPr>
      <w:r w:rsidRPr="004E2B27">
        <w:rPr>
          <w:rFonts w:ascii="Calibri" w:eastAsia="Calibri" w:hAnsi="Calibri" w:cs="Times New Roman"/>
          <w:sz w:val="24"/>
          <w:szCs w:val="24"/>
        </w:rPr>
        <w:br/>
      </w:r>
      <w:r w:rsidRPr="004E2B27">
        <w:rPr>
          <w:rFonts w:ascii="Calibri" w:eastAsia="Calibri" w:hAnsi="Calibri" w:cs="Times New Roman"/>
          <w:b/>
          <w:sz w:val="24"/>
          <w:szCs w:val="24"/>
        </w:rPr>
        <w:t xml:space="preserve">OPENING OF THE GENERAL MEETING   </w:t>
      </w:r>
    </w:p>
    <w:p w:rsidR="004E2B27" w:rsidRPr="004E2B27" w:rsidRDefault="004E2B27" w:rsidP="00E21FE6">
      <w:pPr>
        <w:spacing w:after="0" w:line="240" w:lineRule="auto"/>
        <w:jc w:val="both"/>
        <w:rPr>
          <w:rFonts w:ascii="Calibri" w:eastAsia="Calibri" w:hAnsi="Calibri" w:cs="Times New Roman"/>
          <w:b/>
          <w:i/>
          <w:sz w:val="24"/>
          <w:szCs w:val="24"/>
          <w:u w:val="single"/>
        </w:rPr>
      </w:pPr>
      <w:r w:rsidRPr="004E2B27">
        <w:rPr>
          <w:rFonts w:ascii="Calibri" w:eastAsia="Calibri" w:hAnsi="Calibri" w:cs="Times New Roman"/>
          <w:b/>
          <w:i/>
          <w:sz w:val="24"/>
          <w:szCs w:val="24"/>
          <w:u w:val="single"/>
        </w:rPr>
        <w:t xml:space="preserve">  </w:t>
      </w:r>
    </w:p>
    <w:p w:rsidR="004E2B27" w:rsidRDefault="004E2B27" w:rsidP="00E21FE6">
      <w:pPr>
        <w:spacing w:after="0" w:line="240" w:lineRule="auto"/>
        <w:jc w:val="both"/>
        <w:rPr>
          <w:rFonts w:ascii="Calibri" w:eastAsia="Calibri" w:hAnsi="Calibri" w:cs="Times New Roman"/>
          <w:i/>
          <w:sz w:val="24"/>
          <w:szCs w:val="24"/>
          <w:u w:val="single"/>
        </w:rPr>
      </w:pPr>
      <w:r w:rsidRPr="004E2B27">
        <w:rPr>
          <w:rFonts w:ascii="Calibri" w:eastAsia="Calibri" w:hAnsi="Calibri" w:cs="Times New Roman"/>
          <w:i/>
          <w:sz w:val="24"/>
          <w:szCs w:val="24"/>
          <w:u w:val="single"/>
        </w:rPr>
        <w:t>14H00 – 16H00</w:t>
      </w:r>
    </w:p>
    <w:p w:rsidR="00892CB3" w:rsidRPr="004E2B27" w:rsidRDefault="00892CB3" w:rsidP="00E21FE6">
      <w:pPr>
        <w:spacing w:after="0" w:line="240" w:lineRule="auto"/>
        <w:jc w:val="both"/>
        <w:rPr>
          <w:rFonts w:ascii="Calibri" w:eastAsia="Calibri" w:hAnsi="Calibri" w:cs="Times New Roman"/>
          <w:i/>
          <w:sz w:val="24"/>
          <w:szCs w:val="24"/>
          <w:u w:val="single"/>
        </w:rPr>
      </w:pPr>
    </w:p>
    <w:p w:rsidR="004E2B27" w:rsidRDefault="004E2B27" w:rsidP="00E21FE6">
      <w:pPr>
        <w:numPr>
          <w:ilvl w:val="0"/>
          <w:numId w:val="1"/>
        </w:numPr>
        <w:spacing w:after="0" w:line="360" w:lineRule="auto"/>
        <w:ind w:left="1457"/>
        <w:contextualSpacing/>
        <w:jc w:val="both"/>
        <w:rPr>
          <w:rFonts w:ascii="Calibri" w:eastAsia="Calibri" w:hAnsi="Calibri" w:cs="Times New Roman"/>
          <w:sz w:val="24"/>
          <w:szCs w:val="24"/>
        </w:rPr>
      </w:pPr>
      <w:r w:rsidRPr="004E2B27">
        <w:rPr>
          <w:rFonts w:ascii="Calibri" w:eastAsia="Calibri" w:hAnsi="Calibri" w:cs="Times New Roman"/>
          <w:sz w:val="24"/>
          <w:szCs w:val="24"/>
        </w:rPr>
        <w:t xml:space="preserve">Welcome of participants  and introduction of the Agenda </w:t>
      </w:r>
    </w:p>
    <w:p w:rsidR="00892CB3" w:rsidRPr="00892CB3" w:rsidRDefault="00892CB3" w:rsidP="00E21FE6">
      <w:pPr>
        <w:numPr>
          <w:ilvl w:val="0"/>
          <w:numId w:val="1"/>
        </w:numPr>
        <w:spacing w:after="0" w:line="360" w:lineRule="auto"/>
        <w:contextualSpacing/>
        <w:jc w:val="both"/>
        <w:rPr>
          <w:rFonts w:ascii="Calibri" w:eastAsia="Calibri" w:hAnsi="Calibri" w:cs="Times New Roman"/>
          <w:sz w:val="24"/>
          <w:szCs w:val="24"/>
        </w:rPr>
      </w:pPr>
      <w:r w:rsidRPr="00892CB3">
        <w:rPr>
          <w:rFonts w:ascii="Calibri" w:eastAsia="Calibri" w:hAnsi="Calibri" w:cs="Times New Roman"/>
          <w:sz w:val="24"/>
          <w:szCs w:val="24"/>
        </w:rPr>
        <w:t xml:space="preserve">Approval of the </w:t>
      </w:r>
      <w:hyperlink r:id="rId10" w:history="1">
        <w:r w:rsidRPr="006F6C18">
          <w:rPr>
            <w:rStyle w:val="Hyperlink"/>
            <w:rFonts w:ascii="Calibri" w:eastAsia="Calibri" w:hAnsi="Calibri" w:cs="Times New Roman"/>
            <w:sz w:val="24"/>
            <w:szCs w:val="24"/>
          </w:rPr>
          <w:t>Report</w:t>
        </w:r>
      </w:hyperlink>
      <w:r w:rsidRPr="00892CB3">
        <w:rPr>
          <w:rFonts w:ascii="Calibri" w:eastAsia="Calibri" w:hAnsi="Calibri" w:cs="Times New Roman"/>
          <w:sz w:val="24"/>
          <w:szCs w:val="24"/>
        </w:rPr>
        <w:t xml:space="preserve"> from the previous TUDCN meeting</w:t>
      </w:r>
    </w:p>
    <w:p w:rsidR="00892CB3" w:rsidRPr="00892CB3" w:rsidRDefault="00892CB3" w:rsidP="00E21FE6">
      <w:pPr>
        <w:numPr>
          <w:ilvl w:val="0"/>
          <w:numId w:val="1"/>
        </w:numPr>
        <w:spacing w:after="0" w:line="360" w:lineRule="auto"/>
        <w:contextualSpacing/>
        <w:jc w:val="both"/>
        <w:rPr>
          <w:rFonts w:ascii="Calibri" w:eastAsia="Calibri" w:hAnsi="Calibri" w:cs="Times New Roman"/>
          <w:sz w:val="24"/>
          <w:szCs w:val="24"/>
        </w:rPr>
      </w:pPr>
      <w:r w:rsidRPr="00892CB3">
        <w:rPr>
          <w:rFonts w:ascii="Calibri" w:eastAsia="Calibri" w:hAnsi="Calibri" w:cs="Times New Roman"/>
          <w:sz w:val="24"/>
          <w:szCs w:val="24"/>
        </w:rPr>
        <w:t xml:space="preserve">Short </w:t>
      </w:r>
      <w:hyperlink r:id="rId11" w:history="1">
        <w:r w:rsidRPr="006561D3">
          <w:rPr>
            <w:rStyle w:val="Hyperlink"/>
            <w:rFonts w:ascii="Calibri" w:eastAsia="Calibri" w:hAnsi="Calibri" w:cs="Times New Roman"/>
            <w:sz w:val="24"/>
            <w:szCs w:val="24"/>
          </w:rPr>
          <w:t>TUDCN activities report</w:t>
        </w:r>
      </w:hyperlink>
      <w:r w:rsidR="00375017">
        <w:rPr>
          <w:rStyle w:val="Hyperlink"/>
          <w:rFonts w:ascii="Calibri" w:eastAsia="Calibri" w:hAnsi="Calibri" w:cs="Times New Roman"/>
          <w:sz w:val="24"/>
          <w:szCs w:val="24"/>
          <w:u w:val="none"/>
        </w:rPr>
        <w:t xml:space="preserve"> </w:t>
      </w:r>
      <w:r w:rsidR="00375017" w:rsidRPr="00375017">
        <w:rPr>
          <w:rStyle w:val="Hyperlink"/>
          <w:rFonts w:ascii="Calibri" w:eastAsia="Calibri" w:hAnsi="Calibri" w:cs="Times New Roman"/>
          <w:color w:val="auto"/>
          <w:sz w:val="24"/>
          <w:szCs w:val="24"/>
          <w:u w:val="none"/>
        </w:rPr>
        <w:t>(draft)</w:t>
      </w:r>
      <w:r w:rsidR="007072BD" w:rsidRPr="00375017">
        <w:rPr>
          <w:rFonts w:ascii="Calibri" w:eastAsia="Calibri" w:hAnsi="Calibri" w:cs="Times New Roman"/>
          <w:sz w:val="24"/>
          <w:szCs w:val="24"/>
        </w:rPr>
        <w:t xml:space="preserve"> </w:t>
      </w:r>
      <w:r w:rsidR="007072BD">
        <w:rPr>
          <w:rFonts w:ascii="Calibri" w:eastAsia="Calibri" w:hAnsi="Calibri" w:cs="Times New Roman"/>
          <w:sz w:val="24"/>
          <w:szCs w:val="24"/>
        </w:rPr>
        <w:t>January-April 2013</w:t>
      </w:r>
    </w:p>
    <w:p w:rsidR="007072BD" w:rsidRDefault="00892CB3" w:rsidP="00E21FE6">
      <w:pPr>
        <w:numPr>
          <w:ilvl w:val="0"/>
          <w:numId w:val="1"/>
        </w:numPr>
        <w:spacing w:after="0" w:line="360" w:lineRule="auto"/>
        <w:contextualSpacing/>
        <w:jc w:val="both"/>
        <w:rPr>
          <w:rFonts w:ascii="Calibri" w:eastAsia="Calibri" w:hAnsi="Calibri" w:cs="Times New Roman"/>
          <w:sz w:val="24"/>
          <w:szCs w:val="24"/>
        </w:rPr>
      </w:pPr>
      <w:r w:rsidRPr="00892CB3">
        <w:rPr>
          <w:rFonts w:ascii="Calibri" w:eastAsia="Calibri" w:hAnsi="Calibri" w:cs="Times New Roman"/>
          <w:sz w:val="24"/>
          <w:szCs w:val="24"/>
        </w:rPr>
        <w:t xml:space="preserve">News from </w:t>
      </w:r>
      <w:r w:rsidR="007072BD">
        <w:rPr>
          <w:rFonts w:ascii="Calibri" w:eastAsia="Calibri" w:hAnsi="Calibri" w:cs="Times New Roman"/>
          <w:sz w:val="24"/>
          <w:szCs w:val="24"/>
        </w:rPr>
        <w:t xml:space="preserve">TUDCN members: </w:t>
      </w:r>
    </w:p>
    <w:p w:rsidR="007072BD" w:rsidRDefault="007072BD" w:rsidP="00E21FE6">
      <w:pPr>
        <w:pStyle w:val="ListParagraph"/>
        <w:numPr>
          <w:ilvl w:val="0"/>
          <w:numId w:val="5"/>
        </w:numPr>
        <w:spacing w:after="0" w:line="360" w:lineRule="auto"/>
        <w:jc w:val="both"/>
        <w:rPr>
          <w:rFonts w:ascii="Calibri" w:eastAsia="Calibri" w:hAnsi="Calibri" w:cs="Times New Roman"/>
          <w:sz w:val="24"/>
          <w:szCs w:val="24"/>
        </w:rPr>
      </w:pPr>
      <w:r w:rsidRPr="007072BD">
        <w:rPr>
          <w:rFonts w:ascii="Calibri" w:eastAsia="Calibri" w:hAnsi="Calibri" w:cs="Times New Roman"/>
          <w:sz w:val="24"/>
          <w:szCs w:val="24"/>
        </w:rPr>
        <w:t>Regional Organisations</w:t>
      </w:r>
      <w:r w:rsidR="007557EC">
        <w:rPr>
          <w:rFonts w:ascii="Calibri" w:eastAsia="Calibri" w:hAnsi="Calibri" w:cs="Times New Roman"/>
          <w:sz w:val="24"/>
          <w:szCs w:val="24"/>
        </w:rPr>
        <w:t xml:space="preserve"> (</w:t>
      </w:r>
      <w:hyperlink r:id="rId12" w:history="1">
        <w:r w:rsidR="007557EC" w:rsidRPr="007557EC">
          <w:rPr>
            <w:rStyle w:val="Hyperlink"/>
            <w:rFonts w:ascii="Calibri" w:eastAsia="Calibri" w:hAnsi="Calibri" w:cs="Times New Roman"/>
            <w:sz w:val="24"/>
            <w:szCs w:val="24"/>
          </w:rPr>
          <w:t>ITUC Africa</w:t>
        </w:r>
      </w:hyperlink>
      <w:r w:rsidR="007557EC">
        <w:rPr>
          <w:rFonts w:ascii="Calibri" w:eastAsia="Calibri" w:hAnsi="Calibri" w:cs="Times New Roman"/>
          <w:sz w:val="24"/>
          <w:szCs w:val="24"/>
        </w:rPr>
        <w:t>)</w:t>
      </w:r>
    </w:p>
    <w:p w:rsidR="007072BD" w:rsidRDefault="007072BD" w:rsidP="00E21FE6">
      <w:pPr>
        <w:pStyle w:val="ListParagraph"/>
        <w:numPr>
          <w:ilvl w:val="0"/>
          <w:numId w:val="5"/>
        </w:numPr>
        <w:spacing w:after="0" w:line="360" w:lineRule="auto"/>
        <w:jc w:val="both"/>
        <w:rPr>
          <w:rFonts w:ascii="Calibri" w:eastAsia="Calibri" w:hAnsi="Calibri" w:cs="Times New Roman"/>
          <w:sz w:val="24"/>
          <w:szCs w:val="24"/>
        </w:rPr>
      </w:pPr>
      <w:r>
        <w:rPr>
          <w:rFonts w:ascii="Calibri" w:eastAsia="Calibri" w:hAnsi="Calibri" w:cs="Times New Roman"/>
          <w:sz w:val="24"/>
          <w:szCs w:val="24"/>
        </w:rPr>
        <w:t>N</w:t>
      </w:r>
      <w:r w:rsidR="00892CB3" w:rsidRPr="007072BD">
        <w:rPr>
          <w:rFonts w:ascii="Calibri" w:eastAsia="Calibri" w:hAnsi="Calibri" w:cs="Times New Roman"/>
          <w:sz w:val="24"/>
          <w:szCs w:val="24"/>
        </w:rPr>
        <w:t xml:space="preserve">ational </w:t>
      </w:r>
      <w:r w:rsidRPr="007072BD">
        <w:rPr>
          <w:rFonts w:ascii="Calibri" w:eastAsia="Calibri" w:hAnsi="Calibri" w:cs="Times New Roman"/>
          <w:sz w:val="24"/>
          <w:szCs w:val="24"/>
        </w:rPr>
        <w:t>organisations</w:t>
      </w:r>
      <w:r>
        <w:rPr>
          <w:rFonts w:ascii="Calibri" w:eastAsia="Calibri" w:hAnsi="Calibri" w:cs="Times New Roman"/>
          <w:sz w:val="24"/>
          <w:szCs w:val="24"/>
        </w:rPr>
        <w:t xml:space="preserve"> </w:t>
      </w:r>
      <w:r w:rsidR="007557EC">
        <w:rPr>
          <w:rFonts w:ascii="Calibri" w:eastAsia="Calibri" w:hAnsi="Calibri" w:cs="Times New Roman"/>
          <w:sz w:val="24"/>
          <w:szCs w:val="24"/>
        </w:rPr>
        <w:t>(</w:t>
      </w:r>
      <w:hyperlink r:id="rId13" w:history="1">
        <w:r w:rsidR="007557EC" w:rsidRPr="007557EC">
          <w:rPr>
            <w:rStyle w:val="Hyperlink"/>
            <w:rFonts w:ascii="Calibri" w:eastAsia="Calibri" w:hAnsi="Calibri" w:cs="Times New Roman"/>
            <w:sz w:val="24"/>
            <w:szCs w:val="24"/>
          </w:rPr>
          <w:t>Belgian trade unions</w:t>
        </w:r>
      </w:hyperlink>
      <w:r w:rsidR="007557EC">
        <w:rPr>
          <w:rFonts w:ascii="Calibri" w:eastAsia="Calibri" w:hAnsi="Calibri" w:cs="Times New Roman"/>
          <w:sz w:val="24"/>
          <w:szCs w:val="24"/>
        </w:rPr>
        <w:t xml:space="preserve">, </w:t>
      </w:r>
      <w:hyperlink r:id="rId14" w:history="1">
        <w:r w:rsidR="007557EC" w:rsidRPr="007557EC">
          <w:rPr>
            <w:rStyle w:val="Hyperlink"/>
            <w:rFonts w:ascii="Calibri" w:eastAsia="Calibri" w:hAnsi="Calibri" w:cs="Times New Roman"/>
            <w:sz w:val="24"/>
            <w:szCs w:val="24"/>
          </w:rPr>
          <w:t>CNV</w:t>
        </w:r>
      </w:hyperlink>
      <w:r w:rsidR="003D2643">
        <w:rPr>
          <w:rFonts w:ascii="Calibri" w:eastAsia="Calibri" w:hAnsi="Calibri" w:cs="Times New Roman"/>
          <w:sz w:val="24"/>
          <w:szCs w:val="24"/>
        </w:rPr>
        <w:t xml:space="preserve">, </w:t>
      </w:r>
      <w:hyperlink r:id="rId15" w:history="1">
        <w:r w:rsidR="003D2643" w:rsidRPr="003D2643">
          <w:rPr>
            <w:rStyle w:val="Hyperlink"/>
            <w:rFonts w:ascii="Calibri" w:eastAsia="Calibri" w:hAnsi="Calibri" w:cs="Times New Roman"/>
            <w:sz w:val="24"/>
            <w:szCs w:val="24"/>
          </w:rPr>
          <w:t>CCOO</w:t>
        </w:r>
      </w:hyperlink>
      <w:r w:rsidR="007557EC">
        <w:rPr>
          <w:rFonts w:ascii="Calibri" w:eastAsia="Calibri" w:hAnsi="Calibri" w:cs="Times New Roman"/>
          <w:sz w:val="24"/>
          <w:szCs w:val="24"/>
        </w:rPr>
        <w:t>)</w:t>
      </w:r>
    </w:p>
    <w:p w:rsidR="004E2B27" w:rsidRPr="007072BD" w:rsidRDefault="00892CB3" w:rsidP="00E21FE6">
      <w:pPr>
        <w:pStyle w:val="ListParagraph"/>
        <w:numPr>
          <w:ilvl w:val="0"/>
          <w:numId w:val="5"/>
        </w:numPr>
        <w:spacing w:after="0" w:line="360" w:lineRule="auto"/>
        <w:jc w:val="both"/>
        <w:rPr>
          <w:rFonts w:ascii="Calibri" w:eastAsia="Calibri" w:hAnsi="Calibri" w:cs="Times New Roman"/>
          <w:sz w:val="24"/>
          <w:szCs w:val="24"/>
        </w:rPr>
      </w:pPr>
      <w:r w:rsidRPr="007072BD">
        <w:rPr>
          <w:rFonts w:ascii="Calibri" w:eastAsia="Calibri" w:hAnsi="Calibri" w:cs="Times New Roman"/>
          <w:sz w:val="24"/>
          <w:szCs w:val="24"/>
        </w:rPr>
        <w:t>GUFs</w:t>
      </w:r>
      <w:r w:rsidR="007557EC">
        <w:rPr>
          <w:rFonts w:ascii="Calibri" w:eastAsia="Calibri" w:hAnsi="Calibri" w:cs="Times New Roman"/>
          <w:sz w:val="24"/>
          <w:szCs w:val="24"/>
        </w:rPr>
        <w:t xml:space="preserve"> (</w:t>
      </w:r>
      <w:hyperlink r:id="rId16" w:history="1">
        <w:r w:rsidR="007557EC" w:rsidRPr="00E744CB">
          <w:rPr>
            <w:rStyle w:val="Hyperlink"/>
            <w:rFonts w:ascii="Calibri" w:eastAsia="Calibri" w:hAnsi="Calibri" w:cs="Times New Roman"/>
            <w:sz w:val="24"/>
            <w:szCs w:val="24"/>
          </w:rPr>
          <w:t>IE</w:t>
        </w:r>
      </w:hyperlink>
      <w:r w:rsidR="00E744CB">
        <w:rPr>
          <w:rFonts w:ascii="Calibri" w:eastAsia="Calibri" w:hAnsi="Calibri" w:cs="Times New Roman"/>
          <w:sz w:val="24"/>
          <w:szCs w:val="24"/>
        </w:rPr>
        <w:t>)</w:t>
      </w:r>
    </w:p>
    <w:p w:rsidR="00E21FE6" w:rsidRDefault="00E21FE6" w:rsidP="00E21FE6">
      <w:pPr>
        <w:spacing w:after="0" w:line="360" w:lineRule="auto"/>
        <w:contextualSpacing/>
        <w:jc w:val="both"/>
        <w:rPr>
          <w:rFonts w:ascii="Calibri" w:eastAsia="Calibri" w:hAnsi="Calibri" w:cs="Times New Roman"/>
          <w:sz w:val="24"/>
          <w:szCs w:val="24"/>
        </w:rPr>
      </w:pPr>
    </w:p>
    <w:p w:rsidR="004E2B27" w:rsidRPr="004E2B27" w:rsidRDefault="004E2B27" w:rsidP="00E21FE6">
      <w:pPr>
        <w:spacing w:after="0" w:line="360" w:lineRule="auto"/>
        <w:contextualSpacing/>
        <w:jc w:val="both"/>
        <w:rPr>
          <w:rFonts w:ascii="Calibri" w:eastAsia="Calibri" w:hAnsi="Calibri" w:cs="Times New Roman"/>
          <w:b/>
          <w:sz w:val="24"/>
          <w:szCs w:val="24"/>
        </w:rPr>
      </w:pPr>
      <w:r w:rsidRPr="004E2B27">
        <w:rPr>
          <w:rFonts w:ascii="Calibri" w:eastAsia="Calibri" w:hAnsi="Calibri" w:cs="Times New Roman"/>
          <w:b/>
          <w:sz w:val="24"/>
          <w:szCs w:val="24"/>
        </w:rPr>
        <w:t>16H00</w:t>
      </w:r>
      <w:r w:rsidRPr="004E2B27">
        <w:rPr>
          <w:rFonts w:ascii="Calibri" w:eastAsia="Calibri" w:hAnsi="Calibri" w:cs="Times New Roman"/>
          <w:sz w:val="24"/>
          <w:szCs w:val="24"/>
        </w:rPr>
        <w:t xml:space="preserve">   </w:t>
      </w:r>
      <w:r w:rsidRPr="004E2B27">
        <w:rPr>
          <w:rFonts w:ascii="Calibri" w:eastAsia="Calibri" w:hAnsi="Calibri" w:cs="Times New Roman"/>
          <w:b/>
          <w:sz w:val="24"/>
          <w:szCs w:val="24"/>
        </w:rPr>
        <w:t xml:space="preserve">        BREAK</w:t>
      </w:r>
    </w:p>
    <w:p w:rsidR="004E2B27" w:rsidRPr="004E2B27" w:rsidRDefault="004E2B27" w:rsidP="00E21FE6">
      <w:pPr>
        <w:spacing w:after="0" w:line="360" w:lineRule="auto"/>
        <w:contextualSpacing/>
        <w:jc w:val="both"/>
        <w:rPr>
          <w:rFonts w:ascii="Calibri" w:eastAsia="Calibri" w:hAnsi="Calibri" w:cs="Times New Roman"/>
          <w:b/>
          <w:sz w:val="24"/>
          <w:szCs w:val="24"/>
        </w:rPr>
      </w:pPr>
    </w:p>
    <w:p w:rsidR="004E2B27" w:rsidRPr="004E2B27" w:rsidRDefault="004E2B27" w:rsidP="00E21FE6">
      <w:pPr>
        <w:spacing w:after="0" w:line="360" w:lineRule="auto"/>
        <w:contextualSpacing/>
        <w:jc w:val="both"/>
        <w:rPr>
          <w:rFonts w:ascii="Calibri" w:eastAsia="Calibri" w:hAnsi="Calibri" w:cs="Times New Roman"/>
          <w:i/>
          <w:sz w:val="24"/>
          <w:szCs w:val="24"/>
          <w:u w:val="single"/>
        </w:rPr>
      </w:pPr>
      <w:r w:rsidRPr="004E2B27">
        <w:rPr>
          <w:rFonts w:ascii="Calibri" w:eastAsia="Calibri" w:hAnsi="Calibri" w:cs="Times New Roman"/>
          <w:i/>
          <w:sz w:val="24"/>
          <w:szCs w:val="24"/>
          <w:u w:val="single"/>
        </w:rPr>
        <w:t>16H30 – 1</w:t>
      </w:r>
      <w:r w:rsidR="009F4275">
        <w:rPr>
          <w:rFonts w:ascii="Calibri" w:eastAsia="Calibri" w:hAnsi="Calibri" w:cs="Times New Roman"/>
          <w:i/>
          <w:sz w:val="24"/>
          <w:szCs w:val="24"/>
          <w:u w:val="single"/>
        </w:rPr>
        <w:t>8</w:t>
      </w:r>
      <w:r w:rsidRPr="004E2B27">
        <w:rPr>
          <w:rFonts w:ascii="Calibri" w:eastAsia="Calibri" w:hAnsi="Calibri" w:cs="Times New Roman"/>
          <w:i/>
          <w:sz w:val="24"/>
          <w:szCs w:val="24"/>
          <w:u w:val="single"/>
        </w:rPr>
        <w:t>H</w:t>
      </w:r>
      <w:r w:rsidR="009F4275">
        <w:rPr>
          <w:rFonts w:ascii="Calibri" w:eastAsia="Calibri" w:hAnsi="Calibri" w:cs="Times New Roman"/>
          <w:i/>
          <w:sz w:val="24"/>
          <w:szCs w:val="24"/>
          <w:u w:val="single"/>
        </w:rPr>
        <w:t>0</w:t>
      </w:r>
      <w:r w:rsidRPr="004E2B27">
        <w:rPr>
          <w:rFonts w:ascii="Calibri" w:eastAsia="Calibri" w:hAnsi="Calibri" w:cs="Times New Roman"/>
          <w:i/>
          <w:sz w:val="24"/>
          <w:szCs w:val="24"/>
          <w:u w:val="single"/>
        </w:rPr>
        <w:t>0</w:t>
      </w:r>
    </w:p>
    <w:p w:rsidR="00892CB3" w:rsidRDefault="005B3762" w:rsidP="00E21FE6">
      <w:pPr>
        <w:pStyle w:val="ListParagraph"/>
        <w:numPr>
          <w:ilvl w:val="0"/>
          <w:numId w:val="1"/>
        </w:numPr>
        <w:jc w:val="both"/>
        <w:rPr>
          <w:rFonts w:ascii="Calibri" w:eastAsia="Calibri" w:hAnsi="Calibri" w:cs="Times New Roman"/>
          <w:sz w:val="24"/>
          <w:szCs w:val="24"/>
        </w:rPr>
      </w:pPr>
      <w:hyperlink r:id="rId17" w:history="1">
        <w:r w:rsidR="00892CB3" w:rsidRPr="005B3762">
          <w:rPr>
            <w:rStyle w:val="Hyperlink"/>
            <w:rFonts w:ascii="Calibri" w:eastAsia="Calibri" w:hAnsi="Calibri" w:cs="Times New Roman"/>
            <w:sz w:val="24"/>
            <w:szCs w:val="24"/>
          </w:rPr>
          <w:t xml:space="preserve">TUDCN </w:t>
        </w:r>
        <w:r w:rsidR="007072BD" w:rsidRPr="005B3762">
          <w:rPr>
            <w:rStyle w:val="Hyperlink"/>
            <w:rFonts w:ascii="Calibri" w:eastAsia="Calibri" w:hAnsi="Calibri" w:cs="Times New Roman"/>
            <w:sz w:val="24"/>
            <w:szCs w:val="24"/>
          </w:rPr>
          <w:t>external e</w:t>
        </w:r>
        <w:r w:rsidR="00892CB3" w:rsidRPr="005B3762">
          <w:rPr>
            <w:rStyle w:val="Hyperlink"/>
            <w:rFonts w:ascii="Calibri" w:eastAsia="Calibri" w:hAnsi="Calibri" w:cs="Times New Roman"/>
            <w:sz w:val="24"/>
            <w:szCs w:val="24"/>
          </w:rPr>
          <w:t>valuation report</w:t>
        </w:r>
      </w:hyperlink>
      <w:r w:rsidR="00892CB3" w:rsidRPr="00892CB3">
        <w:rPr>
          <w:rFonts w:ascii="Calibri" w:eastAsia="Calibri" w:hAnsi="Calibri" w:cs="Times New Roman"/>
          <w:sz w:val="24"/>
          <w:szCs w:val="24"/>
        </w:rPr>
        <w:t xml:space="preserve"> presentation</w:t>
      </w:r>
      <w:r w:rsidR="00004858">
        <w:rPr>
          <w:rFonts w:ascii="Calibri" w:eastAsia="Calibri" w:hAnsi="Calibri" w:cs="Times New Roman"/>
          <w:sz w:val="24"/>
          <w:szCs w:val="24"/>
        </w:rPr>
        <w:t xml:space="preserve"> and </w:t>
      </w:r>
      <w:r w:rsidR="007072BD">
        <w:rPr>
          <w:rFonts w:ascii="Calibri" w:eastAsia="Calibri" w:hAnsi="Calibri" w:cs="Times New Roman"/>
          <w:sz w:val="24"/>
          <w:szCs w:val="24"/>
        </w:rPr>
        <w:t xml:space="preserve">final </w:t>
      </w:r>
      <w:r w:rsidR="00004858">
        <w:rPr>
          <w:rFonts w:ascii="Calibri" w:eastAsia="Calibri" w:hAnsi="Calibri" w:cs="Times New Roman"/>
          <w:sz w:val="24"/>
          <w:szCs w:val="24"/>
        </w:rPr>
        <w:t>discussion</w:t>
      </w:r>
      <w:r w:rsidR="00E21FE6">
        <w:rPr>
          <w:rFonts w:ascii="Calibri" w:eastAsia="Calibri" w:hAnsi="Calibri" w:cs="Times New Roman"/>
          <w:sz w:val="24"/>
          <w:szCs w:val="24"/>
        </w:rPr>
        <w:t xml:space="preserve"> </w:t>
      </w:r>
      <w:r w:rsidR="001F439B">
        <w:rPr>
          <w:rFonts w:ascii="Calibri" w:eastAsia="Calibri" w:hAnsi="Calibri" w:cs="Times New Roman"/>
          <w:sz w:val="24"/>
          <w:szCs w:val="24"/>
        </w:rPr>
        <w:t xml:space="preserve">(for </w:t>
      </w:r>
      <w:r w:rsidR="002C158D">
        <w:rPr>
          <w:rFonts w:ascii="Calibri" w:eastAsia="Calibri" w:hAnsi="Calibri" w:cs="Times New Roman"/>
          <w:sz w:val="24"/>
          <w:szCs w:val="24"/>
        </w:rPr>
        <w:t>discussion</w:t>
      </w:r>
      <w:r w:rsidR="001F439B">
        <w:rPr>
          <w:rFonts w:ascii="Calibri" w:eastAsia="Calibri" w:hAnsi="Calibri" w:cs="Times New Roman"/>
          <w:sz w:val="24"/>
          <w:szCs w:val="24"/>
        </w:rPr>
        <w:t>)</w:t>
      </w:r>
      <w:bookmarkStart w:id="0" w:name="_GoBack"/>
      <w:bookmarkEnd w:id="0"/>
    </w:p>
    <w:p w:rsidR="00E21FE6" w:rsidRDefault="00E21FE6" w:rsidP="00E21FE6">
      <w:pPr>
        <w:pStyle w:val="ListParagraph"/>
        <w:ind w:left="1440"/>
        <w:jc w:val="both"/>
        <w:rPr>
          <w:rFonts w:ascii="Calibri" w:eastAsia="Calibri" w:hAnsi="Calibri" w:cs="Times New Roman"/>
          <w:sz w:val="24"/>
          <w:szCs w:val="24"/>
        </w:rPr>
      </w:pPr>
    </w:p>
    <w:p w:rsidR="00E21FE6" w:rsidRPr="00E21FE6" w:rsidRDefault="007072BD" w:rsidP="00E21FE6">
      <w:pPr>
        <w:pStyle w:val="ListParagraph"/>
        <w:numPr>
          <w:ilvl w:val="0"/>
          <w:numId w:val="1"/>
        </w:numPr>
        <w:jc w:val="both"/>
        <w:rPr>
          <w:rFonts w:ascii="Calibri" w:eastAsia="Calibri" w:hAnsi="Calibri" w:cs="Times New Roman"/>
          <w:sz w:val="24"/>
          <w:szCs w:val="24"/>
        </w:rPr>
      </w:pPr>
      <w:r>
        <w:rPr>
          <w:rFonts w:ascii="Calibri" w:eastAsia="Calibri" w:hAnsi="Calibri" w:cs="Times New Roman"/>
          <w:sz w:val="24"/>
          <w:szCs w:val="24"/>
        </w:rPr>
        <w:t xml:space="preserve">Presentation of the </w:t>
      </w:r>
      <w:hyperlink r:id="rId18" w:history="1">
        <w:r w:rsidRPr="00D47C72">
          <w:rPr>
            <w:rStyle w:val="Hyperlink"/>
            <w:rFonts w:ascii="Calibri" w:eastAsia="Calibri" w:hAnsi="Calibri" w:cs="Times New Roman"/>
            <w:sz w:val="24"/>
            <w:szCs w:val="24"/>
          </w:rPr>
          <w:t>TUDCN 2010-2013 public report</w:t>
        </w:r>
      </w:hyperlink>
      <w:r w:rsidR="001F439B">
        <w:rPr>
          <w:rFonts w:ascii="Calibri" w:eastAsia="Calibri" w:hAnsi="Calibri" w:cs="Times New Roman"/>
          <w:sz w:val="24"/>
          <w:szCs w:val="24"/>
        </w:rPr>
        <w:t xml:space="preserve"> (for feedback)</w:t>
      </w:r>
    </w:p>
    <w:p w:rsidR="004E2B27" w:rsidRPr="00E239B4" w:rsidRDefault="00E21FE6" w:rsidP="00E239B4">
      <w:pPr>
        <w:pStyle w:val="ListParagraph"/>
        <w:numPr>
          <w:ilvl w:val="0"/>
          <w:numId w:val="5"/>
        </w:numPr>
        <w:jc w:val="both"/>
        <w:rPr>
          <w:rFonts w:ascii="Calibri" w:eastAsia="Calibri" w:hAnsi="Calibri" w:cs="Times New Roman"/>
          <w:sz w:val="24"/>
          <w:szCs w:val="24"/>
        </w:rPr>
      </w:pPr>
      <w:r>
        <w:rPr>
          <w:rFonts w:ascii="Calibri" w:eastAsia="Calibri" w:hAnsi="Calibri" w:cs="Times New Roman"/>
          <w:sz w:val="24"/>
          <w:szCs w:val="24"/>
        </w:rPr>
        <w:t>structure, contents and dissemination tools</w:t>
      </w:r>
    </w:p>
    <w:p w:rsidR="004E2B27" w:rsidRPr="004E2B27" w:rsidRDefault="004E2B27" w:rsidP="004E2B27">
      <w:pPr>
        <w:shd w:val="clear" w:color="auto" w:fill="FFC000"/>
        <w:spacing w:after="0" w:line="240" w:lineRule="auto"/>
        <w:jc w:val="both"/>
        <w:rPr>
          <w:rFonts w:ascii="Calibri" w:eastAsia="Calibri" w:hAnsi="Calibri" w:cs="Times New Roman"/>
          <w:b/>
          <w:sz w:val="32"/>
          <w:szCs w:val="32"/>
        </w:rPr>
      </w:pPr>
      <w:r w:rsidRPr="004E2B27">
        <w:rPr>
          <w:rFonts w:ascii="Calibri" w:eastAsia="Calibri" w:hAnsi="Calibri" w:cs="Times New Roman"/>
          <w:b/>
          <w:sz w:val="32"/>
          <w:szCs w:val="32"/>
        </w:rPr>
        <w:lastRenderedPageBreak/>
        <w:t>THURSDAY 18:</w:t>
      </w:r>
    </w:p>
    <w:p w:rsidR="004E2B27" w:rsidRPr="004E2B27" w:rsidRDefault="004E2B27" w:rsidP="004E2B27">
      <w:pPr>
        <w:spacing w:after="0" w:line="240" w:lineRule="auto"/>
        <w:jc w:val="both"/>
        <w:rPr>
          <w:rFonts w:ascii="Calibri" w:eastAsia="Calibri" w:hAnsi="Calibri" w:cs="Times New Roman"/>
          <w:sz w:val="24"/>
          <w:szCs w:val="24"/>
          <w:highlight w:val="lightGray"/>
        </w:rPr>
      </w:pPr>
    </w:p>
    <w:p w:rsidR="004E2B27" w:rsidRPr="00892CB3" w:rsidRDefault="004E2B27" w:rsidP="00892CB3">
      <w:pPr>
        <w:spacing w:after="0" w:line="240" w:lineRule="auto"/>
        <w:jc w:val="both"/>
        <w:rPr>
          <w:rFonts w:ascii="Calibri" w:eastAsia="Calibri" w:hAnsi="Calibri" w:cs="Times New Roman"/>
          <w:b/>
          <w:i/>
          <w:sz w:val="24"/>
          <w:szCs w:val="24"/>
          <w:u w:val="single"/>
        </w:rPr>
      </w:pPr>
      <w:r w:rsidRPr="004E2B27">
        <w:rPr>
          <w:rFonts w:ascii="Calibri" w:eastAsia="Calibri" w:hAnsi="Calibri" w:cs="Times New Roman"/>
          <w:i/>
          <w:sz w:val="24"/>
          <w:szCs w:val="24"/>
          <w:u w:val="single"/>
        </w:rPr>
        <w:t>9H</w:t>
      </w:r>
      <w:r w:rsidR="009F4275">
        <w:rPr>
          <w:rFonts w:ascii="Calibri" w:eastAsia="Calibri" w:hAnsi="Calibri" w:cs="Times New Roman"/>
          <w:i/>
          <w:sz w:val="24"/>
          <w:szCs w:val="24"/>
          <w:u w:val="single"/>
        </w:rPr>
        <w:t>0</w:t>
      </w:r>
      <w:r w:rsidRPr="004E2B27">
        <w:rPr>
          <w:rFonts w:ascii="Calibri" w:eastAsia="Calibri" w:hAnsi="Calibri" w:cs="Times New Roman"/>
          <w:i/>
          <w:sz w:val="24"/>
          <w:szCs w:val="24"/>
          <w:u w:val="single"/>
        </w:rPr>
        <w:t>0 – 11H00</w:t>
      </w:r>
    </w:p>
    <w:p w:rsidR="00892CB3" w:rsidRPr="00892CB3" w:rsidRDefault="00892CB3" w:rsidP="00E21FE6">
      <w:pPr>
        <w:spacing w:after="0" w:line="360" w:lineRule="auto"/>
        <w:ind w:left="1440"/>
        <w:contextualSpacing/>
        <w:jc w:val="both"/>
        <w:rPr>
          <w:rFonts w:ascii="Calibri" w:eastAsia="Calibri" w:hAnsi="Calibri" w:cs="Times New Roman"/>
          <w:sz w:val="24"/>
          <w:szCs w:val="24"/>
        </w:rPr>
      </w:pPr>
    </w:p>
    <w:p w:rsidR="008B38C0" w:rsidRDefault="008B38C0" w:rsidP="008B38C0">
      <w:pPr>
        <w:pStyle w:val="ListParagraph"/>
        <w:ind w:left="1429"/>
        <w:jc w:val="both"/>
        <w:rPr>
          <w:rFonts w:ascii="Calibri" w:eastAsia="Calibri" w:hAnsi="Calibri" w:cs="Times New Roman"/>
          <w:sz w:val="24"/>
          <w:szCs w:val="24"/>
        </w:rPr>
      </w:pPr>
    </w:p>
    <w:p w:rsidR="008B38C0" w:rsidRPr="00AE72D5" w:rsidRDefault="008B38C0" w:rsidP="008B38C0">
      <w:pPr>
        <w:pStyle w:val="ListParagraph"/>
        <w:numPr>
          <w:ilvl w:val="0"/>
          <w:numId w:val="1"/>
        </w:numPr>
        <w:jc w:val="both"/>
        <w:rPr>
          <w:rFonts w:ascii="Calibri" w:eastAsia="Calibri" w:hAnsi="Calibri" w:cs="Times New Roman"/>
          <w:sz w:val="24"/>
          <w:szCs w:val="24"/>
        </w:rPr>
      </w:pPr>
      <w:r w:rsidRPr="00AE72D5">
        <w:rPr>
          <w:rFonts w:ascii="Calibri" w:eastAsia="Calibri" w:hAnsi="Calibri" w:cs="Times New Roman"/>
          <w:sz w:val="24"/>
          <w:szCs w:val="24"/>
        </w:rPr>
        <w:t>Presentation on TUDCN future strategies</w:t>
      </w:r>
    </w:p>
    <w:p w:rsidR="008B38C0" w:rsidRPr="00F66B81" w:rsidRDefault="008B38C0" w:rsidP="008B38C0">
      <w:pPr>
        <w:pStyle w:val="ListParagraph"/>
        <w:ind w:left="1800"/>
        <w:jc w:val="both"/>
        <w:rPr>
          <w:rFonts w:ascii="Calibri" w:eastAsia="Calibri" w:hAnsi="Calibri" w:cs="Times New Roman"/>
          <w:sz w:val="24"/>
          <w:szCs w:val="24"/>
        </w:rPr>
      </w:pPr>
      <w:r w:rsidRPr="00F66B81">
        <w:rPr>
          <w:rFonts w:ascii="Calibri" w:eastAsia="Calibri" w:hAnsi="Calibri" w:cs="Times New Roman"/>
          <w:sz w:val="24"/>
          <w:szCs w:val="24"/>
        </w:rPr>
        <w:t>-</w:t>
      </w:r>
      <w:r w:rsidRPr="00F66B81">
        <w:rPr>
          <w:rFonts w:ascii="Calibri" w:eastAsia="Calibri" w:hAnsi="Calibri" w:cs="Times New Roman"/>
          <w:sz w:val="24"/>
          <w:szCs w:val="24"/>
        </w:rPr>
        <w:tab/>
        <w:t xml:space="preserve">Draft document: </w:t>
      </w:r>
      <w:hyperlink r:id="rId19" w:history="1">
        <w:r w:rsidRPr="006169C8">
          <w:rPr>
            <w:rStyle w:val="Hyperlink"/>
            <w:rFonts w:ascii="Calibri" w:eastAsia="Calibri" w:hAnsi="Calibri" w:cs="Times New Roman"/>
            <w:sz w:val="24"/>
            <w:szCs w:val="24"/>
          </w:rPr>
          <w:t>TUDCN advocacy strategy</w:t>
        </w:r>
      </w:hyperlink>
      <w:r w:rsidRPr="00F66B81">
        <w:rPr>
          <w:rFonts w:ascii="Calibri" w:eastAsia="Calibri" w:hAnsi="Calibri" w:cs="Times New Roman"/>
          <w:sz w:val="24"/>
          <w:szCs w:val="24"/>
        </w:rPr>
        <w:t xml:space="preserve"> </w:t>
      </w:r>
      <w:r>
        <w:rPr>
          <w:rFonts w:ascii="Calibri" w:eastAsia="Calibri" w:hAnsi="Calibri" w:cs="Times New Roman"/>
          <w:sz w:val="24"/>
          <w:szCs w:val="24"/>
        </w:rPr>
        <w:t>(for adoption)</w:t>
      </w:r>
    </w:p>
    <w:p w:rsidR="008B38C0" w:rsidRPr="00F66B81" w:rsidRDefault="008B38C0" w:rsidP="008B38C0">
      <w:pPr>
        <w:pStyle w:val="ListParagraph"/>
        <w:ind w:left="1800"/>
        <w:jc w:val="both"/>
        <w:rPr>
          <w:rFonts w:ascii="Calibri" w:eastAsia="Calibri" w:hAnsi="Calibri" w:cs="Times New Roman"/>
          <w:sz w:val="24"/>
          <w:szCs w:val="24"/>
        </w:rPr>
      </w:pPr>
      <w:r>
        <w:rPr>
          <w:rFonts w:ascii="Calibri" w:eastAsia="Calibri" w:hAnsi="Calibri" w:cs="Times New Roman"/>
          <w:sz w:val="24"/>
          <w:szCs w:val="24"/>
        </w:rPr>
        <w:t xml:space="preserve">          </w:t>
      </w:r>
      <w:r w:rsidRPr="00E239B4">
        <w:rPr>
          <w:rFonts w:ascii="Calibri" w:eastAsia="Calibri" w:hAnsi="Calibri" w:cs="Times New Roman"/>
          <w:i/>
          <w:szCs w:val="24"/>
        </w:rPr>
        <w:t>Detailed documentation:</w:t>
      </w:r>
      <w:r w:rsidRPr="00F66B81">
        <w:rPr>
          <w:rFonts w:ascii="Calibri" w:eastAsia="Calibri" w:hAnsi="Calibri" w:cs="Times New Roman"/>
          <w:sz w:val="24"/>
          <w:szCs w:val="24"/>
        </w:rPr>
        <w:t xml:space="preserve"> </w:t>
      </w:r>
      <w:r w:rsidRPr="00E239B4">
        <w:rPr>
          <w:rFonts w:ascii="Calibri" w:eastAsia="Calibri" w:hAnsi="Calibri" w:cs="Times New Roman"/>
          <w:i/>
          <w:szCs w:val="24"/>
        </w:rPr>
        <w:t>CPDE and</w:t>
      </w:r>
      <w:r w:rsidRPr="00F66B81">
        <w:rPr>
          <w:rFonts w:ascii="Calibri" w:eastAsia="Calibri" w:hAnsi="Calibri" w:cs="Times New Roman"/>
          <w:sz w:val="24"/>
          <w:szCs w:val="24"/>
        </w:rPr>
        <w:t xml:space="preserve"> </w:t>
      </w:r>
      <w:hyperlink r:id="rId20" w:history="1">
        <w:r w:rsidRPr="00546FC4">
          <w:rPr>
            <w:rStyle w:val="Hyperlink"/>
            <w:rFonts w:ascii="Calibri" w:eastAsia="Calibri" w:hAnsi="Calibri" w:cs="Times New Roman"/>
            <w:sz w:val="24"/>
            <w:szCs w:val="24"/>
          </w:rPr>
          <w:t>EU PFD</w:t>
        </w:r>
      </w:hyperlink>
      <w:r w:rsidRPr="00F66B81">
        <w:rPr>
          <w:rFonts w:ascii="Calibri" w:eastAsia="Calibri" w:hAnsi="Calibri" w:cs="Times New Roman"/>
          <w:sz w:val="24"/>
          <w:szCs w:val="24"/>
        </w:rPr>
        <w:t xml:space="preserve"> </w:t>
      </w:r>
      <w:r w:rsidRPr="00E239B4">
        <w:rPr>
          <w:rFonts w:ascii="Calibri" w:eastAsia="Calibri" w:hAnsi="Calibri" w:cs="Times New Roman"/>
          <w:i/>
          <w:szCs w:val="24"/>
        </w:rPr>
        <w:t>structures and mandates</w:t>
      </w:r>
    </w:p>
    <w:p w:rsidR="008B38C0" w:rsidRDefault="008B38C0" w:rsidP="008B38C0">
      <w:pPr>
        <w:pStyle w:val="ListParagraph"/>
        <w:ind w:left="1800"/>
        <w:jc w:val="both"/>
        <w:rPr>
          <w:rFonts w:ascii="Calibri" w:eastAsia="Calibri" w:hAnsi="Calibri" w:cs="Times New Roman"/>
          <w:sz w:val="24"/>
          <w:szCs w:val="24"/>
        </w:rPr>
      </w:pPr>
      <w:r w:rsidRPr="00F66B81">
        <w:rPr>
          <w:rFonts w:ascii="Calibri" w:eastAsia="Calibri" w:hAnsi="Calibri" w:cs="Times New Roman"/>
          <w:sz w:val="24"/>
          <w:szCs w:val="24"/>
        </w:rPr>
        <w:t>-</w:t>
      </w:r>
      <w:r w:rsidRPr="00F66B81">
        <w:rPr>
          <w:rFonts w:ascii="Calibri" w:eastAsia="Calibri" w:hAnsi="Calibri" w:cs="Times New Roman"/>
          <w:sz w:val="24"/>
          <w:szCs w:val="24"/>
        </w:rPr>
        <w:tab/>
        <w:t xml:space="preserve">Draft document: </w:t>
      </w:r>
      <w:hyperlink r:id="rId21" w:history="1">
        <w:r w:rsidRPr="00F66B81">
          <w:rPr>
            <w:rStyle w:val="Hyperlink"/>
            <w:rFonts w:ascii="Calibri" w:eastAsia="Calibri" w:hAnsi="Calibri" w:cs="Times New Roman"/>
            <w:sz w:val="24"/>
            <w:szCs w:val="24"/>
          </w:rPr>
          <w:t>TUDCN Strategies on TU partnerships for development</w:t>
        </w:r>
      </w:hyperlink>
      <w:r>
        <w:rPr>
          <w:rFonts w:ascii="Calibri" w:eastAsia="Calibri" w:hAnsi="Calibri" w:cs="Times New Roman"/>
          <w:sz w:val="24"/>
          <w:szCs w:val="24"/>
        </w:rPr>
        <w:t xml:space="preserve"> (for adoption)</w:t>
      </w:r>
    </w:p>
    <w:p w:rsidR="008B38C0" w:rsidRDefault="008B38C0" w:rsidP="008B38C0">
      <w:pPr>
        <w:pStyle w:val="ListParagraph"/>
        <w:ind w:left="1800"/>
        <w:jc w:val="both"/>
        <w:rPr>
          <w:rFonts w:ascii="Calibri" w:eastAsia="Calibri" w:hAnsi="Calibri" w:cs="Times New Roman"/>
          <w:sz w:val="24"/>
          <w:szCs w:val="24"/>
        </w:rPr>
      </w:pPr>
    </w:p>
    <w:p w:rsidR="00E21FE6" w:rsidRPr="008B38C0" w:rsidRDefault="00E21FE6" w:rsidP="008B38C0">
      <w:pPr>
        <w:pStyle w:val="ListParagraph"/>
        <w:numPr>
          <w:ilvl w:val="0"/>
          <w:numId w:val="1"/>
        </w:numPr>
        <w:jc w:val="both"/>
        <w:rPr>
          <w:rFonts w:ascii="Calibri" w:eastAsia="Calibri" w:hAnsi="Calibri" w:cs="Times New Roman"/>
          <w:sz w:val="24"/>
          <w:szCs w:val="24"/>
        </w:rPr>
      </w:pPr>
      <w:r w:rsidRPr="008B38C0">
        <w:rPr>
          <w:rFonts w:ascii="Calibri" w:eastAsia="Calibri" w:hAnsi="Calibri" w:cs="Times New Roman"/>
          <w:sz w:val="24"/>
          <w:szCs w:val="24"/>
        </w:rPr>
        <w:t xml:space="preserve">TUDCN </w:t>
      </w:r>
      <w:r w:rsidR="002C158D" w:rsidRPr="008B38C0">
        <w:rPr>
          <w:rFonts w:ascii="Calibri" w:eastAsia="Calibri" w:hAnsi="Calibri" w:cs="Times New Roman"/>
          <w:sz w:val="24"/>
          <w:szCs w:val="24"/>
        </w:rPr>
        <w:t>mandate and mission</w:t>
      </w:r>
      <w:r w:rsidRPr="008B38C0">
        <w:rPr>
          <w:rFonts w:ascii="Calibri" w:eastAsia="Calibri" w:hAnsi="Calibri" w:cs="Times New Roman"/>
          <w:sz w:val="24"/>
          <w:szCs w:val="24"/>
        </w:rPr>
        <w:t>:</w:t>
      </w:r>
    </w:p>
    <w:p w:rsidR="00E21FE6" w:rsidRPr="00E21FE6" w:rsidRDefault="00E21FE6" w:rsidP="00E21FE6">
      <w:pPr>
        <w:pStyle w:val="ListParagraph"/>
        <w:numPr>
          <w:ilvl w:val="0"/>
          <w:numId w:val="5"/>
        </w:numPr>
        <w:jc w:val="both"/>
        <w:rPr>
          <w:rFonts w:ascii="Calibri" w:eastAsia="Calibri" w:hAnsi="Calibri" w:cs="Times New Roman"/>
          <w:sz w:val="24"/>
          <w:szCs w:val="24"/>
        </w:rPr>
      </w:pPr>
      <w:r>
        <w:rPr>
          <w:rFonts w:ascii="Calibri" w:eastAsia="Calibri" w:hAnsi="Calibri" w:cs="Times New Roman"/>
          <w:sz w:val="24"/>
          <w:szCs w:val="24"/>
        </w:rPr>
        <w:t>p</w:t>
      </w:r>
      <w:r w:rsidRPr="00E21FE6">
        <w:rPr>
          <w:rFonts w:ascii="Calibri" w:eastAsia="Calibri" w:hAnsi="Calibri" w:cs="Times New Roman"/>
          <w:sz w:val="24"/>
          <w:szCs w:val="24"/>
        </w:rPr>
        <w:t xml:space="preserve">resentation of the </w:t>
      </w:r>
      <w:hyperlink r:id="rId22" w:history="1">
        <w:r w:rsidRPr="00C622E4">
          <w:rPr>
            <w:rStyle w:val="Hyperlink"/>
            <w:rFonts w:ascii="Calibri" w:eastAsia="Calibri" w:hAnsi="Calibri" w:cs="Times New Roman"/>
            <w:sz w:val="24"/>
            <w:szCs w:val="24"/>
          </w:rPr>
          <w:t xml:space="preserve">TUDCN </w:t>
        </w:r>
        <w:r w:rsidR="002C158D" w:rsidRPr="00C622E4">
          <w:rPr>
            <w:rStyle w:val="Hyperlink"/>
            <w:rFonts w:ascii="Calibri" w:eastAsia="Calibri" w:hAnsi="Calibri" w:cs="Times New Roman"/>
            <w:sz w:val="24"/>
            <w:szCs w:val="24"/>
          </w:rPr>
          <w:t>governance structures and mechanisms</w:t>
        </w:r>
      </w:hyperlink>
      <w:r w:rsidRPr="00C622E4">
        <w:rPr>
          <w:rFonts w:ascii="Calibri" w:eastAsia="Calibri" w:hAnsi="Calibri" w:cs="Times New Roman"/>
          <w:sz w:val="24"/>
          <w:szCs w:val="24"/>
        </w:rPr>
        <w:t xml:space="preserve"> </w:t>
      </w:r>
      <w:r w:rsidRPr="00E21FE6">
        <w:rPr>
          <w:rFonts w:ascii="Calibri" w:eastAsia="Calibri" w:hAnsi="Calibri" w:cs="Times New Roman"/>
          <w:sz w:val="24"/>
          <w:szCs w:val="24"/>
        </w:rPr>
        <w:t>document</w:t>
      </w:r>
      <w:r w:rsidR="001F439B">
        <w:rPr>
          <w:rFonts w:ascii="Calibri" w:eastAsia="Calibri" w:hAnsi="Calibri" w:cs="Times New Roman"/>
          <w:sz w:val="24"/>
          <w:szCs w:val="24"/>
        </w:rPr>
        <w:t xml:space="preserve"> (for adoption)</w:t>
      </w:r>
    </w:p>
    <w:p w:rsidR="007072BD" w:rsidRDefault="007072BD" w:rsidP="00E21FE6">
      <w:pPr>
        <w:pStyle w:val="ListParagraph"/>
        <w:ind w:left="1440"/>
        <w:jc w:val="both"/>
        <w:rPr>
          <w:rFonts w:ascii="Calibri" w:eastAsia="Calibri" w:hAnsi="Calibri" w:cs="Times New Roman"/>
          <w:sz w:val="24"/>
          <w:szCs w:val="24"/>
        </w:rPr>
      </w:pPr>
    </w:p>
    <w:p w:rsidR="00E21FE6" w:rsidRDefault="007072BD" w:rsidP="008B38C0">
      <w:pPr>
        <w:pStyle w:val="ListParagraph"/>
        <w:numPr>
          <w:ilvl w:val="0"/>
          <w:numId w:val="1"/>
        </w:numPr>
        <w:jc w:val="both"/>
        <w:rPr>
          <w:rFonts w:ascii="Calibri" w:eastAsia="Calibri" w:hAnsi="Calibri" w:cs="Times New Roman"/>
          <w:sz w:val="24"/>
          <w:szCs w:val="24"/>
        </w:rPr>
      </w:pPr>
      <w:r>
        <w:rPr>
          <w:rFonts w:ascii="Calibri" w:eastAsia="Calibri" w:hAnsi="Calibri" w:cs="Times New Roman"/>
          <w:sz w:val="24"/>
          <w:szCs w:val="24"/>
        </w:rPr>
        <w:t xml:space="preserve">Presentation </w:t>
      </w:r>
      <w:r w:rsidR="00E21FE6">
        <w:rPr>
          <w:rFonts w:ascii="Calibri" w:eastAsia="Calibri" w:hAnsi="Calibri" w:cs="Times New Roman"/>
          <w:sz w:val="24"/>
          <w:szCs w:val="24"/>
        </w:rPr>
        <w:t xml:space="preserve">of the </w:t>
      </w:r>
      <w:hyperlink r:id="rId23" w:history="1">
        <w:r w:rsidR="00E21FE6" w:rsidRPr="009633B6">
          <w:rPr>
            <w:rStyle w:val="Hyperlink"/>
            <w:rFonts w:ascii="Calibri" w:eastAsia="Calibri" w:hAnsi="Calibri" w:cs="Times New Roman"/>
            <w:sz w:val="24"/>
            <w:szCs w:val="24"/>
          </w:rPr>
          <w:t>Trade Union</w:t>
        </w:r>
        <w:r w:rsidR="006E4AC6" w:rsidRPr="009633B6">
          <w:rPr>
            <w:rStyle w:val="Hyperlink"/>
            <w:rFonts w:ascii="Calibri" w:eastAsia="Calibri" w:hAnsi="Calibri" w:cs="Times New Roman"/>
            <w:sz w:val="24"/>
            <w:szCs w:val="24"/>
          </w:rPr>
          <w:t>s</w:t>
        </w:r>
        <w:r w:rsidR="00E21FE6" w:rsidRPr="009633B6">
          <w:rPr>
            <w:rStyle w:val="Hyperlink"/>
            <w:rFonts w:ascii="Calibri" w:eastAsia="Calibri" w:hAnsi="Calibri" w:cs="Times New Roman"/>
            <w:sz w:val="24"/>
            <w:szCs w:val="24"/>
          </w:rPr>
          <w:t xml:space="preserve"> in Development ‘Manifesto’</w:t>
        </w:r>
      </w:hyperlink>
      <w:r w:rsidR="001F439B">
        <w:rPr>
          <w:rFonts w:ascii="Calibri" w:eastAsia="Calibri" w:hAnsi="Calibri" w:cs="Times New Roman"/>
          <w:sz w:val="24"/>
          <w:szCs w:val="24"/>
        </w:rPr>
        <w:t xml:space="preserve"> (for feedback)</w:t>
      </w:r>
      <w:r w:rsidR="00E21FE6">
        <w:rPr>
          <w:rFonts w:ascii="Calibri" w:eastAsia="Calibri" w:hAnsi="Calibri" w:cs="Times New Roman"/>
          <w:sz w:val="24"/>
          <w:szCs w:val="24"/>
        </w:rPr>
        <w:t xml:space="preserve">: </w:t>
      </w:r>
    </w:p>
    <w:p w:rsidR="00AE72D5" w:rsidRDefault="00AE72D5" w:rsidP="00AE72D5">
      <w:pPr>
        <w:pStyle w:val="ListParagraph"/>
        <w:numPr>
          <w:ilvl w:val="0"/>
          <w:numId w:val="5"/>
        </w:numPr>
        <w:jc w:val="both"/>
        <w:rPr>
          <w:rFonts w:ascii="Calibri" w:eastAsia="Calibri" w:hAnsi="Calibri" w:cs="Times New Roman"/>
          <w:sz w:val="24"/>
          <w:szCs w:val="24"/>
        </w:rPr>
      </w:pPr>
      <w:r>
        <w:rPr>
          <w:rFonts w:ascii="Calibri" w:eastAsia="Calibri" w:hAnsi="Calibri" w:cs="Times New Roman"/>
          <w:sz w:val="24"/>
          <w:szCs w:val="24"/>
        </w:rPr>
        <w:t>results achieved, main future objectives and next challenges to be addressed</w:t>
      </w:r>
    </w:p>
    <w:p w:rsidR="00F66B81" w:rsidRPr="00AE72D5" w:rsidRDefault="00F66B81" w:rsidP="00F66B81">
      <w:pPr>
        <w:pStyle w:val="ListParagraph"/>
        <w:ind w:left="1800"/>
        <w:jc w:val="both"/>
        <w:rPr>
          <w:rFonts w:ascii="Calibri" w:eastAsia="Calibri" w:hAnsi="Calibri" w:cs="Times New Roman"/>
          <w:sz w:val="24"/>
          <w:szCs w:val="24"/>
        </w:rPr>
      </w:pPr>
    </w:p>
    <w:p w:rsidR="004E2B27" w:rsidRPr="004E2B27" w:rsidRDefault="004E2B27" w:rsidP="004E2B27">
      <w:pPr>
        <w:spacing w:after="0" w:line="240" w:lineRule="auto"/>
        <w:jc w:val="both"/>
        <w:rPr>
          <w:rFonts w:ascii="Calibri" w:eastAsia="Calibri" w:hAnsi="Calibri" w:cs="Times New Roman"/>
          <w:sz w:val="24"/>
          <w:szCs w:val="24"/>
        </w:rPr>
      </w:pPr>
      <w:r w:rsidRPr="004E2B27">
        <w:rPr>
          <w:rFonts w:ascii="Calibri" w:eastAsia="Calibri" w:hAnsi="Calibri" w:cs="Times New Roman"/>
          <w:b/>
          <w:sz w:val="24"/>
          <w:szCs w:val="24"/>
        </w:rPr>
        <w:t>11H00             BREAK</w:t>
      </w:r>
    </w:p>
    <w:p w:rsidR="002C158D" w:rsidRDefault="002C158D" w:rsidP="004E2B27">
      <w:pPr>
        <w:spacing w:after="0" w:line="240" w:lineRule="auto"/>
        <w:jc w:val="both"/>
        <w:rPr>
          <w:rFonts w:ascii="Calibri" w:eastAsia="Calibri" w:hAnsi="Calibri" w:cs="Times New Roman"/>
          <w:i/>
          <w:sz w:val="24"/>
          <w:szCs w:val="24"/>
          <w:u w:val="single"/>
        </w:rPr>
      </w:pPr>
    </w:p>
    <w:p w:rsidR="004E2B27" w:rsidRDefault="004E2B27" w:rsidP="004E2B27">
      <w:pPr>
        <w:spacing w:after="0" w:line="240" w:lineRule="auto"/>
        <w:jc w:val="both"/>
        <w:rPr>
          <w:rFonts w:ascii="Calibri" w:eastAsia="Calibri" w:hAnsi="Calibri" w:cs="Times New Roman"/>
          <w:i/>
          <w:sz w:val="24"/>
          <w:szCs w:val="24"/>
          <w:u w:val="single"/>
        </w:rPr>
      </w:pPr>
      <w:r w:rsidRPr="004E2B27">
        <w:rPr>
          <w:rFonts w:ascii="Calibri" w:eastAsia="Calibri" w:hAnsi="Calibri" w:cs="Times New Roman"/>
          <w:i/>
          <w:sz w:val="24"/>
          <w:szCs w:val="24"/>
          <w:u w:val="single"/>
        </w:rPr>
        <w:t>11H30 – 12H30</w:t>
      </w:r>
    </w:p>
    <w:p w:rsidR="00200BD0" w:rsidRPr="004E2B27" w:rsidRDefault="00200BD0" w:rsidP="004E2B27">
      <w:pPr>
        <w:spacing w:after="0" w:line="240" w:lineRule="auto"/>
        <w:jc w:val="both"/>
        <w:rPr>
          <w:rFonts w:ascii="Calibri" w:eastAsia="Calibri" w:hAnsi="Calibri" w:cs="Times New Roman"/>
          <w:i/>
          <w:sz w:val="24"/>
          <w:szCs w:val="24"/>
          <w:u w:val="single"/>
        </w:rPr>
      </w:pPr>
    </w:p>
    <w:p w:rsidR="006E4AC6" w:rsidRDefault="00004858" w:rsidP="008B38C0">
      <w:pPr>
        <w:numPr>
          <w:ilvl w:val="0"/>
          <w:numId w:val="1"/>
        </w:numPr>
        <w:spacing w:after="0" w:line="360" w:lineRule="auto"/>
        <w:contextualSpacing/>
        <w:jc w:val="both"/>
        <w:rPr>
          <w:rFonts w:ascii="Calibri" w:eastAsia="Calibri" w:hAnsi="Calibri" w:cs="Times New Roman"/>
          <w:sz w:val="24"/>
          <w:szCs w:val="24"/>
        </w:rPr>
      </w:pPr>
      <w:r w:rsidRPr="00004858">
        <w:rPr>
          <w:rFonts w:ascii="Calibri" w:eastAsia="Calibri" w:hAnsi="Calibri" w:cs="Times New Roman"/>
          <w:sz w:val="24"/>
          <w:szCs w:val="24"/>
        </w:rPr>
        <w:t>W</w:t>
      </w:r>
      <w:r w:rsidR="007072BD">
        <w:rPr>
          <w:rFonts w:ascii="Calibri" w:eastAsia="Calibri" w:hAnsi="Calibri" w:cs="Times New Roman"/>
          <w:sz w:val="24"/>
          <w:szCs w:val="24"/>
        </w:rPr>
        <w:t xml:space="preserve">orking Groups </w:t>
      </w:r>
      <w:r w:rsidR="006E4AC6">
        <w:rPr>
          <w:rFonts w:ascii="Calibri" w:eastAsia="Calibri" w:hAnsi="Calibri" w:cs="Times New Roman"/>
          <w:sz w:val="24"/>
          <w:szCs w:val="24"/>
        </w:rPr>
        <w:t xml:space="preserve">and conclusions in plenary </w:t>
      </w:r>
      <w:r w:rsidR="007072BD">
        <w:rPr>
          <w:rFonts w:ascii="Calibri" w:eastAsia="Calibri" w:hAnsi="Calibri" w:cs="Times New Roman"/>
          <w:sz w:val="24"/>
          <w:szCs w:val="24"/>
        </w:rPr>
        <w:t xml:space="preserve">on: </w:t>
      </w:r>
    </w:p>
    <w:p w:rsidR="006E4AC6" w:rsidRDefault="006E4AC6" w:rsidP="006E4AC6">
      <w:pPr>
        <w:pStyle w:val="ListParagraph"/>
        <w:numPr>
          <w:ilvl w:val="0"/>
          <w:numId w:val="5"/>
        </w:numPr>
        <w:spacing w:after="0" w:line="360" w:lineRule="auto"/>
        <w:jc w:val="both"/>
        <w:rPr>
          <w:rFonts w:ascii="Calibri" w:eastAsia="Calibri" w:hAnsi="Calibri" w:cs="Times New Roman"/>
          <w:sz w:val="24"/>
          <w:szCs w:val="24"/>
        </w:rPr>
      </w:pPr>
      <w:r>
        <w:rPr>
          <w:rFonts w:ascii="Calibri" w:eastAsia="Calibri" w:hAnsi="Calibri" w:cs="Times New Roman"/>
          <w:sz w:val="24"/>
          <w:szCs w:val="24"/>
        </w:rPr>
        <w:t xml:space="preserve">TUDCN </w:t>
      </w:r>
      <w:r w:rsidR="002C158D">
        <w:rPr>
          <w:rFonts w:ascii="Calibri" w:eastAsia="Calibri" w:hAnsi="Calibri" w:cs="Times New Roman"/>
          <w:sz w:val="24"/>
          <w:szCs w:val="24"/>
        </w:rPr>
        <w:t>Governance</w:t>
      </w:r>
      <w:r w:rsidRPr="006E4AC6">
        <w:rPr>
          <w:rFonts w:ascii="Calibri" w:eastAsia="Calibri" w:hAnsi="Calibri" w:cs="Times New Roman"/>
          <w:sz w:val="24"/>
          <w:szCs w:val="24"/>
        </w:rPr>
        <w:t xml:space="preserve"> </w:t>
      </w:r>
      <w:r>
        <w:rPr>
          <w:rFonts w:ascii="Calibri" w:eastAsia="Calibri" w:hAnsi="Calibri" w:cs="Times New Roman"/>
          <w:sz w:val="24"/>
          <w:szCs w:val="24"/>
        </w:rPr>
        <w:t xml:space="preserve">document </w:t>
      </w:r>
    </w:p>
    <w:p w:rsidR="00892CB3" w:rsidRDefault="006E4AC6" w:rsidP="00375017">
      <w:pPr>
        <w:pStyle w:val="ListParagraph"/>
        <w:numPr>
          <w:ilvl w:val="0"/>
          <w:numId w:val="5"/>
        </w:numPr>
        <w:spacing w:after="0" w:line="360" w:lineRule="auto"/>
        <w:jc w:val="both"/>
        <w:rPr>
          <w:rFonts w:ascii="Calibri" w:eastAsia="Calibri" w:hAnsi="Calibri" w:cs="Times New Roman"/>
          <w:sz w:val="24"/>
          <w:szCs w:val="24"/>
        </w:rPr>
      </w:pPr>
      <w:r w:rsidRPr="006E4AC6">
        <w:rPr>
          <w:rFonts w:ascii="Calibri" w:eastAsia="Calibri" w:hAnsi="Calibri" w:cs="Times New Roman"/>
          <w:sz w:val="24"/>
          <w:szCs w:val="24"/>
        </w:rPr>
        <w:t>Trade Union</w:t>
      </w:r>
      <w:r>
        <w:rPr>
          <w:rFonts w:ascii="Calibri" w:eastAsia="Calibri" w:hAnsi="Calibri" w:cs="Times New Roman"/>
          <w:sz w:val="24"/>
          <w:szCs w:val="24"/>
        </w:rPr>
        <w:t>s</w:t>
      </w:r>
      <w:r w:rsidRPr="006E4AC6">
        <w:rPr>
          <w:rFonts w:ascii="Calibri" w:eastAsia="Calibri" w:hAnsi="Calibri" w:cs="Times New Roman"/>
          <w:sz w:val="24"/>
          <w:szCs w:val="24"/>
        </w:rPr>
        <w:t xml:space="preserve"> in Development ‘Manifesto’</w:t>
      </w:r>
    </w:p>
    <w:p w:rsidR="002C158D" w:rsidRDefault="002C158D" w:rsidP="008B38C0">
      <w:pPr>
        <w:numPr>
          <w:ilvl w:val="0"/>
          <w:numId w:val="1"/>
        </w:numPr>
        <w:spacing w:after="0" w:line="360" w:lineRule="auto"/>
        <w:contextualSpacing/>
        <w:jc w:val="both"/>
        <w:rPr>
          <w:rFonts w:ascii="Calibri" w:eastAsia="Calibri" w:hAnsi="Calibri" w:cs="Times New Roman"/>
          <w:sz w:val="24"/>
          <w:szCs w:val="24"/>
        </w:rPr>
      </w:pPr>
      <w:r w:rsidRPr="00892CB3">
        <w:rPr>
          <w:rFonts w:ascii="Calibri" w:eastAsia="Calibri" w:hAnsi="Calibri" w:cs="Times New Roman"/>
          <w:sz w:val="24"/>
          <w:szCs w:val="24"/>
        </w:rPr>
        <w:t xml:space="preserve">Conclusions </w:t>
      </w:r>
      <w:r>
        <w:rPr>
          <w:rFonts w:ascii="Calibri" w:eastAsia="Calibri" w:hAnsi="Calibri" w:cs="Times New Roman"/>
          <w:sz w:val="24"/>
          <w:szCs w:val="24"/>
        </w:rPr>
        <w:t>in plenary</w:t>
      </w:r>
    </w:p>
    <w:p w:rsidR="002C158D" w:rsidRDefault="002C158D" w:rsidP="004E2B27">
      <w:pPr>
        <w:spacing w:after="0" w:line="240" w:lineRule="auto"/>
        <w:jc w:val="both"/>
        <w:rPr>
          <w:rFonts w:ascii="Calibri" w:eastAsia="Calibri" w:hAnsi="Calibri" w:cs="Times New Roman"/>
          <w:b/>
          <w:sz w:val="24"/>
          <w:szCs w:val="24"/>
        </w:rPr>
      </w:pPr>
    </w:p>
    <w:p w:rsidR="004E2B27" w:rsidRPr="004E2B27" w:rsidRDefault="004E2B27" w:rsidP="004E2B27">
      <w:pPr>
        <w:spacing w:after="0" w:line="240" w:lineRule="auto"/>
        <w:jc w:val="both"/>
        <w:rPr>
          <w:rFonts w:ascii="Calibri" w:eastAsia="Calibri" w:hAnsi="Calibri" w:cs="Times New Roman"/>
          <w:sz w:val="24"/>
          <w:szCs w:val="24"/>
        </w:rPr>
      </w:pPr>
      <w:r w:rsidRPr="004E2B27">
        <w:rPr>
          <w:rFonts w:ascii="Calibri" w:eastAsia="Calibri" w:hAnsi="Calibri" w:cs="Times New Roman"/>
          <w:b/>
          <w:sz w:val="24"/>
          <w:szCs w:val="24"/>
        </w:rPr>
        <w:t>12H30</w:t>
      </w:r>
      <w:r w:rsidRPr="004E2B27">
        <w:rPr>
          <w:rFonts w:ascii="Calibri" w:eastAsia="Calibri" w:hAnsi="Calibri" w:cs="Times New Roman"/>
          <w:sz w:val="24"/>
          <w:szCs w:val="24"/>
        </w:rPr>
        <w:t xml:space="preserve">             </w:t>
      </w:r>
      <w:r w:rsidRPr="004E2B27">
        <w:rPr>
          <w:rFonts w:ascii="Calibri" w:eastAsia="Calibri" w:hAnsi="Calibri" w:cs="Times New Roman"/>
          <w:b/>
          <w:sz w:val="24"/>
          <w:szCs w:val="24"/>
        </w:rPr>
        <w:t>LUNCH</w:t>
      </w:r>
    </w:p>
    <w:p w:rsidR="004E2B27" w:rsidRPr="004E2B27" w:rsidRDefault="004E2B27" w:rsidP="004E2B27">
      <w:pPr>
        <w:spacing w:after="0" w:line="240" w:lineRule="auto"/>
        <w:jc w:val="both"/>
        <w:rPr>
          <w:rFonts w:ascii="Calibri" w:eastAsia="Calibri" w:hAnsi="Calibri" w:cs="Times New Roman"/>
          <w:sz w:val="24"/>
          <w:szCs w:val="24"/>
        </w:rPr>
      </w:pPr>
    </w:p>
    <w:p w:rsidR="004E2B27" w:rsidRDefault="004E2B27" w:rsidP="004E2B27">
      <w:pPr>
        <w:spacing w:after="0" w:line="360" w:lineRule="auto"/>
        <w:contextualSpacing/>
        <w:jc w:val="both"/>
        <w:rPr>
          <w:rFonts w:ascii="Calibri" w:eastAsia="Calibri" w:hAnsi="Calibri" w:cs="Times New Roman"/>
          <w:i/>
          <w:sz w:val="24"/>
          <w:szCs w:val="24"/>
          <w:u w:val="single"/>
        </w:rPr>
      </w:pPr>
      <w:r w:rsidRPr="004E2B27">
        <w:rPr>
          <w:rFonts w:ascii="Calibri" w:eastAsia="Calibri" w:hAnsi="Calibri" w:cs="Times New Roman"/>
          <w:i/>
          <w:sz w:val="24"/>
          <w:szCs w:val="24"/>
          <w:u w:val="single"/>
        </w:rPr>
        <w:t xml:space="preserve">14H00 – 17H30     </w:t>
      </w:r>
    </w:p>
    <w:p w:rsidR="00200BD0" w:rsidRPr="004E2B27" w:rsidRDefault="00200BD0" w:rsidP="004E2B27">
      <w:pPr>
        <w:spacing w:after="0" w:line="360" w:lineRule="auto"/>
        <w:contextualSpacing/>
        <w:jc w:val="both"/>
        <w:rPr>
          <w:rFonts w:ascii="Calibri" w:eastAsia="Calibri" w:hAnsi="Calibri" w:cs="Times New Roman"/>
          <w:i/>
          <w:sz w:val="24"/>
          <w:szCs w:val="24"/>
          <w:u w:val="single"/>
        </w:rPr>
      </w:pPr>
    </w:p>
    <w:p w:rsidR="006E4AC6" w:rsidRDefault="006E4AC6" w:rsidP="008B38C0">
      <w:pPr>
        <w:numPr>
          <w:ilvl w:val="0"/>
          <w:numId w:val="1"/>
        </w:numPr>
        <w:spacing w:after="0" w:line="36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The </w:t>
      </w:r>
      <w:r w:rsidR="00004858" w:rsidRPr="006E4AC6">
        <w:rPr>
          <w:rFonts w:ascii="Calibri" w:eastAsia="Calibri" w:hAnsi="Calibri" w:cs="Times New Roman"/>
          <w:sz w:val="24"/>
          <w:szCs w:val="24"/>
        </w:rPr>
        <w:t xml:space="preserve">post 2015 </w:t>
      </w:r>
      <w:r w:rsidR="004274A8">
        <w:rPr>
          <w:rFonts w:ascii="Calibri" w:eastAsia="Calibri" w:hAnsi="Calibri" w:cs="Times New Roman"/>
          <w:sz w:val="24"/>
          <w:szCs w:val="24"/>
        </w:rPr>
        <w:t>institutional</w:t>
      </w:r>
      <w:r>
        <w:rPr>
          <w:rFonts w:ascii="Calibri" w:eastAsia="Calibri" w:hAnsi="Calibri" w:cs="Times New Roman"/>
          <w:sz w:val="24"/>
          <w:szCs w:val="24"/>
        </w:rPr>
        <w:t xml:space="preserve"> </w:t>
      </w:r>
      <w:r w:rsidR="00004858" w:rsidRPr="006E4AC6">
        <w:rPr>
          <w:rFonts w:ascii="Calibri" w:eastAsia="Calibri" w:hAnsi="Calibri" w:cs="Times New Roman"/>
          <w:sz w:val="24"/>
          <w:szCs w:val="24"/>
        </w:rPr>
        <w:t>process and framework</w:t>
      </w:r>
      <w:r>
        <w:rPr>
          <w:rFonts w:ascii="Calibri" w:eastAsia="Calibri" w:hAnsi="Calibri" w:cs="Times New Roman"/>
          <w:sz w:val="24"/>
          <w:szCs w:val="24"/>
        </w:rPr>
        <w:t xml:space="preserve">’s contents: </w:t>
      </w:r>
    </w:p>
    <w:p w:rsidR="00375017" w:rsidRPr="00577BBE" w:rsidRDefault="00E239B4" w:rsidP="00375017">
      <w:pPr>
        <w:spacing w:after="0" w:line="360" w:lineRule="auto"/>
        <w:ind w:left="1440"/>
        <w:contextualSpacing/>
        <w:jc w:val="both"/>
        <w:rPr>
          <w:rFonts w:ascii="Calibri" w:eastAsia="Calibri" w:hAnsi="Calibri" w:cs="Times New Roman"/>
          <w:i/>
          <w:szCs w:val="24"/>
        </w:rPr>
      </w:pPr>
      <w:r>
        <w:rPr>
          <w:rFonts w:ascii="Calibri" w:eastAsia="Calibri" w:hAnsi="Calibri" w:cs="Times New Roman"/>
          <w:i/>
          <w:szCs w:val="24"/>
        </w:rPr>
        <w:lastRenderedPageBreak/>
        <w:t xml:space="preserve">Detailed documentation: </w:t>
      </w:r>
      <w:r w:rsidR="00375017">
        <w:rPr>
          <w:rFonts w:ascii="Calibri" w:eastAsia="Calibri" w:hAnsi="Calibri" w:cs="Times New Roman"/>
          <w:i/>
          <w:szCs w:val="24"/>
        </w:rPr>
        <w:t xml:space="preserve">ITUC </w:t>
      </w:r>
      <w:hyperlink r:id="rId24" w:history="1">
        <w:r w:rsidR="00375017" w:rsidRPr="00577BBE">
          <w:rPr>
            <w:rStyle w:val="Hyperlink"/>
            <w:rFonts w:ascii="Calibri" w:eastAsia="Calibri" w:hAnsi="Calibri" w:cs="Times New Roman"/>
            <w:i/>
            <w:szCs w:val="24"/>
          </w:rPr>
          <w:t>Briefing Paper</w:t>
        </w:r>
      </w:hyperlink>
      <w:r w:rsidR="00375017" w:rsidRPr="00577BBE">
        <w:rPr>
          <w:rFonts w:ascii="Calibri" w:eastAsia="Calibri" w:hAnsi="Calibri" w:cs="Times New Roman"/>
          <w:i/>
          <w:szCs w:val="24"/>
        </w:rPr>
        <w:t xml:space="preserve"> on the Post-2015 Development</w:t>
      </w:r>
      <w:r w:rsidR="00375017">
        <w:rPr>
          <w:rFonts w:ascii="Calibri" w:eastAsia="Calibri" w:hAnsi="Calibri" w:cs="Times New Roman"/>
          <w:i/>
          <w:szCs w:val="24"/>
        </w:rPr>
        <w:t xml:space="preserve">; Briefings </w:t>
      </w:r>
      <w:r w:rsidR="00432D64">
        <w:rPr>
          <w:rFonts w:ascii="Calibri" w:eastAsia="Calibri" w:hAnsi="Calibri" w:cs="Times New Roman"/>
          <w:i/>
          <w:szCs w:val="24"/>
        </w:rPr>
        <w:t xml:space="preserve">notes </w:t>
      </w:r>
      <w:r w:rsidR="00375017">
        <w:rPr>
          <w:rFonts w:ascii="Calibri" w:eastAsia="Calibri" w:hAnsi="Calibri" w:cs="Times New Roman"/>
          <w:i/>
          <w:szCs w:val="24"/>
        </w:rPr>
        <w:t xml:space="preserve">on </w:t>
      </w:r>
      <w:r w:rsidR="00375017" w:rsidRPr="00577BBE">
        <w:rPr>
          <w:rFonts w:ascii="Calibri" w:eastAsia="Calibri" w:hAnsi="Calibri" w:cs="Times New Roman"/>
          <w:i/>
          <w:szCs w:val="24"/>
        </w:rPr>
        <w:t xml:space="preserve"> </w:t>
      </w:r>
      <w:hyperlink r:id="rId25" w:history="1">
        <w:r w:rsidR="00375017" w:rsidRPr="00577BBE">
          <w:rPr>
            <w:rStyle w:val="Hyperlink"/>
            <w:rFonts w:ascii="Calibri" w:eastAsia="Calibri" w:hAnsi="Calibri" w:cs="Times New Roman"/>
            <w:i/>
            <w:szCs w:val="24"/>
          </w:rPr>
          <w:t>Decent Work</w:t>
        </w:r>
      </w:hyperlink>
      <w:r w:rsidR="00375017" w:rsidRPr="00577BBE">
        <w:rPr>
          <w:rFonts w:ascii="Calibri" w:eastAsia="Calibri" w:hAnsi="Calibri" w:cs="Times New Roman"/>
          <w:i/>
          <w:szCs w:val="24"/>
        </w:rPr>
        <w:t xml:space="preserve"> and </w:t>
      </w:r>
      <w:hyperlink r:id="rId26" w:history="1">
        <w:r w:rsidR="00375017" w:rsidRPr="00577BBE">
          <w:rPr>
            <w:rStyle w:val="Hyperlink"/>
            <w:rFonts w:ascii="Calibri" w:eastAsia="Calibri" w:hAnsi="Calibri" w:cs="Times New Roman"/>
            <w:i/>
            <w:szCs w:val="24"/>
          </w:rPr>
          <w:t>Social Protection</w:t>
        </w:r>
      </w:hyperlink>
      <w:r w:rsidR="00375017">
        <w:rPr>
          <w:rFonts w:ascii="Calibri" w:eastAsia="Calibri" w:hAnsi="Calibri" w:cs="Times New Roman"/>
          <w:i/>
          <w:szCs w:val="24"/>
        </w:rPr>
        <w:t xml:space="preserve">,; </w:t>
      </w:r>
      <w:r w:rsidR="00375017" w:rsidRPr="00577BBE">
        <w:rPr>
          <w:rFonts w:ascii="Calibri" w:eastAsia="Calibri" w:hAnsi="Calibri" w:cs="Times New Roman"/>
          <w:i/>
          <w:szCs w:val="24"/>
        </w:rPr>
        <w:t xml:space="preserve">paper on </w:t>
      </w:r>
      <w:hyperlink r:id="rId27" w:history="1">
        <w:r w:rsidR="003763CB">
          <w:rPr>
            <w:rStyle w:val="Hyperlink"/>
            <w:rFonts w:ascii="Calibri" w:eastAsia="Calibri" w:hAnsi="Calibri" w:cs="Times New Roman"/>
            <w:i/>
            <w:szCs w:val="24"/>
          </w:rPr>
          <w:t>I</w:t>
        </w:r>
        <w:r w:rsidR="00375017" w:rsidRPr="00DB2B19">
          <w:rPr>
            <w:rStyle w:val="Hyperlink"/>
            <w:rFonts w:ascii="Calibri" w:eastAsia="Calibri" w:hAnsi="Calibri" w:cs="Times New Roman"/>
            <w:i/>
            <w:szCs w:val="24"/>
          </w:rPr>
          <w:t>nequalities</w:t>
        </w:r>
      </w:hyperlink>
      <w:r>
        <w:rPr>
          <w:rFonts w:ascii="Calibri" w:eastAsia="Calibri" w:hAnsi="Calibri" w:cs="Times New Roman"/>
          <w:i/>
          <w:szCs w:val="24"/>
        </w:rPr>
        <w:t xml:space="preserve"> in the post-2015 agenda</w:t>
      </w:r>
    </w:p>
    <w:p w:rsidR="00004858" w:rsidRPr="00CF5A4D" w:rsidRDefault="00F66B81" w:rsidP="00E239B4">
      <w:pPr>
        <w:pStyle w:val="ListParagraph"/>
        <w:numPr>
          <w:ilvl w:val="0"/>
          <w:numId w:val="5"/>
        </w:numPr>
        <w:spacing w:after="0" w:line="360" w:lineRule="auto"/>
        <w:jc w:val="both"/>
        <w:rPr>
          <w:rFonts w:ascii="Calibri" w:eastAsia="Calibri" w:hAnsi="Calibri" w:cs="Times New Roman"/>
          <w:sz w:val="24"/>
          <w:szCs w:val="24"/>
        </w:rPr>
      </w:pPr>
      <w:r>
        <w:rPr>
          <w:rFonts w:ascii="Calibri" w:eastAsia="Calibri" w:hAnsi="Calibri" w:cs="Times New Roman"/>
          <w:sz w:val="24"/>
          <w:szCs w:val="24"/>
        </w:rPr>
        <w:t>Round table</w:t>
      </w:r>
      <w:r w:rsidR="002C158D" w:rsidRPr="002C158D">
        <w:rPr>
          <w:rFonts w:ascii="Calibri" w:eastAsia="Calibri" w:hAnsi="Calibri" w:cs="Times New Roman"/>
          <w:sz w:val="24"/>
          <w:szCs w:val="24"/>
        </w:rPr>
        <w:t xml:space="preserve"> </w:t>
      </w:r>
      <w:r w:rsidR="002C158D">
        <w:rPr>
          <w:rFonts w:ascii="Calibri" w:eastAsia="Calibri" w:hAnsi="Calibri" w:cs="Times New Roman"/>
          <w:sz w:val="24"/>
          <w:szCs w:val="24"/>
        </w:rPr>
        <w:t>moderated by Claire Courteille, ITUC Equality dep. Director</w:t>
      </w:r>
      <w:r w:rsidR="006E4AC6" w:rsidRPr="00CF5A4D">
        <w:rPr>
          <w:rFonts w:ascii="Calibri" w:eastAsia="Calibri" w:hAnsi="Calibri" w:cs="Times New Roman"/>
          <w:sz w:val="24"/>
          <w:szCs w:val="24"/>
        </w:rPr>
        <w:t xml:space="preserve">:  </w:t>
      </w:r>
      <w:r w:rsidR="00004858" w:rsidRPr="00CF5A4D">
        <w:rPr>
          <w:rFonts w:ascii="Calibri" w:eastAsia="Calibri" w:hAnsi="Calibri" w:cs="Times New Roman"/>
          <w:sz w:val="24"/>
          <w:szCs w:val="24"/>
        </w:rPr>
        <w:t xml:space="preserve">Lars </w:t>
      </w:r>
      <w:proofErr w:type="spellStart"/>
      <w:r w:rsidR="00004858" w:rsidRPr="00CF5A4D">
        <w:rPr>
          <w:rFonts w:ascii="Calibri" w:eastAsia="Calibri" w:hAnsi="Calibri" w:cs="Times New Roman"/>
          <w:sz w:val="24"/>
          <w:szCs w:val="24"/>
        </w:rPr>
        <w:t>Engberg</w:t>
      </w:r>
      <w:proofErr w:type="spellEnd"/>
      <w:r w:rsidR="006E4AC6" w:rsidRPr="00CF5A4D">
        <w:rPr>
          <w:rFonts w:ascii="Calibri" w:eastAsia="Calibri" w:hAnsi="Calibri" w:cs="Times New Roman"/>
          <w:sz w:val="24"/>
          <w:szCs w:val="24"/>
        </w:rPr>
        <w:t>-Pedersen</w:t>
      </w:r>
      <w:r w:rsidR="00004858" w:rsidRPr="00CF5A4D">
        <w:rPr>
          <w:rFonts w:ascii="Calibri" w:eastAsia="Calibri" w:hAnsi="Calibri" w:cs="Times New Roman"/>
          <w:sz w:val="24"/>
          <w:szCs w:val="24"/>
        </w:rPr>
        <w:t>, D</w:t>
      </w:r>
      <w:r w:rsidR="006E4AC6" w:rsidRPr="00CF5A4D">
        <w:rPr>
          <w:rFonts w:ascii="Calibri" w:eastAsia="Calibri" w:hAnsi="Calibri" w:cs="Times New Roman"/>
          <w:sz w:val="24"/>
          <w:szCs w:val="24"/>
        </w:rPr>
        <w:t xml:space="preserve">anish Institute for </w:t>
      </w:r>
      <w:r w:rsidR="00004858" w:rsidRPr="00CF5A4D">
        <w:rPr>
          <w:rFonts w:ascii="Calibri" w:eastAsia="Calibri" w:hAnsi="Calibri" w:cs="Times New Roman"/>
          <w:sz w:val="24"/>
          <w:szCs w:val="24"/>
        </w:rPr>
        <w:t>I</w:t>
      </w:r>
      <w:r w:rsidR="006E4AC6" w:rsidRPr="00CF5A4D">
        <w:rPr>
          <w:rFonts w:ascii="Calibri" w:eastAsia="Calibri" w:hAnsi="Calibri" w:cs="Times New Roman"/>
          <w:sz w:val="24"/>
          <w:szCs w:val="24"/>
        </w:rPr>
        <w:t>nternational Studies- DIIS (Member of the Advisory Group on Inequalities UN thematic consultation)</w:t>
      </w:r>
      <w:r>
        <w:t xml:space="preserve">, </w:t>
      </w:r>
      <w:r w:rsidRPr="005745EB">
        <w:rPr>
          <w:sz w:val="24"/>
        </w:rPr>
        <w:t xml:space="preserve">Roberto </w:t>
      </w:r>
      <w:proofErr w:type="spellStart"/>
      <w:r w:rsidRPr="005745EB">
        <w:rPr>
          <w:sz w:val="24"/>
        </w:rPr>
        <w:t>Bissio</w:t>
      </w:r>
      <w:proofErr w:type="spellEnd"/>
      <w:r w:rsidRPr="005745EB">
        <w:rPr>
          <w:sz w:val="24"/>
        </w:rPr>
        <w:t xml:space="preserve">, </w:t>
      </w:r>
      <w:r w:rsidR="00E239B4">
        <w:rPr>
          <w:sz w:val="24"/>
        </w:rPr>
        <w:t>D</w:t>
      </w:r>
      <w:r w:rsidR="00E239B4" w:rsidRPr="00E239B4">
        <w:rPr>
          <w:sz w:val="24"/>
        </w:rPr>
        <w:t xml:space="preserve">irector of the </w:t>
      </w:r>
      <w:proofErr w:type="spellStart"/>
      <w:r w:rsidR="00E239B4" w:rsidRPr="00E239B4">
        <w:rPr>
          <w:sz w:val="24"/>
        </w:rPr>
        <w:t>Instituto</w:t>
      </w:r>
      <w:proofErr w:type="spellEnd"/>
      <w:r w:rsidR="00E239B4" w:rsidRPr="00E239B4">
        <w:rPr>
          <w:sz w:val="24"/>
        </w:rPr>
        <w:t xml:space="preserve"> del </w:t>
      </w:r>
      <w:proofErr w:type="spellStart"/>
      <w:r w:rsidR="00E239B4" w:rsidRPr="00E239B4">
        <w:rPr>
          <w:sz w:val="24"/>
        </w:rPr>
        <w:t>Tercer</w:t>
      </w:r>
      <w:proofErr w:type="spellEnd"/>
      <w:r w:rsidR="00E239B4" w:rsidRPr="00E239B4">
        <w:rPr>
          <w:sz w:val="24"/>
        </w:rPr>
        <w:t xml:space="preserve"> </w:t>
      </w:r>
      <w:proofErr w:type="spellStart"/>
      <w:r w:rsidR="00E239B4" w:rsidRPr="00E239B4">
        <w:rPr>
          <w:sz w:val="24"/>
        </w:rPr>
        <w:t>Mundo</w:t>
      </w:r>
      <w:proofErr w:type="spellEnd"/>
      <w:r w:rsidR="00E239B4" w:rsidRPr="00E239B4">
        <w:rPr>
          <w:sz w:val="24"/>
        </w:rPr>
        <w:t xml:space="preserve"> </w:t>
      </w:r>
      <w:r w:rsidR="00E239B4">
        <w:rPr>
          <w:sz w:val="24"/>
        </w:rPr>
        <w:t>(</w:t>
      </w:r>
      <w:r w:rsidRPr="005745EB">
        <w:rPr>
          <w:sz w:val="24"/>
        </w:rPr>
        <w:t>Social Watch Coordinator</w:t>
      </w:r>
      <w:r w:rsidR="00E239B4">
        <w:rPr>
          <w:sz w:val="24"/>
        </w:rPr>
        <w:t>)</w:t>
      </w:r>
      <w:r w:rsidRPr="005745EB">
        <w:rPr>
          <w:sz w:val="24"/>
        </w:rPr>
        <w:t xml:space="preserve"> and</w:t>
      </w:r>
      <w:r>
        <w:t xml:space="preserve"> </w:t>
      </w:r>
      <w:r w:rsidR="002C158D">
        <w:rPr>
          <w:rFonts w:ascii="Calibri" w:eastAsia="Calibri" w:hAnsi="Calibri" w:cs="Times New Roman"/>
          <w:sz w:val="24"/>
          <w:szCs w:val="24"/>
        </w:rPr>
        <w:t>Claude Akpokavie, ACTRAV,</w:t>
      </w:r>
      <w:r w:rsidR="00CF5A4D">
        <w:rPr>
          <w:rFonts w:ascii="Calibri" w:eastAsia="Calibri" w:hAnsi="Calibri" w:cs="Times New Roman"/>
          <w:sz w:val="24"/>
          <w:szCs w:val="24"/>
        </w:rPr>
        <w:t xml:space="preserve"> ILO</w:t>
      </w:r>
    </w:p>
    <w:p w:rsidR="006E4AC6" w:rsidRDefault="006E4AC6" w:rsidP="006E4AC6">
      <w:pPr>
        <w:pStyle w:val="ListParagraph"/>
        <w:numPr>
          <w:ilvl w:val="0"/>
          <w:numId w:val="5"/>
        </w:numPr>
        <w:spacing w:after="0" w:line="360" w:lineRule="auto"/>
        <w:jc w:val="both"/>
        <w:rPr>
          <w:rFonts w:ascii="Calibri" w:eastAsia="Calibri" w:hAnsi="Calibri" w:cs="Times New Roman"/>
          <w:sz w:val="24"/>
          <w:szCs w:val="24"/>
        </w:rPr>
      </w:pPr>
      <w:r>
        <w:rPr>
          <w:rFonts w:ascii="Calibri" w:eastAsia="Calibri" w:hAnsi="Calibri" w:cs="Times New Roman"/>
          <w:sz w:val="24"/>
          <w:szCs w:val="24"/>
        </w:rPr>
        <w:t xml:space="preserve">Plenary debate </w:t>
      </w:r>
    </w:p>
    <w:p w:rsidR="00375017" w:rsidRPr="006E4AC6" w:rsidRDefault="00375017" w:rsidP="00AE72D5">
      <w:pPr>
        <w:pStyle w:val="ListParagraph"/>
        <w:spacing w:after="0" w:line="360" w:lineRule="auto"/>
        <w:ind w:left="1800"/>
        <w:jc w:val="both"/>
        <w:rPr>
          <w:rFonts w:ascii="Calibri" w:eastAsia="Calibri" w:hAnsi="Calibri" w:cs="Times New Roman"/>
          <w:sz w:val="24"/>
          <w:szCs w:val="24"/>
        </w:rPr>
      </w:pPr>
    </w:p>
    <w:p w:rsidR="00004858" w:rsidRDefault="006E4AC6" w:rsidP="008B38C0">
      <w:pPr>
        <w:numPr>
          <w:ilvl w:val="0"/>
          <w:numId w:val="1"/>
        </w:numPr>
        <w:spacing w:after="0" w:line="360" w:lineRule="auto"/>
        <w:contextualSpacing/>
        <w:jc w:val="both"/>
        <w:rPr>
          <w:rFonts w:ascii="Calibri" w:eastAsia="Calibri" w:hAnsi="Calibri" w:cs="Times New Roman"/>
          <w:sz w:val="24"/>
          <w:szCs w:val="24"/>
        </w:rPr>
      </w:pPr>
      <w:r w:rsidRPr="00004858">
        <w:rPr>
          <w:rFonts w:ascii="Calibri" w:eastAsia="Calibri" w:hAnsi="Calibri" w:cs="Times New Roman"/>
          <w:sz w:val="24"/>
          <w:szCs w:val="24"/>
        </w:rPr>
        <w:t>W</w:t>
      </w:r>
      <w:r>
        <w:rPr>
          <w:rFonts w:ascii="Calibri" w:eastAsia="Calibri" w:hAnsi="Calibri" w:cs="Times New Roman"/>
          <w:sz w:val="24"/>
          <w:szCs w:val="24"/>
        </w:rPr>
        <w:t>orking Groups</w:t>
      </w:r>
      <w:r w:rsidR="004274A8">
        <w:rPr>
          <w:rFonts w:ascii="Calibri" w:eastAsia="Calibri" w:hAnsi="Calibri" w:cs="Times New Roman"/>
          <w:sz w:val="24"/>
          <w:szCs w:val="24"/>
        </w:rPr>
        <w:t xml:space="preserve"> </w:t>
      </w:r>
      <w:r w:rsidR="00004858" w:rsidRPr="00892CB3">
        <w:rPr>
          <w:rFonts w:ascii="Calibri" w:eastAsia="Calibri" w:hAnsi="Calibri" w:cs="Times New Roman"/>
          <w:sz w:val="24"/>
          <w:szCs w:val="24"/>
        </w:rPr>
        <w:t xml:space="preserve">on future </w:t>
      </w:r>
      <w:r w:rsidR="00004858">
        <w:rPr>
          <w:rFonts w:ascii="Calibri" w:eastAsia="Calibri" w:hAnsi="Calibri" w:cs="Times New Roman"/>
          <w:sz w:val="24"/>
          <w:szCs w:val="24"/>
        </w:rPr>
        <w:t xml:space="preserve">framework contents and </w:t>
      </w:r>
      <w:r w:rsidR="004274A8">
        <w:rPr>
          <w:rFonts w:ascii="Calibri" w:eastAsia="Calibri" w:hAnsi="Calibri" w:cs="Times New Roman"/>
          <w:sz w:val="24"/>
          <w:szCs w:val="24"/>
        </w:rPr>
        <w:t xml:space="preserve">advocacy </w:t>
      </w:r>
      <w:r w:rsidR="00004858">
        <w:rPr>
          <w:rFonts w:ascii="Calibri" w:eastAsia="Calibri" w:hAnsi="Calibri" w:cs="Times New Roman"/>
          <w:sz w:val="24"/>
          <w:szCs w:val="24"/>
        </w:rPr>
        <w:t>strategies</w:t>
      </w:r>
      <w:r w:rsidR="00004858" w:rsidRPr="00375017">
        <w:rPr>
          <w:rFonts w:ascii="Calibri" w:eastAsia="Calibri" w:hAnsi="Calibri" w:cs="Times New Roman"/>
          <w:sz w:val="24"/>
          <w:szCs w:val="24"/>
        </w:rPr>
        <w:t xml:space="preserve"> </w:t>
      </w:r>
    </w:p>
    <w:p w:rsidR="00217AC4" w:rsidRPr="00892CB3" w:rsidRDefault="00217AC4" w:rsidP="00217AC4">
      <w:pPr>
        <w:spacing w:after="0" w:line="360" w:lineRule="auto"/>
        <w:ind w:left="1429"/>
        <w:contextualSpacing/>
        <w:jc w:val="both"/>
        <w:rPr>
          <w:rFonts w:ascii="Calibri" w:eastAsia="Calibri" w:hAnsi="Calibri" w:cs="Times New Roman"/>
          <w:sz w:val="24"/>
          <w:szCs w:val="24"/>
        </w:rPr>
      </w:pPr>
      <w:r>
        <w:rPr>
          <w:rFonts w:ascii="Calibri" w:eastAsia="Calibri" w:hAnsi="Calibri" w:cs="Times New Roman"/>
          <w:sz w:val="24"/>
          <w:szCs w:val="24"/>
        </w:rPr>
        <w:t xml:space="preserve">- </w:t>
      </w:r>
      <w:hyperlink r:id="rId28" w:history="1">
        <w:r w:rsidRPr="005851AF">
          <w:rPr>
            <w:rStyle w:val="Hyperlink"/>
            <w:rFonts w:ascii="Calibri" w:eastAsia="Calibri" w:hAnsi="Calibri" w:cs="Times New Roman"/>
            <w:sz w:val="24"/>
            <w:szCs w:val="24"/>
          </w:rPr>
          <w:t>Trade union position</w:t>
        </w:r>
      </w:hyperlink>
      <w:r w:rsidR="001F439B">
        <w:rPr>
          <w:rFonts w:ascii="Calibri" w:eastAsia="Calibri" w:hAnsi="Calibri" w:cs="Times New Roman"/>
          <w:sz w:val="24"/>
          <w:szCs w:val="24"/>
        </w:rPr>
        <w:t xml:space="preserve"> (for adoption)</w:t>
      </w:r>
      <w:r>
        <w:rPr>
          <w:rFonts w:ascii="Calibri" w:eastAsia="Calibri" w:hAnsi="Calibri" w:cs="Times New Roman"/>
          <w:sz w:val="24"/>
          <w:szCs w:val="24"/>
        </w:rPr>
        <w:t xml:space="preserve"> on </w:t>
      </w:r>
      <w:hyperlink r:id="rId29" w:history="1">
        <w:r w:rsidRPr="002E4366">
          <w:rPr>
            <w:rStyle w:val="Hyperlink"/>
            <w:rFonts w:ascii="Calibri" w:eastAsia="Calibri" w:hAnsi="Calibri" w:cs="Times New Roman"/>
            <w:sz w:val="24"/>
            <w:szCs w:val="24"/>
          </w:rPr>
          <w:t>EC communication</w:t>
        </w:r>
      </w:hyperlink>
      <w:r>
        <w:rPr>
          <w:rFonts w:ascii="Calibri" w:eastAsia="Calibri" w:hAnsi="Calibri" w:cs="Times New Roman"/>
          <w:sz w:val="24"/>
          <w:szCs w:val="24"/>
        </w:rPr>
        <w:t xml:space="preserve"> </w:t>
      </w:r>
    </w:p>
    <w:p w:rsidR="00AE72D5" w:rsidRPr="00375017" w:rsidRDefault="00AE72D5" w:rsidP="00AE72D5">
      <w:pPr>
        <w:spacing w:after="0" w:line="360" w:lineRule="auto"/>
        <w:ind w:left="1429"/>
        <w:contextualSpacing/>
        <w:jc w:val="both"/>
        <w:rPr>
          <w:rFonts w:ascii="Calibri" w:eastAsia="Calibri" w:hAnsi="Calibri" w:cs="Times New Roman"/>
          <w:sz w:val="24"/>
          <w:szCs w:val="24"/>
        </w:rPr>
      </w:pPr>
    </w:p>
    <w:p w:rsidR="00004858" w:rsidRDefault="00004858" w:rsidP="008B38C0">
      <w:pPr>
        <w:numPr>
          <w:ilvl w:val="0"/>
          <w:numId w:val="1"/>
        </w:numPr>
        <w:spacing w:after="0" w:line="360" w:lineRule="auto"/>
        <w:contextualSpacing/>
        <w:jc w:val="both"/>
        <w:rPr>
          <w:rFonts w:ascii="Calibri" w:eastAsia="Calibri" w:hAnsi="Calibri" w:cs="Times New Roman"/>
          <w:sz w:val="24"/>
          <w:szCs w:val="24"/>
        </w:rPr>
      </w:pPr>
      <w:r w:rsidRPr="00892CB3">
        <w:rPr>
          <w:rFonts w:ascii="Calibri" w:eastAsia="Calibri" w:hAnsi="Calibri" w:cs="Times New Roman"/>
          <w:sz w:val="24"/>
          <w:szCs w:val="24"/>
        </w:rPr>
        <w:t xml:space="preserve">Conclusions </w:t>
      </w:r>
      <w:r w:rsidR="004274A8">
        <w:rPr>
          <w:rFonts w:ascii="Calibri" w:eastAsia="Calibri" w:hAnsi="Calibri" w:cs="Times New Roman"/>
          <w:sz w:val="24"/>
          <w:szCs w:val="24"/>
        </w:rPr>
        <w:t xml:space="preserve">in plenary </w:t>
      </w:r>
      <w:r w:rsidRPr="00892CB3">
        <w:rPr>
          <w:rFonts w:ascii="Calibri" w:eastAsia="Calibri" w:hAnsi="Calibri" w:cs="Times New Roman"/>
          <w:sz w:val="24"/>
          <w:szCs w:val="24"/>
        </w:rPr>
        <w:t xml:space="preserve">and ways forward </w:t>
      </w:r>
    </w:p>
    <w:p w:rsidR="004E2B27" w:rsidRPr="004E2B27" w:rsidRDefault="004E2B27" w:rsidP="004E2B27">
      <w:pPr>
        <w:spacing w:after="0" w:line="240" w:lineRule="auto"/>
        <w:jc w:val="both"/>
        <w:rPr>
          <w:rFonts w:ascii="Calibri" w:eastAsia="Calibri" w:hAnsi="Calibri" w:cs="Times New Roman"/>
          <w:b/>
          <w:sz w:val="24"/>
          <w:szCs w:val="24"/>
        </w:rPr>
      </w:pPr>
    </w:p>
    <w:p w:rsidR="004E2B27" w:rsidRPr="004E2B27" w:rsidRDefault="004E2B27" w:rsidP="004E2B27">
      <w:pPr>
        <w:shd w:val="clear" w:color="auto" w:fill="FFC000"/>
        <w:spacing w:after="0" w:line="240" w:lineRule="auto"/>
        <w:jc w:val="both"/>
        <w:rPr>
          <w:rFonts w:ascii="Calibri" w:eastAsia="Calibri" w:hAnsi="Calibri" w:cs="Times New Roman"/>
          <w:b/>
          <w:sz w:val="32"/>
          <w:szCs w:val="32"/>
        </w:rPr>
      </w:pPr>
      <w:r w:rsidRPr="004E2B27">
        <w:rPr>
          <w:rFonts w:ascii="Calibri" w:eastAsia="Calibri" w:hAnsi="Calibri" w:cs="Times New Roman"/>
          <w:b/>
          <w:sz w:val="32"/>
          <w:szCs w:val="32"/>
        </w:rPr>
        <w:t>FRIDAY 19:</w:t>
      </w:r>
    </w:p>
    <w:p w:rsidR="004E2B27" w:rsidRPr="004E2B27" w:rsidRDefault="004E2B27" w:rsidP="004E2B27">
      <w:pPr>
        <w:spacing w:after="0" w:line="240" w:lineRule="auto"/>
        <w:jc w:val="both"/>
        <w:rPr>
          <w:rFonts w:ascii="Calibri" w:eastAsia="Calibri" w:hAnsi="Calibri" w:cs="Times New Roman"/>
          <w:b/>
          <w:sz w:val="24"/>
          <w:szCs w:val="24"/>
        </w:rPr>
      </w:pPr>
    </w:p>
    <w:p w:rsidR="004E2B27" w:rsidRPr="004E2B27" w:rsidRDefault="004E2B27" w:rsidP="004E2B27">
      <w:pPr>
        <w:spacing w:after="0" w:line="360" w:lineRule="auto"/>
        <w:contextualSpacing/>
        <w:jc w:val="both"/>
        <w:rPr>
          <w:rFonts w:ascii="Calibri" w:eastAsia="Calibri" w:hAnsi="Calibri" w:cs="Times New Roman"/>
          <w:i/>
          <w:sz w:val="24"/>
          <w:szCs w:val="24"/>
          <w:u w:val="single"/>
        </w:rPr>
      </w:pPr>
      <w:r w:rsidRPr="004E2B27">
        <w:rPr>
          <w:rFonts w:ascii="Calibri" w:eastAsia="Calibri" w:hAnsi="Calibri" w:cs="Times New Roman"/>
          <w:i/>
          <w:sz w:val="24"/>
          <w:szCs w:val="24"/>
          <w:u w:val="single"/>
        </w:rPr>
        <w:t>9H</w:t>
      </w:r>
      <w:r w:rsidR="009F4275">
        <w:rPr>
          <w:rFonts w:ascii="Calibri" w:eastAsia="Calibri" w:hAnsi="Calibri" w:cs="Times New Roman"/>
          <w:i/>
          <w:sz w:val="24"/>
          <w:szCs w:val="24"/>
          <w:u w:val="single"/>
        </w:rPr>
        <w:t>0</w:t>
      </w:r>
      <w:r w:rsidRPr="004E2B27">
        <w:rPr>
          <w:rFonts w:ascii="Calibri" w:eastAsia="Calibri" w:hAnsi="Calibri" w:cs="Times New Roman"/>
          <w:i/>
          <w:sz w:val="24"/>
          <w:szCs w:val="24"/>
          <w:u w:val="single"/>
        </w:rPr>
        <w:t>0 – 12H30</w:t>
      </w:r>
    </w:p>
    <w:p w:rsidR="004E2B27" w:rsidRPr="004E2B27" w:rsidRDefault="004E2B27" w:rsidP="004E2B27">
      <w:pPr>
        <w:tabs>
          <w:tab w:val="left" w:pos="2970"/>
        </w:tabs>
        <w:spacing w:after="0" w:line="240" w:lineRule="auto"/>
        <w:jc w:val="both"/>
        <w:rPr>
          <w:rFonts w:ascii="Calibri" w:eastAsia="Calibri" w:hAnsi="Calibri" w:cs="Times New Roman"/>
          <w:b/>
          <w:i/>
          <w:sz w:val="24"/>
          <w:szCs w:val="24"/>
          <w:u w:val="single"/>
        </w:rPr>
      </w:pPr>
    </w:p>
    <w:p w:rsidR="004274A8" w:rsidRPr="004274A8" w:rsidRDefault="004E2B27" w:rsidP="008B38C0">
      <w:pPr>
        <w:numPr>
          <w:ilvl w:val="0"/>
          <w:numId w:val="1"/>
        </w:numPr>
        <w:spacing w:after="0" w:line="360" w:lineRule="auto"/>
        <w:contextualSpacing/>
        <w:jc w:val="both"/>
        <w:rPr>
          <w:rFonts w:ascii="Calibri" w:eastAsia="Calibri" w:hAnsi="Calibri" w:cs="Times New Roman"/>
          <w:b/>
          <w:sz w:val="24"/>
          <w:szCs w:val="24"/>
        </w:rPr>
      </w:pPr>
      <w:r w:rsidRPr="004E2B27">
        <w:rPr>
          <w:rFonts w:ascii="Calibri" w:eastAsia="Calibri" w:hAnsi="Calibri" w:cs="Times New Roman"/>
          <w:sz w:val="24"/>
          <w:szCs w:val="24"/>
        </w:rPr>
        <w:t>P</w:t>
      </w:r>
      <w:r w:rsidR="00AE72D5">
        <w:rPr>
          <w:rFonts w:ascii="Calibri" w:eastAsia="Calibri" w:hAnsi="Calibri" w:cs="Times New Roman"/>
          <w:sz w:val="24"/>
          <w:szCs w:val="24"/>
        </w:rPr>
        <w:t>lanning of the new project phase</w:t>
      </w:r>
      <w:r w:rsidR="004274A8">
        <w:rPr>
          <w:rFonts w:ascii="Calibri" w:eastAsia="Calibri" w:hAnsi="Calibri" w:cs="Times New Roman"/>
          <w:sz w:val="24"/>
          <w:szCs w:val="24"/>
        </w:rPr>
        <w:t>:</w:t>
      </w:r>
    </w:p>
    <w:p w:rsidR="004274A8" w:rsidRDefault="004E2B27" w:rsidP="004274A8">
      <w:pPr>
        <w:spacing w:after="0" w:line="360" w:lineRule="auto"/>
        <w:ind w:left="1440"/>
        <w:contextualSpacing/>
        <w:jc w:val="both"/>
        <w:rPr>
          <w:rFonts w:ascii="Calibri" w:eastAsia="Calibri" w:hAnsi="Calibri" w:cs="Times New Roman"/>
          <w:sz w:val="24"/>
          <w:szCs w:val="24"/>
        </w:rPr>
      </w:pPr>
      <w:r w:rsidRPr="004E2B27">
        <w:rPr>
          <w:rFonts w:ascii="Calibri" w:eastAsia="Calibri" w:hAnsi="Calibri" w:cs="Times New Roman"/>
          <w:sz w:val="24"/>
          <w:szCs w:val="24"/>
        </w:rPr>
        <w:t xml:space="preserve">- </w:t>
      </w:r>
      <w:r w:rsidR="00AE72D5">
        <w:rPr>
          <w:rFonts w:ascii="Calibri" w:eastAsia="Calibri" w:hAnsi="Calibri" w:cs="Times New Roman"/>
          <w:sz w:val="24"/>
          <w:szCs w:val="24"/>
        </w:rPr>
        <w:t>Strategies</w:t>
      </w:r>
      <w:r w:rsidR="004274A8">
        <w:rPr>
          <w:rFonts w:ascii="Calibri" w:eastAsia="Calibri" w:hAnsi="Calibri" w:cs="Times New Roman"/>
          <w:sz w:val="24"/>
          <w:szCs w:val="24"/>
        </w:rPr>
        <w:t xml:space="preserve"> of the next programme</w:t>
      </w:r>
      <w:r w:rsidR="00E239B4">
        <w:rPr>
          <w:rFonts w:ascii="Calibri" w:eastAsia="Calibri" w:hAnsi="Calibri" w:cs="Times New Roman"/>
          <w:sz w:val="24"/>
          <w:szCs w:val="24"/>
        </w:rPr>
        <w:t>, for adoption</w:t>
      </w:r>
      <w:r w:rsidR="001F439B">
        <w:rPr>
          <w:rFonts w:ascii="Calibri" w:eastAsia="Calibri" w:hAnsi="Calibri" w:cs="Times New Roman"/>
          <w:sz w:val="24"/>
          <w:szCs w:val="24"/>
        </w:rPr>
        <w:t xml:space="preserve">: </w:t>
      </w:r>
      <w:r w:rsidR="00E239B4">
        <w:rPr>
          <w:rFonts w:ascii="Calibri" w:eastAsia="Calibri" w:hAnsi="Calibri" w:cs="Times New Roman"/>
          <w:sz w:val="24"/>
          <w:szCs w:val="24"/>
        </w:rPr>
        <w:t xml:space="preserve">TUDCN strategy on advocacy and on partnerships (see point 9) </w:t>
      </w:r>
    </w:p>
    <w:p w:rsidR="004274A8" w:rsidRDefault="004274A8" w:rsidP="004274A8">
      <w:pPr>
        <w:spacing w:after="0" w:line="360" w:lineRule="auto"/>
        <w:ind w:left="1440"/>
        <w:contextualSpacing/>
        <w:jc w:val="both"/>
        <w:rPr>
          <w:rFonts w:ascii="Calibri" w:eastAsia="Calibri" w:hAnsi="Calibri" w:cs="Times New Roman"/>
          <w:sz w:val="24"/>
          <w:szCs w:val="24"/>
        </w:rPr>
      </w:pPr>
      <w:r>
        <w:rPr>
          <w:rFonts w:ascii="Calibri" w:eastAsia="Calibri" w:hAnsi="Calibri" w:cs="Times New Roman"/>
          <w:sz w:val="24"/>
          <w:szCs w:val="24"/>
        </w:rPr>
        <w:t xml:space="preserve">- </w:t>
      </w:r>
      <w:hyperlink r:id="rId30" w:history="1">
        <w:r w:rsidR="00E239B4" w:rsidRPr="00E75215">
          <w:rPr>
            <w:rStyle w:val="Hyperlink"/>
            <w:rFonts w:ascii="Calibri" w:eastAsia="Calibri" w:hAnsi="Calibri" w:cs="Times New Roman"/>
            <w:sz w:val="24"/>
            <w:szCs w:val="24"/>
          </w:rPr>
          <w:t>Work Plan 2013</w:t>
        </w:r>
      </w:hyperlink>
      <w:r w:rsidR="001F439B">
        <w:rPr>
          <w:rFonts w:ascii="Calibri" w:eastAsia="Calibri" w:hAnsi="Calibri" w:cs="Times New Roman"/>
          <w:sz w:val="24"/>
          <w:szCs w:val="24"/>
        </w:rPr>
        <w:t xml:space="preserve"> (for adoption)</w:t>
      </w:r>
    </w:p>
    <w:p w:rsidR="004274A8" w:rsidRDefault="004274A8" w:rsidP="004274A8">
      <w:pPr>
        <w:spacing w:after="0" w:line="360" w:lineRule="auto"/>
        <w:contextualSpacing/>
        <w:jc w:val="both"/>
        <w:rPr>
          <w:rFonts w:ascii="Calibri" w:eastAsia="Calibri" w:hAnsi="Calibri" w:cs="Times New Roman"/>
          <w:sz w:val="24"/>
          <w:szCs w:val="24"/>
        </w:rPr>
      </w:pPr>
    </w:p>
    <w:p w:rsidR="004274A8" w:rsidRPr="004274A8" w:rsidRDefault="004274A8" w:rsidP="008B38C0">
      <w:pPr>
        <w:numPr>
          <w:ilvl w:val="0"/>
          <w:numId w:val="1"/>
        </w:numPr>
        <w:spacing w:after="0" w:line="360" w:lineRule="auto"/>
        <w:contextualSpacing/>
        <w:jc w:val="both"/>
        <w:rPr>
          <w:rFonts w:ascii="Calibri" w:eastAsia="Calibri" w:hAnsi="Calibri" w:cs="Times New Roman"/>
          <w:b/>
          <w:sz w:val="24"/>
          <w:szCs w:val="24"/>
        </w:rPr>
      </w:pPr>
      <w:r>
        <w:rPr>
          <w:rFonts w:ascii="Calibri" w:eastAsia="Calibri" w:hAnsi="Calibri" w:cs="Times New Roman"/>
          <w:sz w:val="24"/>
          <w:szCs w:val="24"/>
        </w:rPr>
        <w:t xml:space="preserve">Feedbacks and Plenary debate </w:t>
      </w:r>
    </w:p>
    <w:p w:rsidR="004D6B39" w:rsidRDefault="004D6B39" w:rsidP="004D6B39">
      <w:pPr>
        <w:spacing w:after="0" w:line="240" w:lineRule="auto"/>
        <w:jc w:val="both"/>
        <w:rPr>
          <w:rFonts w:ascii="Calibri" w:eastAsia="Calibri" w:hAnsi="Calibri" w:cs="Times New Roman"/>
          <w:b/>
          <w:sz w:val="24"/>
          <w:szCs w:val="24"/>
        </w:rPr>
      </w:pPr>
    </w:p>
    <w:p w:rsidR="004D6B39" w:rsidRPr="004E2B27" w:rsidRDefault="004D6B39" w:rsidP="004D6B39">
      <w:pPr>
        <w:spacing w:after="0" w:line="240" w:lineRule="auto"/>
        <w:jc w:val="both"/>
        <w:rPr>
          <w:rFonts w:ascii="Calibri" w:eastAsia="Calibri" w:hAnsi="Calibri" w:cs="Times New Roman"/>
          <w:sz w:val="24"/>
          <w:szCs w:val="24"/>
        </w:rPr>
      </w:pPr>
      <w:r w:rsidRPr="004E2B27">
        <w:rPr>
          <w:rFonts w:ascii="Calibri" w:eastAsia="Calibri" w:hAnsi="Calibri" w:cs="Times New Roman"/>
          <w:b/>
          <w:sz w:val="24"/>
          <w:szCs w:val="24"/>
        </w:rPr>
        <w:t>11H00             BREAK</w:t>
      </w:r>
    </w:p>
    <w:p w:rsidR="004274A8" w:rsidRPr="004274A8" w:rsidRDefault="004274A8" w:rsidP="004274A8">
      <w:pPr>
        <w:spacing w:after="0" w:line="360" w:lineRule="auto"/>
        <w:ind w:left="1440"/>
        <w:contextualSpacing/>
        <w:jc w:val="both"/>
        <w:rPr>
          <w:rFonts w:ascii="Calibri" w:eastAsia="Calibri" w:hAnsi="Calibri" w:cs="Times New Roman"/>
          <w:b/>
          <w:sz w:val="24"/>
          <w:szCs w:val="24"/>
        </w:rPr>
      </w:pPr>
    </w:p>
    <w:p w:rsidR="004274A8" w:rsidRPr="004274A8" w:rsidRDefault="00ED4CC4" w:rsidP="008B38C0">
      <w:pPr>
        <w:numPr>
          <w:ilvl w:val="0"/>
          <w:numId w:val="1"/>
        </w:numPr>
        <w:spacing w:after="0" w:line="360" w:lineRule="auto"/>
        <w:contextualSpacing/>
        <w:jc w:val="both"/>
        <w:rPr>
          <w:rFonts w:ascii="Calibri" w:eastAsia="Calibri" w:hAnsi="Calibri" w:cs="Times New Roman"/>
          <w:b/>
          <w:sz w:val="24"/>
          <w:szCs w:val="24"/>
        </w:rPr>
      </w:pPr>
      <w:hyperlink r:id="rId31" w:history="1">
        <w:r w:rsidR="004274A8" w:rsidRPr="005851AF">
          <w:rPr>
            <w:rStyle w:val="Hyperlink"/>
            <w:rFonts w:ascii="Calibri" w:eastAsia="Calibri" w:hAnsi="Calibri" w:cs="Times New Roman"/>
            <w:sz w:val="24"/>
            <w:szCs w:val="24"/>
          </w:rPr>
          <w:t>Evaluation of the GM</w:t>
        </w:r>
      </w:hyperlink>
      <w:r w:rsidR="004274A8">
        <w:rPr>
          <w:rFonts w:ascii="Calibri" w:eastAsia="Calibri" w:hAnsi="Calibri" w:cs="Times New Roman"/>
          <w:sz w:val="24"/>
          <w:szCs w:val="24"/>
        </w:rPr>
        <w:t xml:space="preserve"> and final conclusions </w:t>
      </w:r>
    </w:p>
    <w:p w:rsidR="004E2B27" w:rsidRPr="004E2B27" w:rsidRDefault="004E2B27" w:rsidP="004274A8">
      <w:pPr>
        <w:spacing w:after="0" w:line="360" w:lineRule="auto"/>
        <w:ind w:left="1440"/>
        <w:contextualSpacing/>
        <w:jc w:val="both"/>
        <w:rPr>
          <w:rFonts w:ascii="Calibri" w:eastAsia="Calibri" w:hAnsi="Calibri" w:cs="Times New Roman"/>
          <w:b/>
          <w:sz w:val="24"/>
          <w:szCs w:val="24"/>
        </w:rPr>
      </w:pPr>
    </w:p>
    <w:p w:rsidR="00DB2B19" w:rsidRPr="005B3762" w:rsidRDefault="004E2B27" w:rsidP="005B3762">
      <w:pPr>
        <w:spacing w:after="0" w:line="360" w:lineRule="auto"/>
        <w:contextualSpacing/>
        <w:jc w:val="both"/>
        <w:rPr>
          <w:rFonts w:ascii="Calibri" w:eastAsia="Calibri" w:hAnsi="Calibri" w:cs="Times New Roman"/>
          <w:b/>
          <w:color w:val="FF0000"/>
          <w:sz w:val="24"/>
          <w:szCs w:val="24"/>
        </w:rPr>
      </w:pPr>
      <w:r w:rsidRPr="004E2B27">
        <w:rPr>
          <w:rFonts w:ascii="Calibri" w:eastAsia="Calibri" w:hAnsi="Calibri" w:cs="Times New Roman"/>
          <w:b/>
          <w:sz w:val="24"/>
          <w:szCs w:val="24"/>
        </w:rPr>
        <w:t>12H30</w:t>
      </w:r>
      <w:r w:rsidRPr="004E2B27">
        <w:rPr>
          <w:rFonts w:ascii="Calibri" w:eastAsia="Calibri" w:hAnsi="Calibri" w:cs="Times New Roman"/>
          <w:sz w:val="24"/>
          <w:szCs w:val="24"/>
        </w:rPr>
        <w:t xml:space="preserve">              </w:t>
      </w:r>
      <w:r w:rsidRPr="004E2B27">
        <w:rPr>
          <w:rFonts w:ascii="Calibri" w:eastAsia="Calibri" w:hAnsi="Calibri" w:cs="Times New Roman"/>
          <w:b/>
          <w:caps/>
          <w:sz w:val="24"/>
          <w:szCs w:val="24"/>
        </w:rPr>
        <w:t xml:space="preserve">End of the </w:t>
      </w:r>
      <w:r w:rsidR="00004858">
        <w:rPr>
          <w:rFonts w:ascii="Calibri" w:eastAsia="Calibri" w:hAnsi="Calibri" w:cs="Times New Roman"/>
          <w:b/>
          <w:caps/>
          <w:sz w:val="24"/>
          <w:szCs w:val="24"/>
        </w:rPr>
        <w:t>GM</w:t>
      </w:r>
      <w:r w:rsidRPr="004E2B27">
        <w:rPr>
          <w:rFonts w:ascii="Calibri" w:eastAsia="Calibri" w:hAnsi="Calibri" w:cs="Times New Roman"/>
          <w:b/>
          <w:caps/>
          <w:sz w:val="24"/>
          <w:szCs w:val="24"/>
        </w:rPr>
        <w:t xml:space="preserve"> and</w:t>
      </w:r>
      <w:r w:rsidRPr="004E2B27">
        <w:rPr>
          <w:rFonts w:ascii="Calibri" w:eastAsia="Calibri" w:hAnsi="Calibri" w:cs="Times New Roman"/>
          <w:sz w:val="24"/>
          <w:szCs w:val="24"/>
        </w:rPr>
        <w:t xml:space="preserve"> </w:t>
      </w:r>
      <w:r w:rsidRPr="004E2B27">
        <w:rPr>
          <w:rFonts w:ascii="Calibri" w:eastAsia="Calibri" w:hAnsi="Calibri" w:cs="Times New Roman"/>
          <w:b/>
          <w:sz w:val="24"/>
          <w:szCs w:val="24"/>
        </w:rPr>
        <w:t>LUNCH</w:t>
      </w:r>
    </w:p>
    <w:sectPr w:rsidR="00DB2B19" w:rsidRPr="005B3762">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C4" w:rsidRDefault="00ED4CC4" w:rsidP="00733C2D">
      <w:pPr>
        <w:spacing w:after="0" w:line="240" w:lineRule="auto"/>
      </w:pPr>
      <w:r>
        <w:separator/>
      </w:r>
    </w:p>
  </w:endnote>
  <w:endnote w:type="continuationSeparator" w:id="0">
    <w:p w:rsidR="00ED4CC4" w:rsidRDefault="00ED4CC4" w:rsidP="0073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733C2D">
      <w:tc>
        <w:tcPr>
          <w:tcW w:w="918" w:type="dxa"/>
        </w:tcPr>
        <w:p w:rsidR="00733C2D" w:rsidRDefault="00733C2D">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B3762" w:rsidRPr="005B376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33C2D" w:rsidRPr="008556D0" w:rsidRDefault="00733C2D" w:rsidP="00200BD0">
          <w:pPr>
            <w:pStyle w:val="Footer"/>
            <w:jc w:val="both"/>
            <w:rPr>
              <w:i/>
            </w:rPr>
          </w:pPr>
          <w:r w:rsidRPr="008556D0">
            <w:rPr>
              <w:rFonts w:ascii="Times New Roman" w:eastAsia="Times New Roman" w:hAnsi="Times New Roman" w:cs="Times New Roman"/>
              <w:i/>
              <w:sz w:val="16"/>
              <w:szCs w:val="20"/>
              <w:lang w:eastAsia="nl-BE"/>
            </w:rPr>
            <w:t>The Trade Union Development Cooperation Network (TUDCN) is an initiative of the International Trade Union Confederation that brings together affiliated trade union organisations, solidarity support organisations, regional ITUC organisations, the Global Union Federations</w:t>
          </w:r>
          <w:r w:rsidR="004E2B27">
            <w:rPr>
              <w:rFonts w:ascii="Times New Roman" w:eastAsia="Times New Roman" w:hAnsi="Times New Roman" w:cs="Times New Roman"/>
              <w:i/>
              <w:sz w:val="16"/>
              <w:szCs w:val="20"/>
              <w:lang w:eastAsia="nl-BE"/>
            </w:rPr>
            <w:t>, the ETUC</w:t>
          </w:r>
          <w:r w:rsidR="00200BD0">
            <w:rPr>
              <w:rFonts w:ascii="Times New Roman" w:eastAsia="Times New Roman" w:hAnsi="Times New Roman" w:cs="Times New Roman"/>
              <w:i/>
              <w:sz w:val="16"/>
              <w:szCs w:val="20"/>
              <w:lang w:eastAsia="nl-BE"/>
            </w:rPr>
            <w:t xml:space="preserve">(European Trade Union Confederation) </w:t>
          </w:r>
          <w:r w:rsidR="004E2B27">
            <w:rPr>
              <w:rFonts w:ascii="Times New Roman" w:eastAsia="Times New Roman" w:hAnsi="Times New Roman" w:cs="Times New Roman"/>
              <w:i/>
              <w:sz w:val="16"/>
              <w:szCs w:val="20"/>
              <w:lang w:eastAsia="nl-BE"/>
            </w:rPr>
            <w:t xml:space="preserve"> </w:t>
          </w:r>
          <w:r w:rsidRPr="008556D0">
            <w:rPr>
              <w:rFonts w:ascii="Times New Roman" w:eastAsia="Times New Roman" w:hAnsi="Times New Roman" w:cs="Times New Roman"/>
              <w:i/>
              <w:sz w:val="16"/>
              <w:szCs w:val="20"/>
              <w:lang w:eastAsia="nl-BE"/>
            </w:rPr>
            <w:t>and the TUAC (Trade Union Advisory Committee to the OECD).</w:t>
          </w:r>
        </w:p>
      </w:tc>
    </w:tr>
  </w:tbl>
  <w:p w:rsidR="00733C2D" w:rsidRDefault="00733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C4" w:rsidRDefault="00ED4CC4" w:rsidP="00733C2D">
      <w:pPr>
        <w:spacing w:after="0" w:line="240" w:lineRule="auto"/>
      </w:pPr>
      <w:r>
        <w:separator/>
      </w:r>
    </w:p>
  </w:footnote>
  <w:footnote w:type="continuationSeparator" w:id="0">
    <w:p w:rsidR="00ED4CC4" w:rsidRDefault="00ED4CC4" w:rsidP="00733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61"/>
      <w:gridCol w:w="1295"/>
    </w:tblGrid>
    <w:tr w:rsidR="008556D0" w:rsidTr="008556D0">
      <w:trPr>
        <w:trHeight w:val="288"/>
      </w:trPr>
      <w:tc>
        <w:tcPr>
          <w:tcW w:w="7961" w:type="dxa"/>
        </w:tcPr>
        <w:p w:rsidR="008556D0" w:rsidRDefault="008556D0" w:rsidP="00200BD0">
          <w:r w:rsidRPr="00B404FA">
            <w:rPr>
              <w:noProof/>
              <w:lang w:val="fr-BE" w:eastAsia="fr-BE"/>
            </w:rPr>
            <w:drawing>
              <wp:inline distT="0" distB="0" distL="0" distR="0" wp14:anchorId="34D5B071" wp14:editId="04DEC209">
                <wp:extent cx="202692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1">
                          <a:extLst>
                            <a:ext uri="{28A0092B-C50C-407E-A947-70E740481C1C}">
                              <a14:useLocalDpi xmlns:a14="http://schemas.microsoft.com/office/drawing/2010/main" val="0"/>
                            </a:ext>
                          </a:extLst>
                        </a:blip>
                        <a:stretch>
                          <a:fillRect/>
                        </a:stretch>
                      </pic:blipFill>
                      <pic:spPr>
                        <a:xfrm>
                          <a:off x="0" y="0"/>
                          <a:ext cx="2044522" cy="661011"/>
                        </a:xfrm>
                        <a:prstGeom prst="rect">
                          <a:avLst/>
                        </a:prstGeom>
                      </pic:spPr>
                    </pic:pic>
                  </a:graphicData>
                </a:graphic>
              </wp:inline>
            </w:drawing>
          </w:r>
        </w:p>
      </w:tc>
      <w:tc>
        <w:tcPr>
          <w:tcW w:w="1295" w:type="dxa"/>
        </w:tcPr>
        <w:p w:rsidR="008556D0" w:rsidRPr="00200BD0" w:rsidRDefault="008556D0" w:rsidP="008556D0">
          <w:pPr>
            <w:spacing w:after="0"/>
            <w:rPr>
              <w:b/>
              <w:color w:val="E36C0A" w:themeColor="accent6" w:themeShade="BF"/>
            </w:rPr>
          </w:pPr>
          <w:r w:rsidRPr="00200BD0">
            <w:rPr>
              <w:b/>
              <w:color w:val="E36C0A" w:themeColor="accent6" w:themeShade="BF"/>
            </w:rPr>
            <w:t>TUDCN</w:t>
          </w:r>
        </w:p>
        <w:p w:rsidR="008556D0" w:rsidRPr="00200BD0" w:rsidRDefault="008556D0" w:rsidP="008556D0">
          <w:pPr>
            <w:spacing w:after="0"/>
            <w:rPr>
              <w:b/>
              <w:color w:val="E36C0A" w:themeColor="accent6" w:themeShade="BF"/>
            </w:rPr>
          </w:pPr>
          <w:r w:rsidRPr="00200BD0">
            <w:rPr>
              <w:b/>
              <w:color w:val="E36C0A" w:themeColor="accent6" w:themeShade="BF"/>
            </w:rPr>
            <w:t xml:space="preserve">GENERAL </w:t>
          </w:r>
        </w:p>
        <w:p w:rsidR="008556D0" w:rsidRDefault="008556D0" w:rsidP="008556D0">
          <w:pPr>
            <w:spacing w:after="0"/>
          </w:pPr>
          <w:r w:rsidRPr="00200BD0">
            <w:rPr>
              <w:b/>
              <w:color w:val="E36C0A" w:themeColor="accent6" w:themeShade="BF"/>
            </w:rPr>
            <w:t>MEETING</w:t>
          </w:r>
        </w:p>
      </w:tc>
    </w:tr>
  </w:tbl>
  <w:p w:rsidR="008556D0" w:rsidRDefault="00855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91E"/>
    <w:multiLevelType w:val="hybridMultilevel"/>
    <w:tmpl w:val="2D102F5C"/>
    <w:lvl w:ilvl="0" w:tplc="C1FE9F6E">
      <w:start w:val="1"/>
      <w:numFmt w:val="decimal"/>
      <w:lvlText w:val="%1"/>
      <w:lvlJc w:val="left"/>
      <w:pPr>
        <w:ind w:left="1429"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7F6927"/>
    <w:multiLevelType w:val="hybridMultilevel"/>
    <w:tmpl w:val="8C0E675C"/>
    <w:lvl w:ilvl="0" w:tplc="C1FE9F6E">
      <w:start w:val="1"/>
      <w:numFmt w:val="decimal"/>
      <w:lvlText w:val="%1"/>
      <w:lvlJc w:val="left"/>
      <w:pPr>
        <w:ind w:left="1429"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CA31FF3"/>
    <w:multiLevelType w:val="hybridMultilevel"/>
    <w:tmpl w:val="B5D07EDA"/>
    <w:lvl w:ilvl="0" w:tplc="C1FE9F6E">
      <w:start w:val="1"/>
      <w:numFmt w:val="decimal"/>
      <w:lvlText w:val="%1"/>
      <w:lvlJc w:val="left"/>
      <w:pPr>
        <w:ind w:left="1440"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EFF2D2B"/>
    <w:multiLevelType w:val="hybridMultilevel"/>
    <w:tmpl w:val="2D102F5C"/>
    <w:lvl w:ilvl="0" w:tplc="C1FE9F6E">
      <w:start w:val="1"/>
      <w:numFmt w:val="decimal"/>
      <w:lvlText w:val="%1"/>
      <w:lvlJc w:val="left"/>
      <w:pPr>
        <w:ind w:left="1429"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1B044D3"/>
    <w:multiLevelType w:val="hybridMultilevel"/>
    <w:tmpl w:val="6BC875AC"/>
    <w:lvl w:ilvl="0" w:tplc="C1FE9F6E">
      <w:start w:val="1"/>
      <w:numFmt w:val="decimal"/>
      <w:lvlText w:val="%1"/>
      <w:lvlJc w:val="left"/>
      <w:pPr>
        <w:ind w:left="1440"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A8C33D6"/>
    <w:multiLevelType w:val="hybridMultilevel"/>
    <w:tmpl w:val="2D102F5C"/>
    <w:lvl w:ilvl="0" w:tplc="C1FE9F6E">
      <w:start w:val="1"/>
      <w:numFmt w:val="decimal"/>
      <w:lvlText w:val="%1"/>
      <w:lvlJc w:val="left"/>
      <w:pPr>
        <w:ind w:left="8375" w:hanging="720"/>
      </w:pPr>
      <w:rPr>
        <w:rFonts w:hint="default"/>
        <w:b w:val="0"/>
        <w:i w:val="0"/>
      </w:rPr>
    </w:lvl>
    <w:lvl w:ilvl="1" w:tplc="040A000F">
      <w:start w:val="1"/>
      <w:numFmt w:val="decimal"/>
      <w:lvlText w:val="%2."/>
      <w:lvlJc w:val="left"/>
      <w:pPr>
        <w:ind w:left="8746" w:hanging="360"/>
      </w:pPr>
      <w:rPr>
        <w:rFonts w:hint="default"/>
        <w:lang w:val="en-GB"/>
      </w:rPr>
    </w:lvl>
    <w:lvl w:ilvl="2" w:tplc="0809001B">
      <w:start w:val="1"/>
      <w:numFmt w:val="lowerRoman"/>
      <w:lvlText w:val="%3."/>
      <w:lvlJc w:val="right"/>
      <w:pPr>
        <w:ind w:left="9466" w:hanging="180"/>
      </w:pPr>
    </w:lvl>
    <w:lvl w:ilvl="3" w:tplc="0809000F">
      <w:start w:val="1"/>
      <w:numFmt w:val="decimal"/>
      <w:lvlText w:val="%4."/>
      <w:lvlJc w:val="left"/>
      <w:pPr>
        <w:ind w:left="10186" w:hanging="360"/>
      </w:pPr>
    </w:lvl>
    <w:lvl w:ilvl="4" w:tplc="08090019" w:tentative="1">
      <w:start w:val="1"/>
      <w:numFmt w:val="lowerLetter"/>
      <w:lvlText w:val="%5."/>
      <w:lvlJc w:val="left"/>
      <w:pPr>
        <w:ind w:left="10906" w:hanging="360"/>
      </w:pPr>
    </w:lvl>
    <w:lvl w:ilvl="5" w:tplc="0809001B" w:tentative="1">
      <w:start w:val="1"/>
      <w:numFmt w:val="lowerRoman"/>
      <w:lvlText w:val="%6."/>
      <w:lvlJc w:val="right"/>
      <w:pPr>
        <w:ind w:left="11626" w:hanging="180"/>
      </w:pPr>
    </w:lvl>
    <w:lvl w:ilvl="6" w:tplc="0809000F" w:tentative="1">
      <w:start w:val="1"/>
      <w:numFmt w:val="decimal"/>
      <w:lvlText w:val="%7."/>
      <w:lvlJc w:val="left"/>
      <w:pPr>
        <w:ind w:left="12346" w:hanging="360"/>
      </w:pPr>
    </w:lvl>
    <w:lvl w:ilvl="7" w:tplc="08090019" w:tentative="1">
      <w:start w:val="1"/>
      <w:numFmt w:val="lowerLetter"/>
      <w:lvlText w:val="%8."/>
      <w:lvlJc w:val="left"/>
      <w:pPr>
        <w:ind w:left="13066" w:hanging="360"/>
      </w:pPr>
    </w:lvl>
    <w:lvl w:ilvl="8" w:tplc="0809001B" w:tentative="1">
      <w:start w:val="1"/>
      <w:numFmt w:val="lowerRoman"/>
      <w:lvlText w:val="%9."/>
      <w:lvlJc w:val="right"/>
      <w:pPr>
        <w:ind w:left="13786" w:hanging="180"/>
      </w:pPr>
    </w:lvl>
  </w:abstractNum>
  <w:abstractNum w:abstractNumId="6">
    <w:nsid w:val="4E846060"/>
    <w:multiLevelType w:val="hybridMultilevel"/>
    <w:tmpl w:val="E0B414E6"/>
    <w:lvl w:ilvl="0" w:tplc="500A23A6">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5F2715F1"/>
    <w:multiLevelType w:val="hybridMultilevel"/>
    <w:tmpl w:val="125CA7C0"/>
    <w:lvl w:ilvl="0" w:tplc="C1FE9F6E">
      <w:start w:val="1"/>
      <w:numFmt w:val="decimal"/>
      <w:lvlText w:val="%1"/>
      <w:lvlJc w:val="left"/>
      <w:pPr>
        <w:ind w:left="1440"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2"/>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F5"/>
    <w:rsid w:val="00004858"/>
    <w:rsid w:val="00075F60"/>
    <w:rsid w:val="001152EF"/>
    <w:rsid w:val="00120BDB"/>
    <w:rsid w:val="00166FDA"/>
    <w:rsid w:val="00183FF5"/>
    <w:rsid w:val="001A11F5"/>
    <w:rsid w:val="001F439B"/>
    <w:rsid w:val="001F7180"/>
    <w:rsid w:val="00200BD0"/>
    <w:rsid w:val="00210F6E"/>
    <w:rsid w:val="00217AC4"/>
    <w:rsid w:val="0028041B"/>
    <w:rsid w:val="002C158D"/>
    <w:rsid w:val="002D04DB"/>
    <w:rsid w:val="002E4366"/>
    <w:rsid w:val="00347A74"/>
    <w:rsid w:val="00371146"/>
    <w:rsid w:val="00375017"/>
    <w:rsid w:val="003763CB"/>
    <w:rsid w:val="00377431"/>
    <w:rsid w:val="003D2643"/>
    <w:rsid w:val="004274A8"/>
    <w:rsid w:val="00432D64"/>
    <w:rsid w:val="00471739"/>
    <w:rsid w:val="004C283A"/>
    <w:rsid w:val="004D6B39"/>
    <w:rsid w:val="004E2B27"/>
    <w:rsid w:val="00534399"/>
    <w:rsid w:val="00546FC4"/>
    <w:rsid w:val="005745EB"/>
    <w:rsid w:val="00577BBE"/>
    <w:rsid w:val="005851AF"/>
    <w:rsid w:val="005B225A"/>
    <w:rsid w:val="005B3762"/>
    <w:rsid w:val="006169C8"/>
    <w:rsid w:val="00630D48"/>
    <w:rsid w:val="00635E34"/>
    <w:rsid w:val="006561D3"/>
    <w:rsid w:val="006D66AA"/>
    <w:rsid w:val="006E4AC6"/>
    <w:rsid w:val="006F6C18"/>
    <w:rsid w:val="007072BD"/>
    <w:rsid w:val="00720F07"/>
    <w:rsid w:val="00733C2D"/>
    <w:rsid w:val="007557EC"/>
    <w:rsid w:val="007A07C9"/>
    <w:rsid w:val="007A2663"/>
    <w:rsid w:val="007B4E6A"/>
    <w:rsid w:val="00840A5B"/>
    <w:rsid w:val="008556D0"/>
    <w:rsid w:val="00890640"/>
    <w:rsid w:val="00892CB3"/>
    <w:rsid w:val="008A7E30"/>
    <w:rsid w:val="008B38C0"/>
    <w:rsid w:val="008F65FB"/>
    <w:rsid w:val="009501C1"/>
    <w:rsid w:val="009633B6"/>
    <w:rsid w:val="00985F9E"/>
    <w:rsid w:val="009A65AE"/>
    <w:rsid w:val="009E6C73"/>
    <w:rsid w:val="009F4275"/>
    <w:rsid w:val="00A15D01"/>
    <w:rsid w:val="00A22A3F"/>
    <w:rsid w:val="00A27CC0"/>
    <w:rsid w:val="00A72E30"/>
    <w:rsid w:val="00AC58CF"/>
    <w:rsid w:val="00AE72D5"/>
    <w:rsid w:val="00B142B8"/>
    <w:rsid w:val="00B35E89"/>
    <w:rsid w:val="00B75506"/>
    <w:rsid w:val="00B80E00"/>
    <w:rsid w:val="00BA0015"/>
    <w:rsid w:val="00C0579C"/>
    <w:rsid w:val="00C622E4"/>
    <w:rsid w:val="00C74C55"/>
    <w:rsid w:val="00CA2DDA"/>
    <w:rsid w:val="00CB15BC"/>
    <w:rsid w:val="00CF5A4D"/>
    <w:rsid w:val="00D11DB2"/>
    <w:rsid w:val="00D41A6F"/>
    <w:rsid w:val="00D47C72"/>
    <w:rsid w:val="00DA08E4"/>
    <w:rsid w:val="00DB2B19"/>
    <w:rsid w:val="00E15957"/>
    <w:rsid w:val="00E21FE6"/>
    <w:rsid w:val="00E239B4"/>
    <w:rsid w:val="00E744CB"/>
    <w:rsid w:val="00E75215"/>
    <w:rsid w:val="00E76F83"/>
    <w:rsid w:val="00EC2D42"/>
    <w:rsid w:val="00ED4CC4"/>
    <w:rsid w:val="00F57D4E"/>
    <w:rsid w:val="00F66B81"/>
    <w:rsid w:val="00F7164A"/>
    <w:rsid w:val="00F8747F"/>
    <w:rsid w:val="00F91750"/>
    <w:rsid w:val="00FC70FF"/>
    <w:rsid w:val="00FD74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39"/>
    <w:rPr>
      <w:lang w:val="en-GB"/>
    </w:rPr>
  </w:style>
  <w:style w:type="paragraph" w:styleId="Heading2">
    <w:name w:val="heading 2"/>
    <w:basedOn w:val="Normal"/>
    <w:next w:val="Normal"/>
    <w:link w:val="Heading2Char"/>
    <w:uiPriority w:val="9"/>
    <w:unhideWhenUsed/>
    <w:qFormat/>
    <w:rsid w:val="00733C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957"/>
    <w:rPr>
      <w:rFonts w:ascii="Tahoma" w:hAnsi="Tahoma" w:cs="Tahoma"/>
      <w:sz w:val="16"/>
      <w:szCs w:val="16"/>
      <w:lang w:val="en-GB"/>
    </w:rPr>
  </w:style>
  <w:style w:type="paragraph" w:styleId="Header">
    <w:name w:val="header"/>
    <w:basedOn w:val="Normal"/>
    <w:link w:val="HeaderChar"/>
    <w:uiPriority w:val="99"/>
    <w:unhideWhenUsed/>
    <w:rsid w:val="00733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C2D"/>
    <w:rPr>
      <w:lang w:val="en-GB"/>
    </w:rPr>
  </w:style>
  <w:style w:type="paragraph" w:styleId="Footer">
    <w:name w:val="footer"/>
    <w:basedOn w:val="Normal"/>
    <w:link w:val="FooterChar"/>
    <w:uiPriority w:val="99"/>
    <w:unhideWhenUsed/>
    <w:rsid w:val="00733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C2D"/>
    <w:rPr>
      <w:lang w:val="en-GB"/>
    </w:rPr>
  </w:style>
  <w:style w:type="character" w:customStyle="1" w:styleId="Heading2Char">
    <w:name w:val="Heading 2 Char"/>
    <w:basedOn w:val="DefaultParagraphFont"/>
    <w:link w:val="Heading2"/>
    <w:uiPriority w:val="9"/>
    <w:rsid w:val="00733C2D"/>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8556D0"/>
    <w:rPr>
      <w:color w:val="0000FF" w:themeColor="hyperlink"/>
      <w:u w:val="single"/>
    </w:rPr>
  </w:style>
  <w:style w:type="paragraph" w:styleId="Title">
    <w:name w:val="Title"/>
    <w:basedOn w:val="Normal"/>
    <w:next w:val="Normal"/>
    <w:link w:val="TitleChar"/>
    <w:uiPriority w:val="10"/>
    <w:qFormat/>
    <w:rsid w:val="008556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6D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892CB3"/>
    <w:pPr>
      <w:ind w:left="720"/>
      <w:contextualSpacing/>
    </w:pPr>
  </w:style>
  <w:style w:type="character" w:styleId="FollowedHyperlink">
    <w:name w:val="FollowedHyperlink"/>
    <w:basedOn w:val="DefaultParagraphFont"/>
    <w:uiPriority w:val="99"/>
    <w:semiHidden/>
    <w:unhideWhenUsed/>
    <w:rsid w:val="00577B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39"/>
    <w:rPr>
      <w:lang w:val="en-GB"/>
    </w:rPr>
  </w:style>
  <w:style w:type="paragraph" w:styleId="Heading2">
    <w:name w:val="heading 2"/>
    <w:basedOn w:val="Normal"/>
    <w:next w:val="Normal"/>
    <w:link w:val="Heading2Char"/>
    <w:uiPriority w:val="9"/>
    <w:unhideWhenUsed/>
    <w:qFormat/>
    <w:rsid w:val="00733C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957"/>
    <w:rPr>
      <w:rFonts w:ascii="Tahoma" w:hAnsi="Tahoma" w:cs="Tahoma"/>
      <w:sz w:val="16"/>
      <w:szCs w:val="16"/>
      <w:lang w:val="en-GB"/>
    </w:rPr>
  </w:style>
  <w:style w:type="paragraph" w:styleId="Header">
    <w:name w:val="header"/>
    <w:basedOn w:val="Normal"/>
    <w:link w:val="HeaderChar"/>
    <w:uiPriority w:val="99"/>
    <w:unhideWhenUsed/>
    <w:rsid w:val="00733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C2D"/>
    <w:rPr>
      <w:lang w:val="en-GB"/>
    </w:rPr>
  </w:style>
  <w:style w:type="paragraph" w:styleId="Footer">
    <w:name w:val="footer"/>
    <w:basedOn w:val="Normal"/>
    <w:link w:val="FooterChar"/>
    <w:uiPriority w:val="99"/>
    <w:unhideWhenUsed/>
    <w:rsid w:val="00733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C2D"/>
    <w:rPr>
      <w:lang w:val="en-GB"/>
    </w:rPr>
  </w:style>
  <w:style w:type="character" w:customStyle="1" w:styleId="Heading2Char">
    <w:name w:val="Heading 2 Char"/>
    <w:basedOn w:val="DefaultParagraphFont"/>
    <w:link w:val="Heading2"/>
    <w:uiPriority w:val="9"/>
    <w:rsid w:val="00733C2D"/>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8556D0"/>
    <w:rPr>
      <w:color w:val="0000FF" w:themeColor="hyperlink"/>
      <w:u w:val="single"/>
    </w:rPr>
  </w:style>
  <w:style w:type="paragraph" w:styleId="Title">
    <w:name w:val="Title"/>
    <w:basedOn w:val="Normal"/>
    <w:next w:val="Normal"/>
    <w:link w:val="TitleChar"/>
    <w:uiPriority w:val="10"/>
    <w:qFormat/>
    <w:rsid w:val="008556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6D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892CB3"/>
    <w:pPr>
      <w:ind w:left="720"/>
      <w:contextualSpacing/>
    </w:pPr>
  </w:style>
  <w:style w:type="character" w:styleId="FollowedHyperlink">
    <w:name w:val="FollowedHyperlink"/>
    <w:basedOn w:val="DefaultParagraphFont"/>
    <w:uiPriority w:val="99"/>
    <w:semiHidden/>
    <w:unhideWhenUsed/>
    <w:rsid w:val="00577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6687">
      <w:bodyDiv w:val="1"/>
      <w:marLeft w:val="0"/>
      <w:marRight w:val="0"/>
      <w:marTop w:val="0"/>
      <w:marBottom w:val="0"/>
      <w:divBdr>
        <w:top w:val="none" w:sz="0" w:space="0" w:color="auto"/>
        <w:left w:val="none" w:sz="0" w:space="0" w:color="auto"/>
        <w:bottom w:val="none" w:sz="0" w:space="0" w:color="auto"/>
        <w:right w:val="none" w:sz="0" w:space="0" w:color="auto"/>
      </w:divBdr>
    </w:div>
    <w:div w:id="21173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c-csi.org/IMG/doc/reporting_template_belgium_trade_unions-2.doc" TargetMode="External"/><Relationship Id="rId18" Type="http://schemas.openxmlformats.org/officeDocument/2006/relationships/hyperlink" Target="http://www.ituc-csi.org/IMG/docx/public_tudcn_report.docx" TargetMode="External"/><Relationship Id="rId26" Type="http://schemas.openxmlformats.org/officeDocument/2006/relationships/hyperlink" Target="http://www.ituc-csi.org/IMG/pdf/ituc_briefing_paper_on_social_protection_in_the_post-2015_agenda.pdf" TargetMode="External"/><Relationship Id="rId3" Type="http://schemas.openxmlformats.org/officeDocument/2006/relationships/styles" Target="styles.xml"/><Relationship Id="rId21" Type="http://schemas.openxmlformats.org/officeDocument/2006/relationships/hyperlink" Target="http://www.ituc-csi.org/IMG/docx/tudcn_strategies_on_tus_partnerships.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c-csi.org/IMG/docx/rapport_d_activites_csi_afrique.docx" TargetMode="External"/><Relationship Id="rId17" Type="http://schemas.openxmlformats.org/officeDocument/2006/relationships/hyperlink" Target="http://www.ituc-csi.org/IMG/docx/executive_summary_v_15_april_2013_en.docx" TargetMode="External"/><Relationship Id="rId25" Type="http://schemas.openxmlformats.org/officeDocument/2006/relationships/hyperlink" Target="http://www.ituc-csi.org/IMG/pdf/ituc_briefing_paper_on_decent_work_in_the_post-2015_agenda.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c-csi.org/IMG/docx/reporting_format_for_tudcn_gm_april13_ei.docx" TargetMode="External"/><Relationship Id="rId20" Type="http://schemas.openxmlformats.org/officeDocument/2006/relationships/hyperlink" Target="http://www.ituc-csi.org/IMG/pdf/final_draft-pfd_chart-en.pdf" TargetMode="External"/><Relationship Id="rId29" Type="http://schemas.openxmlformats.org/officeDocument/2006/relationships/hyperlink" Target="http://europa.eu/rapid/press-release_IP-13-166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c-csi.org/IMG/docx/activity_report_nov_2012-april_2013.docx" TargetMode="External"/><Relationship Id="rId24" Type="http://schemas.openxmlformats.org/officeDocument/2006/relationships/hyperlink" Target="http://www.ituc-csi.org/IMG/pdf/ituc_briefing_paper_on_post-2015.pdf"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tuc-csi.org/IMG/docx/reporting_format_for_tudcn_gm_1_.docx" TargetMode="External"/><Relationship Id="rId23" Type="http://schemas.openxmlformats.org/officeDocument/2006/relationships/hyperlink" Target="http://www.ituc-csi.org/IMG/docx/tudcn_manifesto_final_draft_2_.docx" TargetMode="External"/><Relationship Id="rId28" Type="http://schemas.openxmlformats.org/officeDocument/2006/relationships/hyperlink" Target="http://www.ituc-csi.org/IMG/docx/final_draft_tu_statement_on_ec_mdgs-sdgs.docx" TargetMode="External"/><Relationship Id="rId10" Type="http://schemas.openxmlformats.org/officeDocument/2006/relationships/hyperlink" Target="http://www.ituc-csi.org/tudcn-general-meeting-paris-14-15" TargetMode="External"/><Relationship Id="rId19" Type="http://schemas.openxmlformats.org/officeDocument/2006/relationships/hyperlink" Target="http://www.ituc-csi.org/IMG/docx/tudcn_advocacy_strategy_2.docx" TargetMode="External"/><Relationship Id="rId31" Type="http://schemas.openxmlformats.org/officeDocument/2006/relationships/hyperlink" Target="http://www.ituc-csi.org/IMG/xlsx/copy_of_evaluation_sheet_tudcn_gm.xlsx" TargetMode="External"/><Relationship Id="rId4" Type="http://schemas.microsoft.com/office/2007/relationships/stylesWithEffects" Target="stylesWithEffects.xml"/><Relationship Id="rId9" Type="http://schemas.openxmlformats.org/officeDocument/2006/relationships/hyperlink" Target="http://www.danskmetal.dk/metalskolen/" TargetMode="External"/><Relationship Id="rId14" Type="http://schemas.openxmlformats.org/officeDocument/2006/relationships/hyperlink" Target="http://www.ituc-csi.org/IMG/pdf/tudcn_reporting_template_cnv.pdf" TargetMode="External"/><Relationship Id="rId22" Type="http://schemas.openxmlformats.org/officeDocument/2006/relationships/hyperlink" Target="http://www.ituc-csi.org/IMG/docx/tudcn_mission_and_governance_draft.docx" TargetMode="External"/><Relationship Id="rId27" Type="http://schemas.openxmlformats.org/officeDocument/2006/relationships/hyperlink" Target="http://www.ituc-csi.org/IMG/pdf/inequalities_consultation_paper_ituc.pdf" TargetMode="External"/><Relationship Id="rId30" Type="http://schemas.openxmlformats.org/officeDocument/2006/relationships/hyperlink" Target="http://www.ituc-csi.org/IMG/docx/devco_work_plan_2013.docx"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B6D9-A05A-430A-95F3-45137380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712</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Dereymaeker</dc:creator>
  <cp:lastModifiedBy>Marion Levillain</cp:lastModifiedBy>
  <cp:revision>17</cp:revision>
  <cp:lastPrinted>2013-04-12T09:20:00Z</cp:lastPrinted>
  <dcterms:created xsi:type="dcterms:W3CDTF">2013-04-10T14:20:00Z</dcterms:created>
  <dcterms:modified xsi:type="dcterms:W3CDTF">2013-04-23T10:01:00Z</dcterms:modified>
</cp:coreProperties>
</file>