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6" w:rsidRPr="00B338F3" w:rsidRDefault="0069704F" w:rsidP="00B338F3">
      <w:pPr>
        <w:jc w:val="center"/>
      </w:pPr>
      <w:r>
        <w:rPr>
          <w:noProof/>
        </w:rPr>
        <w:drawing>
          <wp:inline distT="0" distB="0" distL="0" distR="0" wp14:anchorId="7017166C" wp14:editId="40C421AD">
            <wp:extent cx="2829827" cy="1039528"/>
            <wp:effectExtent l="0" t="0" r="8890" b="8255"/>
            <wp:docPr id="1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94" cy="10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22" w:rsidRDefault="00312322" w:rsidP="00CE2738">
      <w:pPr>
        <w:pStyle w:val="Title"/>
        <w:spacing w:after="120"/>
        <w:jc w:val="center"/>
        <w:rPr>
          <w:b/>
          <w:bCs/>
          <w:sz w:val="36"/>
          <w:szCs w:val="36"/>
        </w:rPr>
      </w:pPr>
    </w:p>
    <w:p w:rsidR="000E5730" w:rsidRPr="00681EDC" w:rsidRDefault="00557966" w:rsidP="000E5730">
      <w:pPr>
        <w:pStyle w:val="Title"/>
        <w:spacing w:after="120"/>
        <w:jc w:val="center"/>
        <w:rPr>
          <w:b/>
          <w:bCs/>
          <w:sz w:val="36"/>
          <w:szCs w:val="36"/>
        </w:rPr>
      </w:pPr>
      <w:r w:rsidRPr="00681EDC">
        <w:rPr>
          <w:b/>
          <w:bCs/>
          <w:sz w:val="36"/>
          <w:szCs w:val="36"/>
        </w:rPr>
        <w:t xml:space="preserve">TUDCN </w:t>
      </w:r>
      <w:r w:rsidR="000E5730" w:rsidRPr="00681EDC">
        <w:rPr>
          <w:b/>
          <w:bCs/>
          <w:sz w:val="36"/>
          <w:szCs w:val="36"/>
        </w:rPr>
        <w:t>Wo</w:t>
      </w:r>
      <w:r w:rsidR="00FA5EEC">
        <w:rPr>
          <w:b/>
          <w:bCs/>
          <w:sz w:val="36"/>
          <w:szCs w:val="36"/>
        </w:rPr>
        <w:t>rkshop on Development Education</w:t>
      </w:r>
    </w:p>
    <w:p w:rsidR="0069704F" w:rsidRPr="00681EDC" w:rsidRDefault="000E5730" w:rsidP="000E5730">
      <w:pPr>
        <w:pStyle w:val="Title"/>
        <w:spacing w:after="120"/>
        <w:jc w:val="center"/>
        <w:rPr>
          <w:b/>
          <w:bCs/>
          <w:sz w:val="28"/>
          <w:szCs w:val="28"/>
        </w:rPr>
      </w:pPr>
      <w:r w:rsidRPr="00681EDC">
        <w:rPr>
          <w:b/>
          <w:bCs/>
          <w:sz w:val="28"/>
          <w:szCs w:val="28"/>
        </w:rPr>
        <w:t>“Towards a shared Trade Union programme”</w:t>
      </w:r>
    </w:p>
    <w:p w:rsidR="000E5730" w:rsidRPr="00681EDC" w:rsidRDefault="000E5730" w:rsidP="006A39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1EDC">
        <w:rPr>
          <w:rFonts w:ascii="Arial" w:hAnsi="Arial" w:cs="Arial"/>
          <w:sz w:val="24"/>
          <w:szCs w:val="24"/>
        </w:rPr>
        <w:t>September 12-13, 2013</w:t>
      </w:r>
    </w:p>
    <w:p w:rsidR="000E5730" w:rsidRPr="00681EDC" w:rsidRDefault="000E5730" w:rsidP="006A39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1EDC">
        <w:rPr>
          <w:rFonts w:ascii="Arial" w:hAnsi="Arial" w:cs="Arial"/>
          <w:sz w:val="24"/>
          <w:szCs w:val="24"/>
        </w:rPr>
        <w:t xml:space="preserve">Centro </w:t>
      </w:r>
      <w:proofErr w:type="spellStart"/>
      <w:r w:rsidRPr="00681EDC">
        <w:rPr>
          <w:rFonts w:ascii="Arial" w:hAnsi="Arial" w:cs="Arial"/>
          <w:sz w:val="24"/>
          <w:szCs w:val="24"/>
        </w:rPr>
        <w:t>Studi</w:t>
      </w:r>
      <w:proofErr w:type="spellEnd"/>
      <w:r w:rsidRPr="00681EDC">
        <w:rPr>
          <w:rFonts w:ascii="Arial" w:hAnsi="Arial" w:cs="Arial"/>
          <w:sz w:val="24"/>
          <w:szCs w:val="24"/>
        </w:rPr>
        <w:t xml:space="preserve"> CISL </w:t>
      </w:r>
      <w:hyperlink r:id="rId10" w:history="1">
        <w:r w:rsidRPr="00681EDC">
          <w:rPr>
            <w:rStyle w:val="Hyperlink"/>
            <w:rFonts w:ascii="Calibri" w:hAnsi="Calibri"/>
            <w:sz w:val="24"/>
            <w:szCs w:val="24"/>
          </w:rPr>
          <w:t>http://www.centrostudi.cisl.it/</w:t>
        </w:r>
      </w:hyperlink>
    </w:p>
    <w:p w:rsidR="000E5730" w:rsidRPr="004F25B8" w:rsidRDefault="000E5730" w:rsidP="00381C4F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24"/>
          <w:szCs w:val="24"/>
          <w:lang w:val="es-ES_tradnl"/>
        </w:rPr>
      </w:pPr>
      <w:r w:rsidRPr="004F25B8">
        <w:rPr>
          <w:rFonts w:ascii="Arial" w:hAnsi="Arial" w:cs="Arial"/>
          <w:sz w:val="24"/>
          <w:szCs w:val="24"/>
          <w:lang w:val="es-ES_tradnl"/>
        </w:rPr>
        <w:t>Via della Piazzola,71 - 50133 Firenze, Italy</w:t>
      </w:r>
    </w:p>
    <w:p w:rsidR="00381C4F" w:rsidRPr="004F25B8" w:rsidRDefault="00381C4F" w:rsidP="00381C4F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24"/>
          <w:szCs w:val="24"/>
          <w:lang w:val="es-ES_tradnl"/>
        </w:rPr>
      </w:pPr>
    </w:p>
    <w:p w:rsidR="00B7259F" w:rsidRPr="004F25B8" w:rsidRDefault="00557966" w:rsidP="00B7259F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es-ES_tradnl"/>
        </w:rPr>
      </w:pPr>
      <w:bookmarkStart w:id="0" w:name="_GoBack"/>
      <w:bookmarkEnd w:id="0"/>
      <w:r w:rsidRPr="004F25B8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es-ES_tradnl"/>
        </w:rPr>
        <w:t>AGENDA</w:t>
      </w:r>
      <w:r w:rsidR="00312322" w:rsidRPr="004F25B8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es-ES_tradnl"/>
        </w:rPr>
        <w:t xml:space="preserve"> </w:t>
      </w:r>
    </w:p>
    <w:p w:rsidR="00B7259F" w:rsidRPr="004F25B8" w:rsidRDefault="00B7259F" w:rsidP="00B7259F">
      <w:pPr>
        <w:spacing w:after="0"/>
        <w:ind w:left="-567"/>
        <w:rPr>
          <w:b/>
          <w:i/>
          <w:lang w:val="es-ES_tradnl"/>
        </w:rPr>
      </w:pPr>
    </w:p>
    <w:p w:rsidR="00B7259F" w:rsidRPr="00681EDC" w:rsidRDefault="00B7259F" w:rsidP="00381C4F">
      <w:pPr>
        <w:spacing w:after="0"/>
        <w:ind w:left="-567"/>
        <w:rPr>
          <w:rStyle w:val="IntenseReference"/>
          <w:bCs w:val="0"/>
          <w:i/>
          <w:smallCaps w:val="0"/>
          <w:color w:val="auto"/>
          <w:spacing w:val="0"/>
          <w:u w:val="none"/>
        </w:rPr>
      </w:pPr>
      <w:r w:rsidRPr="00681EDC">
        <w:rPr>
          <w:b/>
          <w:i/>
        </w:rPr>
        <w:t xml:space="preserve">Thursday 12 </w:t>
      </w:r>
    </w:p>
    <w:tbl>
      <w:tblPr>
        <w:tblStyle w:val="TableGrid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1701"/>
      </w:tblGrid>
      <w:tr w:rsidR="00381C4F" w:rsidRPr="00681EDC" w:rsidTr="00381C4F">
        <w:trPr>
          <w:trHeight w:val="397"/>
        </w:trPr>
        <w:tc>
          <w:tcPr>
            <w:tcW w:w="2836" w:type="dxa"/>
          </w:tcPr>
          <w:p w:rsidR="00381C4F" w:rsidRPr="00681EDC" w:rsidRDefault="00381C4F" w:rsidP="00FD5CD2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>Time</w:t>
            </w:r>
          </w:p>
        </w:tc>
        <w:tc>
          <w:tcPr>
            <w:tcW w:w="4819" w:type="dxa"/>
          </w:tcPr>
          <w:p w:rsidR="00381C4F" w:rsidRPr="00681EDC" w:rsidRDefault="00381C4F" w:rsidP="00FD5CD2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 xml:space="preserve"> Items</w:t>
            </w:r>
          </w:p>
        </w:tc>
        <w:tc>
          <w:tcPr>
            <w:tcW w:w="1701" w:type="dxa"/>
          </w:tcPr>
          <w:p w:rsidR="00381C4F" w:rsidRPr="00681EDC" w:rsidRDefault="00381C4F" w:rsidP="00FD5CD2">
            <w:pPr>
              <w:rPr>
                <w:b/>
                <w:sz w:val="18"/>
                <w:lang w:val="en-GB"/>
              </w:rPr>
            </w:pPr>
            <w:r w:rsidRPr="00681EDC">
              <w:rPr>
                <w:b/>
                <w:sz w:val="18"/>
                <w:lang w:val="en-GB"/>
              </w:rPr>
              <w:t xml:space="preserve">Facilitator  </w:t>
            </w:r>
          </w:p>
        </w:tc>
      </w:tr>
      <w:tr w:rsidR="00381C4F" w:rsidRPr="00681EDC" w:rsidTr="00381C4F">
        <w:trPr>
          <w:trHeight w:val="397"/>
        </w:trPr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9.</w:t>
            </w:r>
            <w:r w:rsidR="001C07E0">
              <w:rPr>
                <w:color w:val="E36C0A" w:themeColor="accent6" w:themeShade="BF"/>
                <w:lang w:val="en-GB"/>
              </w:rPr>
              <w:t>00</w:t>
            </w:r>
            <w:r w:rsidRPr="00681EDC">
              <w:rPr>
                <w:color w:val="E36C0A" w:themeColor="accent6" w:themeShade="BF"/>
                <w:lang w:val="en-GB"/>
              </w:rPr>
              <w:t xml:space="preserve"> -9.30</w:t>
            </w:r>
          </w:p>
          <w:p w:rsidR="00381C4F" w:rsidRPr="00681EDC" w:rsidRDefault="00381C4F" w:rsidP="00FD5CD2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>OPENING</w:t>
            </w:r>
          </w:p>
        </w:tc>
        <w:tc>
          <w:tcPr>
            <w:tcW w:w="4819" w:type="dxa"/>
          </w:tcPr>
          <w:p w:rsidR="00381C4F" w:rsidRPr="00681EDC" w:rsidRDefault="00381C4F" w:rsidP="00381C4F">
            <w:pPr>
              <w:rPr>
                <w:lang w:val="en-GB"/>
              </w:rPr>
            </w:pPr>
            <w:r w:rsidRPr="00681EDC">
              <w:rPr>
                <w:lang w:val="en-GB"/>
              </w:rPr>
              <w:t xml:space="preserve">Objective and program of the seminar </w:t>
            </w:r>
          </w:p>
          <w:p w:rsidR="00381C4F" w:rsidRPr="00681EDC" w:rsidRDefault="00381C4F" w:rsidP="00381C4F">
            <w:pPr>
              <w:rPr>
                <w:lang w:val="en-GB"/>
              </w:rPr>
            </w:pPr>
          </w:p>
          <w:p w:rsidR="00381C4F" w:rsidRPr="00681EDC" w:rsidRDefault="00381C4F" w:rsidP="00381C4F">
            <w:pPr>
              <w:rPr>
                <w:lang w:val="en-GB"/>
              </w:rPr>
            </w:pPr>
            <w:r w:rsidRPr="00681EDC">
              <w:rPr>
                <w:lang w:val="en-GB"/>
              </w:rPr>
              <w:t>Participants introductions</w:t>
            </w:r>
          </w:p>
          <w:p w:rsidR="00381C4F" w:rsidRPr="00681EDC" w:rsidRDefault="00381C4F" w:rsidP="006F745D">
            <w:pPr>
              <w:pStyle w:val="ListParagraph"/>
              <w:rPr>
                <w:lang w:val="en-GB"/>
              </w:rPr>
            </w:pPr>
          </w:p>
        </w:tc>
        <w:tc>
          <w:tcPr>
            <w:tcW w:w="1701" w:type="dxa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ITUC/TUDCN</w:t>
            </w:r>
          </w:p>
        </w:tc>
      </w:tr>
      <w:tr w:rsidR="00381C4F" w:rsidRPr="00681EDC" w:rsidTr="00381C4F"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9.30-10.30</w:t>
            </w:r>
          </w:p>
          <w:p w:rsidR="00381C4F" w:rsidRPr="00681EDC" w:rsidRDefault="00381C4F" w:rsidP="00FD5CD2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>BACKGROUND &amp; EXPECTATIONS</w:t>
            </w:r>
          </w:p>
        </w:tc>
        <w:tc>
          <w:tcPr>
            <w:tcW w:w="4819" w:type="dxa"/>
          </w:tcPr>
          <w:p w:rsidR="00381C4F" w:rsidRPr="00681EDC" w:rsidRDefault="00381C4F" w:rsidP="00381C4F">
            <w:pPr>
              <w:rPr>
                <w:lang w:val="en-GB"/>
              </w:rPr>
            </w:pPr>
            <w:r w:rsidRPr="00681EDC">
              <w:rPr>
                <w:lang w:val="en-GB"/>
              </w:rPr>
              <w:t>Participants’ background on Development Education &amp; Awareness Raising (group work)</w:t>
            </w:r>
          </w:p>
          <w:p w:rsidR="00381C4F" w:rsidRPr="00681EDC" w:rsidRDefault="00381C4F" w:rsidP="00381C4F">
            <w:pPr>
              <w:rPr>
                <w:lang w:val="en-GB"/>
              </w:rPr>
            </w:pPr>
          </w:p>
          <w:p w:rsidR="00381C4F" w:rsidRPr="00681EDC" w:rsidRDefault="00381C4F" w:rsidP="00381C4F">
            <w:pPr>
              <w:rPr>
                <w:lang w:val="en-GB"/>
              </w:rPr>
            </w:pPr>
            <w:r w:rsidRPr="00681EDC">
              <w:rPr>
                <w:lang w:val="en-GB"/>
              </w:rPr>
              <w:t>Expectations from the workshop</w:t>
            </w:r>
          </w:p>
          <w:p w:rsidR="00381C4F" w:rsidRDefault="00381C4F" w:rsidP="00381C4F">
            <w:pPr>
              <w:rPr>
                <w:lang w:val="en-GB"/>
              </w:rPr>
            </w:pPr>
          </w:p>
          <w:p w:rsidR="00807A2C" w:rsidRPr="00681EDC" w:rsidRDefault="00807A2C" w:rsidP="00381C4F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</w:t>
            </w:r>
            <w:proofErr w:type="spellStart"/>
            <w:r w:rsidRPr="00681EDC">
              <w:rPr>
                <w:sz w:val="18"/>
                <w:lang w:val="en-GB"/>
              </w:rPr>
              <w:t>Dereymaeker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ITUC/TUDCN</w:t>
            </w:r>
          </w:p>
        </w:tc>
      </w:tr>
      <w:tr w:rsidR="00381C4F" w:rsidRPr="00681EDC" w:rsidTr="00381C4F">
        <w:tc>
          <w:tcPr>
            <w:tcW w:w="2836" w:type="dxa"/>
            <w:shd w:val="clear" w:color="auto" w:fill="FFC000"/>
          </w:tcPr>
          <w:p w:rsidR="00381C4F" w:rsidRPr="00681EDC" w:rsidRDefault="00381C4F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10.30-11.00</w:t>
            </w:r>
          </w:p>
        </w:tc>
        <w:tc>
          <w:tcPr>
            <w:tcW w:w="4819" w:type="dxa"/>
            <w:shd w:val="clear" w:color="auto" w:fill="FFC000"/>
          </w:tcPr>
          <w:p w:rsidR="00381C4F" w:rsidRPr="00681EDC" w:rsidRDefault="00381C4F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Coffee Break</w:t>
            </w:r>
          </w:p>
        </w:tc>
        <w:tc>
          <w:tcPr>
            <w:tcW w:w="1701" w:type="dxa"/>
            <w:shd w:val="clear" w:color="auto" w:fill="FFC000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</w:p>
        </w:tc>
      </w:tr>
      <w:tr w:rsidR="00381C4F" w:rsidRPr="00681EDC" w:rsidTr="00381C4F">
        <w:trPr>
          <w:trHeight w:val="260"/>
        </w:trPr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11.00–11.</w:t>
            </w:r>
            <w:r w:rsidR="003515E3">
              <w:rPr>
                <w:color w:val="E36C0A" w:themeColor="accent6" w:themeShade="BF"/>
                <w:lang w:val="en-GB"/>
              </w:rPr>
              <w:t>45</w:t>
            </w:r>
            <w:r w:rsidRPr="00681EDC">
              <w:rPr>
                <w:color w:val="E36C0A" w:themeColor="accent6" w:themeShade="BF"/>
                <w:lang w:val="en-GB"/>
              </w:rPr>
              <w:t xml:space="preserve"> </w:t>
            </w:r>
          </w:p>
          <w:p w:rsidR="00381C4F" w:rsidRPr="00681EDC" w:rsidRDefault="00381C4F" w:rsidP="00FD5CD2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>EC on D</w:t>
            </w:r>
            <w:r w:rsidR="00807A2C">
              <w:rPr>
                <w:b/>
                <w:lang w:val="en-GB"/>
              </w:rPr>
              <w:t>EV EDUC</w:t>
            </w:r>
          </w:p>
          <w:p w:rsidR="00381C4F" w:rsidRPr="00681EDC" w:rsidRDefault="00381C4F" w:rsidP="00FD5CD2">
            <w:pPr>
              <w:rPr>
                <w:b/>
                <w:lang w:val="en-GB"/>
              </w:rPr>
            </w:pPr>
          </w:p>
        </w:tc>
        <w:tc>
          <w:tcPr>
            <w:tcW w:w="4819" w:type="dxa"/>
          </w:tcPr>
          <w:p w:rsidR="00381C4F" w:rsidRPr="00681EDC" w:rsidRDefault="00E21EC4" w:rsidP="00B7259F">
            <w:pPr>
              <w:rPr>
                <w:lang w:val="en-GB"/>
              </w:rPr>
            </w:pPr>
            <w:r>
              <w:rPr>
                <w:lang w:val="en-GB"/>
              </w:rPr>
              <w:t xml:space="preserve">EC </w:t>
            </w:r>
            <w:r w:rsidRPr="00E21EC4">
              <w:rPr>
                <w:lang w:val="en-GB"/>
              </w:rPr>
              <w:t>DEAR</w:t>
            </w:r>
            <w:r>
              <w:rPr>
                <w:lang w:val="en-GB"/>
              </w:rPr>
              <w:t xml:space="preserve"> programme: </w:t>
            </w:r>
            <w:r w:rsidRPr="00E21EC4">
              <w:rPr>
                <w:lang w:val="en-GB"/>
              </w:rPr>
              <w:t>recent policy developments and vision for future setting of DEAR in Europe</w:t>
            </w:r>
          </w:p>
        </w:tc>
        <w:tc>
          <w:tcPr>
            <w:tcW w:w="1701" w:type="dxa"/>
          </w:tcPr>
          <w:p w:rsidR="003515E3" w:rsidRDefault="003515E3" w:rsidP="003515E3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Markus </w:t>
            </w:r>
            <w:r w:rsidRPr="003515E3">
              <w:rPr>
                <w:sz w:val="18"/>
                <w:lang w:val="en-GB"/>
              </w:rPr>
              <w:t>PIRCHNER</w:t>
            </w:r>
          </w:p>
          <w:p w:rsidR="003515E3" w:rsidRDefault="003515E3" w:rsidP="003515E3">
            <w:pPr>
              <w:rPr>
                <w:sz w:val="18"/>
                <w:lang w:val="en-GB"/>
              </w:rPr>
            </w:pPr>
          </w:p>
          <w:p w:rsidR="00381C4F" w:rsidRPr="00681EDC" w:rsidRDefault="003515E3" w:rsidP="003515E3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European Commission</w:t>
            </w:r>
          </w:p>
        </w:tc>
      </w:tr>
      <w:tr w:rsidR="00381C4F" w:rsidRPr="00681EDC" w:rsidTr="00381C4F">
        <w:trPr>
          <w:trHeight w:val="260"/>
        </w:trPr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11.</w:t>
            </w:r>
            <w:r w:rsidR="003515E3">
              <w:rPr>
                <w:color w:val="E36C0A" w:themeColor="accent6" w:themeShade="BF"/>
                <w:lang w:val="en-GB"/>
              </w:rPr>
              <w:t>45</w:t>
            </w:r>
            <w:r w:rsidRPr="00681EDC">
              <w:rPr>
                <w:color w:val="E36C0A" w:themeColor="accent6" w:themeShade="BF"/>
                <w:lang w:val="en-GB"/>
              </w:rPr>
              <w:t>-12.00</w:t>
            </w:r>
          </w:p>
          <w:p w:rsidR="00381C4F" w:rsidRPr="00681EDC" w:rsidRDefault="00807A2C" w:rsidP="00FD5C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TUDCN on DEV EDUC</w:t>
            </w:r>
          </w:p>
          <w:p w:rsidR="00381C4F" w:rsidRPr="00681EDC" w:rsidRDefault="00381C4F" w:rsidP="00FD5CD2">
            <w:pPr>
              <w:rPr>
                <w:lang w:val="en-GB"/>
              </w:rPr>
            </w:pPr>
          </w:p>
        </w:tc>
        <w:tc>
          <w:tcPr>
            <w:tcW w:w="4819" w:type="dxa"/>
          </w:tcPr>
          <w:p w:rsidR="00381C4F" w:rsidRPr="00681EDC" w:rsidRDefault="00381C4F" w:rsidP="00B7259F">
            <w:pPr>
              <w:rPr>
                <w:lang w:val="en-GB"/>
              </w:rPr>
            </w:pPr>
            <w:r w:rsidRPr="00681EDC">
              <w:rPr>
                <w:lang w:val="en-GB"/>
              </w:rPr>
              <w:t>Out</w:t>
            </w:r>
            <w:r w:rsidR="00807A2C">
              <w:rPr>
                <w:lang w:val="en-GB"/>
              </w:rPr>
              <w:t>look on TUDCN Statements on DEV EDUC</w:t>
            </w:r>
            <w:r w:rsidRPr="00681EDC">
              <w:rPr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381C4F" w:rsidRPr="00681EDC" w:rsidRDefault="00381C4F" w:rsidP="00B7259F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381C4F" w:rsidRPr="00681EDC" w:rsidRDefault="00381C4F" w:rsidP="00B7259F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ITUC/TUDCN</w:t>
            </w:r>
          </w:p>
        </w:tc>
      </w:tr>
      <w:tr w:rsidR="00381C4F" w:rsidRPr="00681EDC" w:rsidTr="00381C4F"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lang w:val="en-GB"/>
              </w:rPr>
              <w:br w:type="page"/>
            </w:r>
            <w:r w:rsidRPr="00681EDC">
              <w:rPr>
                <w:color w:val="E36C0A" w:themeColor="accent6" w:themeShade="BF"/>
                <w:lang w:val="en-GB"/>
              </w:rPr>
              <w:t>12.00-13.00</w:t>
            </w:r>
          </w:p>
          <w:p w:rsidR="00381C4F" w:rsidRPr="00681EDC" w:rsidRDefault="00381C4F" w:rsidP="00FD5CD2">
            <w:pPr>
              <w:rPr>
                <w:b/>
                <w:caps/>
                <w:lang w:val="en-GB"/>
              </w:rPr>
            </w:pPr>
            <w:r w:rsidRPr="00681EDC">
              <w:rPr>
                <w:b/>
                <w:caps/>
                <w:lang w:val="en-GB"/>
              </w:rPr>
              <w:t>Challenges &amp; opportunities</w:t>
            </w:r>
          </w:p>
          <w:p w:rsidR="00381C4F" w:rsidRPr="00681EDC" w:rsidRDefault="00381C4F" w:rsidP="00FD5CD2">
            <w:pPr>
              <w:rPr>
                <w:b/>
                <w:caps/>
                <w:lang w:val="en-GB"/>
              </w:rPr>
            </w:pPr>
          </w:p>
        </w:tc>
        <w:tc>
          <w:tcPr>
            <w:tcW w:w="4819" w:type="dxa"/>
          </w:tcPr>
          <w:p w:rsidR="00381C4F" w:rsidRPr="00681EDC" w:rsidRDefault="00381C4F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 xml:space="preserve">Sharing a programme proposal to the EC </w:t>
            </w:r>
          </w:p>
          <w:p w:rsidR="00381C4F" w:rsidRPr="00681EDC" w:rsidRDefault="00381C4F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(plenary debate)</w:t>
            </w:r>
          </w:p>
        </w:tc>
        <w:tc>
          <w:tcPr>
            <w:tcW w:w="1701" w:type="dxa"/>
          </w:tcPr>
          <w:p w:rsidR="00832E0A" w:rsidRPr="00681EDC" w:rsidRDefault="00381C4F" w:rsidP="00832E0A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</w:t>
            </w:r>
            <w:proofErr w:type="spellStart"/>
            <w:r w:rsidRPr="00681EDC">
              <w:rPr>
                <w:sz w:val="18"/>
                <w:lang w:val="en-GB"/>
              </w:rPr>
              <w:t>Dereymaeker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  <w:r w:rsidR="00832E0A">
              <w:rPr>
                <w:sz w:val="18"/>
                <w:lang w:val="en-GB"/>
              </w:rPr>
              <w:t xml:space="preserve">&amp; </w:t>
            </w:r>
            <w:r w:rsidR="00832E0A" w:rsidRPr="00681EDC">
              <w:rPr>
                <w:sz w:val="18"/>
                <w:lang w:val="en-GB"/>
              </w:rPr>
              <w:t>Paola Simonetti</w:t>
            </w:r>
          </w:p>
          <w:p w:rsidR="00381C4F" w:rsidRPr="00681EDC" w:rsidRDefault="00381C4F" w:rsidP="00A21B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ITUC/TUDCN</w:t>
            </w:r>
          </w:p>
        </w:tc>
      </w:tr>
      <w:tr w:rsidR="00381C4F" w:rsidRPr="00681EDC" w:rsidTr="00381C4F">
        <w:tc>
          <w:tcPr>
            <w:tcW w:w="2836" w:type="dxa"/>
            <w:shd w:val="clear" w:color="auto" w:fill="FFC000"/>
          </w:tcPr>
          <w:p w:rsidR="00381C4F" w:rsidRPr="00681EDC" w:rsidRDefault="00381C4F" w:rsidP="00807A2C">
            <w:pPr>
              <w:rPr>
                <w:lang w:val="en-GB"/>
              </w:rPr>
            </w:pPr>
            <w:r w:rsidRPr="00681EDC">
              <w:rPr>
                <w:lang w:val="en-GB"/>
              </w:rPr>
              <w:t>13.00-14.</w:t>
            </w:r>
            <w:r w:rsidR="00807A2C">
              <w:rPr>
                <w:lang w:val="en-GB"/>
              </w:rPr>
              <w:t>0</w:t>
            </w:r>
            <w:r w:rsidRPr="00681EDC">
              <w:rPr>
                <w:lang w:val="en-GB"/>
              </w:rPr>
              <w:t>0</w:t>
            </w:r>
          </w:p>
        </w:tc>
        <w:tc>
          <w:tcPr>
            <w:tcW w:w="4819" w:type="dxa"/>
            <w:shd w:val="clear" w:color="auto" w:fill="FFC000"/>
          </w:tcPr>
          <w:p w:rsidR="00381C4F" w:rsidRPr="00681EDC" w:rsidRDefault="00381C4F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Lunch</w:t>
            </w:r>
          </w:p>
        </w:tc>
        <w:tc>
          <w:tcPr>
            <w:tcW w:w="1701" w:type="dxa"/>
            <w:shd w:val="clear" w:color="auto" w:fill="FFC000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</w:p>
        </w:tc>
      </w:tr>
      <w:tr w:rsidR="00381C4F" w:rsidRPr="00681EDC" w:rsidTr="00381C4F"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14:</w:t>
            </w:r>
            <w:r w:rsidR="00807A2C">
              <w:rPr>
                <w:color w:val="E36C0A" w:themeColor="accent6" w:themeShade="BF"/>
                <w:lang w:val="en-GB"/>
              </w:rPr>
              <w:t>0</w:t>
            </w:r>
            <w:r w:rsidRPr="00681EDC">
              <w:rPr>
                <w:color w:val="E36C0A" w:themeColor="accent6" w:themeShade="BF"/>
                <w:lang w:val="en-GB"/>
              </w:rPr>
              <w:t>0-15:</w:t>
            </w:r>
            <w:r w:rsidR="00807A2C">
              <w:rPr>
                <w:color w:val="E36C0A" w:themeColor="accent6" w:themeShade="BF"/>
                <w:lang w:val="en-GB"/>
              </w:rPr>
              <w:t>0</w:t>
            </w:r>
            <w:r w:rsidRPr="00681EDC">
              <w:rPr>
                <w:color w:val="E36C0A" w:themeColor="accent6" w:themeShade="BF"/>
                <w:lang w:val="en-GB"/>
              </w:rPr>
              <w:t xml:space="preserve">0 </w:t>
            </w:r>
          </w:p>
          <w:p w:rsidR="00381C4F" w:rsidRPr="00681EDC" w:rsidRDefault="00381C4F" w:rsidP="00381C4F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>STEP 1: ANALYSIS &amp; UNDERSTANDING</w:t>
            </w:r>
          </w:p>
          <w:p w:rsidR="00FE7C76" w:rsidRPr="00681EDC" w:rsidRDefault="00FE7C76" w:rsidP="00381C4F">
            <w:pPr>
              <w:rPr>
                <w:b/>
                <w:lang w:val="en-GB"/>
              </w:rPr>
            </w:pPr>
          </w:p>
          <w:p w:rsidR="00381C4F" w:rsidRPr="00681EDC" w:rsidRDefault="00381C4F" w:rsidP="00381C4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4819" w:type="dxa"/>
          </w:tcPr>
          <w:p w:rsidR="00381C4F" w:rsidRPr="00681EDC" w:rsidRDefault="00381C4F" w:rsidP="009C352F">
            <w:pPr>
              <w:rPr>
                <w:lang w:val="en-GB"/>
              </w:rPr>
            </w:pPr>
            <w:r w:rsidRPr="00681EDC">
              <w:rPr>
                <w:lang w:val="en-GB"/>
              </w:rPr>
              <w:t xml:space="preserve">Framing the context of the programme </w:t>
            </w:r>
          </w:p>
          <w:p w:rsidR="00381C4F" w:rsidRPr="00681EDC" w:rsidRDefault="00381C4F" w:rsidP="009C352F">
            <w:pPr>
              <w:rPr>
                <w:lang w:val="en-GB"/>
              </w:rPr>
            </w:pPr>
            <w:r w:rsidRPr="00681EDC">
              <w:rPr>
                <w:lang w:val="en-GB"/>
              </w:rPr>
              <w:t>(group work)</w:t>
            </w:r>
          </w:p>
        </w:tc>
        <w:tc>
          <w:tcPr>
            <w:tcW w:w="1701" w:type="dxa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381C4F" w:rsidRPr="00681EDC" w:rsidRDefault="00381C4F" w:rsidP="00FD5CD2">
            <w:pPr>
              <w:rPr>
                <w:color w:val="FF0000"/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381C4F" w:rsidRPr="00681EDC" w:rsidTr="00381C4F"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lastRenderedPageBreak/>
              <w:t>15:</w:t>
            </w:r>
            <w:r w:rsidR="00807A2C">
              <w:rPr>
                <w:color w:val="E36C0A" w:themeColor="accent6" w:themeShade="BF"/>
                <w:lang w:val="en-GB"/>
              </w:rPr>
              <w:t>0</w:t>
            </w:r>
            <w:r w:rsidRPr="00681EDC">
              <w:rPr>
                <w:color w:val="E36C0A" w:themeColor="accent6" w:themeShade="BF"/>
                <w:lang w:val="en-GB"/>
              </w:rPr>
              <w:t>0-16:</w:t>
            </w:r>
            <w:r w:rsidR="00807A2C">
              <w:rPr>
                <w:color w:val="E36C0A" w:themeColor="accent6" w:themeShade="BF"/>
                <w:lang w:val="en-GB"/>
              </w:rPr>
              <w:t>0</w:t>
            </w:r>
            <w:r w:rsidRPr="00681EDC">
              <w:rPr>
                <w:color w:val="E36C0A" w:themeColor="accent6" w:themeShade="BF"/>
                <w:lang w:val="en-GB"/>
              </w:rPr>
              <w:t>0</w:t>
            </w:r>
          </w:p>
          <w:p w:rsidR="00381C4F" w:rsidRDefault="00381C4F" w:rsidP="00FD5CD2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 xml:space="preserve">STEP 1: </w:t>
            </w:r>
            <w:r w:rsidR="00AF04F1" w:rsidRPr="00681EDC">
              <w:rPr>
                <w:b/>
                <w:lang w:val="en-GB"/>
              </w:rPr>
              <w:t>ANALYSIS &amp; UNDERSTANDING (</w:t>
            </w:r>
            <w:r w:rsidRPr="00681EDC">
              <w:rPr>
                <w:b/>
                <w:lang w:val="en-GB"/>
              </w:rPr>
              <w:t>FOLLOW UP</w:t>
            </w:r>
            <w:r w:rsidR="00AF04F1" w:rsidRPr="00681EDC">
              <w:rPr>
                <w:b/>
                <w:lang w:val="en-GB"/>
              </w:rPr>
              <w:t>)</w:t>
            </w:r>
          </w:p>
          <w:p w:rsidR="00832E0A" w:rsidRPr="00681EDC" w:rsidRDefault="00832E0A" w:rsidP="00FD5CD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4819" w:type="dxa"/>
          </w:tcPr>
          <w:p w:rsidR="00381C4F" w:rsidRPr="00681EDC" w:rsidRDefault="00381C4F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Feedbacks from WGs and Plenary Discussions</w:t>
            </w:r>
          </w:p>
          <w:p w:rsidR="00381C4F" w:rsidRPr="00681EDC" w:rsidRDefault="00381C4F" w:rsidP="00FD5CD2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381C4F" w:rsidRPr="00681EDC" w:rsidRDefault="00381C4F" w:rsidP="00FD5CD2">
            <w:pPr>
              <w:rPr>
                <w:color w:val="FF0000"/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381C4F" w:rsidRPr="00681EDC" w:rsidTr="00381C4F">
        <w:tc>
          <w:tcPr>
            <w:tcW w:w="2836" w:type="dxa"/>
            <w:shd w:val="clear" w:color="auto" w:fill="FFC000"/>
          </w:tcPr>
          <w:p w:rsidR="00381C4F" w:rsidRPr="00681EDC" w:rsidRDefault="00381C4F" w:rsidP="00807A2C">
            <w:pPr>
              <w:rPr>
                <w:lang w:val="en-GB"/>
              </w:rPr>
            </w:pPr>
            <w:r w:rsidRPr="00681EDC">
              <w:rPr>
                <w:lang w:val="en-GB"/>
              </w:rPr>
              <w:t>16.</w:t>
            </w:r>
            <w:r w:rsidR="00807A2C">
              <w:rPr>
                <w:lang w:val="en-GB"/>
              </w:rPr>
              <w:t>0</w:t>
            </w:r>
            <w:r w:rsidRPr="00681EDC">
              <w:rPr>
                <w:lang w:val="en-GB"/>
              </w:rPr>
              <w:t>0-1</w:t>
            </w:r>
            <w:r w:rsidR="00807A2C">
              <w:rPr>
                <w:lang w:val="en-GB"/>
              </w:rPr>
              <w:t>6</w:t>
            </w:r>
            <w:r w:rsidRPr="00681EDC">
              <w:rPr>
                <w:lang w:val="en-GB"/>
              </w:rPr>
              <w:t>.</w:t>
            </w:r>
            <w:r w:rsidR="00807A2C">
              <w:rPr>
                <w:lang w:val="en-GB"/>
              </w:rPr>
              <w:t>3</w:t>
            </w:r>
            <w:r w:rsidRPr="00681EDC">
              <w:rPr>
                <w:lang w:val="en-GB"/>
              </w:rPr>
              <w:t xml:space="preserve">0 </w:t>
            </w:r>
          </w:p>
        </w:tc>
        <w:tc>
          <w:tcPr>
            <w:tcW w:w="4819" w:type="dxa"/>
            <w:shd w:val="clear" w:color="auto" w:fill="FFC000"/>
          </w:tcPr>
          <w:p w:rsidR="00381C4F" w:rsidRPr="00681EDC" w:rsidRDefault="00381C4F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Coffee break</w:t>
            </w:r>
          </w:p>
        </w:tc>
        <w:tc>
          <w:tcPr>
            <w:tcW w:w="1701" w:type="dxa"/>
            <w:shd w:val="clear" w:color="auto" w:fill="FFC000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</w:p>
        </w:tc>
      </w:tr>
      <w:tr w:rsidR="00381C4F" w:rsidRPr="00681EDC" w:rsidTr="00381C4F">
        <w:trPr>
          <w:trHeight w:val="77"/>
        </w:trPr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</w:t>
            </w:r>
            <w:r w:rsidR="00807A2C">
              <w:rPr>
                <w:color w:val="E36C0A" w:themeColor="accent6" w:themeShade="BF"/>
                <w:lang w:val="en-GB"/>
              </w:rPr>
              <w:t>6:3</w:t>
            </w:r>
            <w:r w:rsidRPr="00681EDC">
              <w:rPr>
                <w:color w:val="E36C0A" w:themeColor="accent6" w:themeShade="BF"/>
                <w:lang w:val="en-GB"/>
              </w:rPr>
              <w:t>0-1</w:t>
            </w:r>
            <w:r w:rsidR="00807A2C">
              <w:rPr>
                <w:color w:val="E36C0A" w:themeColor="accent6" w:themeShade="BF"/>
                <w:lang w:val="en-GB"/>
              </w:rPr>
              <w:t>7:3</w:t>
            </w:r>
            <w:r w:rsidRPr="00681EDC">
              <w:rPr>
                <w:color w:val="E36C0A" w:themeColor="accent6" w:themeShade="BF"/>
                <w:lang w:val="en-GB"/>
              </w:rPr>
              <w:t>0</w:t>
            </w:r>
          </w:p>
          <w:p w:rsidR="00381C4F" w:rsidRPr="00681EDC" w:rsidRDefault="00381C4F" w:rsidP="00FD5CD2">
            <w:pPr>
              <w:rPr>
                <w:b/>
                <w:color w:val="E36C0A" w:themeColor="accent6" w:themeShade="BF"/>
                <w:lang w:val="en-GB"/>
              </w:rPr>
            </w:pPr>
            <w:r w:rsidRPr="00681EDC">
              <w:rPr>
                <w:b/>
                <w:lang w:val="en-GB"/>
              </w:rPr>
              <w:t>STEP 2: IDENTIFYING STRATEGIES</w:t>
            </w:r>
          </w:p>
        </w:tc>
        <w:tc>
          <w:tcPr>
            <w:tcW w:w="4819" w:type="dxa"/>
          </w:tcPr>
          <w:p w:rsidR="00807A2C" w:rsidRDefault="00807A2C" w:rsidP="00FD5CD2">
            <w:pPr>
              <w:rPr>
                <w:lang w:val="en-GB"/>
              </w:rPr>
            </w:pPr>
            <w:r>
              <w:rPr>
                <w:lang w:val="en-GB"/>
              </w:rPr>
              <w:t xml:space="preserve">Identifying </w:t>
            </w:r>
            <w:r w:rsidR="00381C4F" w:rsidRPr="00681EDC">
              <w:rPr>
                <w:lang w:val="en-GB"/>
              </w:rPr>
              <w:t xml:space="preserve">outlines of </w:t>
            </w:r>
            <w:r w:rsidRPr="00681EDC">
              <w:rPr>
                <w:lang w:val="en-GB"/>
              </w:rPr>
              <w:t xml:space="preserve">programme </w:t>
            </w:r>
            <w:r w:rsidR="00381C4F" w:rsidRPr="00681EDC">
              <w:rPr>
                <w:lang w:val="en-GB"/>
              </w:rPr>
              <w:t>results</w:t>
            </w:r>
          </w:p>
          <w:p w:rsidR="00381C4F" w:rsidRDefault="00807A2C" w:rsidP="003C3F91">
            <w:pPr>
              <w:rPr>
                <w:lang w:val="en-GB"/>
              </w:rPr>
            </w:pPr>
            <w:r w:rsidRPr="00681EDC">
              <w:rPr>
                <w:lang w:val="en-GB"/>
              </w:rPr>
              <w:t>(group work)</w:t>
            </w:r>
            <w:r w:rsidR="00381C4F" w:rsidRPr="00681EDC">
              <w:rPr>
                <w:lang w:val="en-GB"/>
              </w:rPr>
              <w:t xml:space="preserve"> </w:t>
            </w:r>
          </w:p>
          <w:p w:rsidR="00832E0A" w:rsidRDefault="00832E0A" w:rsidP="003C3F91">
            <w:pPr>
              <w:rPr>
                <w:lang w:val="en-GB"/>
              </w:rPr>
            </w:pPr>
          </w:p>
          <w:p w:rsidR="00832E0A" w:rsidRPr="00681EDC" w:rsidRDefault="00832E0A" w:rsidP="003C3F9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381C4F" w:rsidRPr="00681EDC" w:rsidRDefault="00381C4F" w:rsidP="00381C4F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381C4F" w:rsidRPr="00681EDC" w:rsidRDefault="00381C4F" w:rsidP="00381C4F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807A2C" w:rsidRPr="00681EDC" w:rsidTr="00381C4F">
        <w:trPr>
          <w:trHeight w:val="77"/>
        </w:trPr>
        <w:tc>
          <w:tcPr>
            <w:tcW w:w="2836" w:type="dxa"/>
          </w:tcPr>
          <w:p w:rsidR="00807A2C" w:rsidRPr="00681EDC" w:rsidRDefault="00807A2C" w:rsidP="00807A2C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</w:t>
            </w:r>
            <w:r>
              <w:rPr>
                <w:color w:val="E36C0A" w:themeColor="accent6" w:themeShade="BF"/>
                <w:lang w:val="en-GB"/>
              </w:rPr>
              <w:t>7:3</w:t>
            </w:r>
            <w:r w:rsidRPr="00681EDC">
              <w:rPr>
                <w:color w:val="E36C0A" w:themeColor="accent6" w:themeShade="BF"/>
                <w:lang w:val="en-GB"/>
              </w:rPr>
              <w:t>0</w:t>
            </w:r>
            <w:r>
              <w:rPr>
                <w:color w:val="E36C0A" w:themeColor="accent6" w:themeShade="BF"/>
                <w:lang w:val="en-GB"/>
              </w:rPr>
              <w:t>-18:00</w:t>
            </w:r>
          </w:p>
          <w:p w:rsidR="00807A2C" w:rsidRPr="00681EDC" w:rsidRDefault="00807A2C" w:rsidP="00807A2C">
            <w:pPr>
              <w:rPr>
                <w:b/>
                <w:smallCaps/>
                <w:lang w:val="en-GB"/>
              </w:rPr>
            </w:pPr>
            <w:r w:rsidRPr="00681EDC">
              <w:rPr>
                <w:b/>
                <w:lang w:val="en-GB"/>
              </w:rPr>
              <w:t>STEP 2: IDENTIFYING STRATEGIES</w:t>
            </w:r>
            <w:r w:rsidRPr="00681EDC">
              <w:rPr>
                <w:b/>
                <w:smallCaps/>
                <w:lang w:val="en-GB"/>
              </w:rPr>
              <w:t xml:space="preserve"> (</w:t>
            </w:r>
            <w:r w:rsidRPr="00681EDC">
              <w:rPr>
                <w:b/>
                <w:lang w:val="en-GB"/>
              </w:rPr>
              <w:t>FOLLOW UP</w:t>
            </w:r>
            <w:r w:rsidRPr="00681EDC">
              <w:rPr>
                <w:b/>
                <w:smallCaps/>
                <w:lang w:val="en-GB"/>
              </w:rPr>
              <w:t>)</w:t>
            </w:r>
          </w:p>
          <w:p w:rsidR="00807A2C" w:rsidRPr="00807A2C" w:rsidRDefault="00807A2C" w:rsidP="00FD5CD2">
            <w:pPr>
              <w:rPr>
                <w:color w:val="E36C0A" w:themeColor="accent6" w:themeShade="BF"/>
                <w:lang w:val="en-GB"/>
              </w:rPr>
            </w:pPr>
          </w:p>
        </w:tc>
        <w:tc>
          <w:tcPr>
            <w:tcW w:w="4819" w:type="dxa"/>
          </w:tcPr>
          <w:p w:rsidR="00807A2C" w:rsidRPr="00681EDC" w:rsidRDefault="00807A2C" w:rsidP="00807A2C">
            <w:pPr>
              <w:rPr>
                <w:lang w:val="en-GB"/>
              </w:rPr>
            </w:pPr>
            <w:r w:rsidRPr="00681EDC">
              <w:rPr>
                <w:lang w:val="en-GB"/>
              </w:rPr>
              <w:t>Feedbacks from WGs and Plenary Discussions</w:t>
            </w:r>
          </w:p>
          <w:p w:rsidR="00807A2C" w:rsidRPr="00807A2C" w:rsidRDefault="00807A2C" w:rsidP="00FD5CD2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832E0A" w:rsidRPr="00681EDC" w:rsidRDefault="00832E0A" w:rsidP="00832E0A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807A2C" w:rsidRPr="00681EDC" w:rsidRDefault="00832E0A" w:rsidP="00832E0A">
            <w:pPr>
              <w:rPr>
                <w:sz w:val="18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</w:tbl>
    <w:p w:rsidR="00FE7C76" w:rsidRPr="00681EDC" w:rsidRDefault="00FE7C76" w:rsidP="003A4D1A">
      <w:pPr>
        <w:rPr>
          <w:b/>
          <w:i/>
        </w:rPr>
      </w:pPr>
    </w:p>
    <w:p w:rsidR="006F745D" w:rsidRPr="00681EDC" w:rsidRDefault="00B7259F" w:rsidP="00FE7C76">
      <w:pPr>
        <w:ind w:left="-567"/>
        <w:rPr>
          <w:rStyle w:val="IntenseReference"/>
          <w:bCs w:val="0"/>
          <w:i/>
          <w:smallCaps w:val="0"/>
          <w:color w:val="auto"/>
          <w:spacing w:val="0"/>
          <w:u w:val="none"/>
        </w:rPr>
      </w:pPr>
      <w:r w:rsidRPr="00681EDC">
        <w:rPr>
          <w:b/>
          <w:i/>
        </w:rPr>
        <w:t xml:space="preserve">Friday 13 </w:t>
      </w:r>
    </w:p>
    <w:tbl>
      <w:tblPr>
        <w:tblStyle w:val="TableGrid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1559"/>
      </w:tblGrid>
      <w:tr w:rsidR="00FE7C76" w:rsidRPr="00681EDC" w:rsidTr="00FE7C76">
        <w:trPr>
          <w:trHeight w:val="397"/>
        </w:trPr>
        <w:tc>
          <w:tcPr>
            <w:tcW w:w="2977" w:type="dxa"/>
          </w:tcPr>
          <w:p w:rsidR="00FE7C76" w:rsidRPr="00681EDC" w:rsidRDefault="00FE7C76" w:rsidP="00FD5CD2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>Time</w:t>
            </w:r>
          </w:p>
        </w:tc>
        <w:tc>
          <w:tcPr>
            <w:tcW w:w="4820" w:type="dxa"/>
          </w:tcPr>
          <w:p w:rsidR="00FE7C76" w:rsidRPr="00681EDC" w:rsidRDefault="00FE7C76" w:rsidP="00FD5CD2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>Activity (What?)</w:t>
            </w:r>
          </w:p>
        </w:tc>
        <w:tc>
          <w:tcPr>
            <w:tcW w:w="1559" w:type="dxa"/>
          </w:tcPr>
          <w:p w:rsidR="00FE7C76" w:rsidRPr="00681EDC" w:rsidRDefault="00FE7C76" w:rsidP="00FD5CD2">
            <w:pPr>
              <w:rPr>
                <w:b/>
                <w:sz w:val="18"/>
                <w:lang w:val="en-GB"/>
              </w:rPr>
            </w:pPr>
            <w:r w:rsidRPr="00681EDC">
              <w:rPr>
                <w:b/>
                <w:sz w:val="18"/>
                <w:lang w:val="en-GB"/>
              </w:rPr>
              <w:t xml:space="preserve">Facilitator  </w:t>
            </w:r>
          </w:p>
        </w:tc>
      </w:tr>
      <w:tr w:rsidR="00FE7C76" w:rsidRPr="00681EDC" w:rsidTr="00FE7C76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</w:tcPr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9.</w:t>
            </w:r>
            <w:r w:rsidR="001C07E0">
              <w:rPr>
                <w:color w:val="E36C0A" w:themeColor="accent6" w:themeShade="BF"/>
                <w:lang w:val="en-GB"/>
              </w:rPr>
              <w:t>00</w:t>
            </w:r>
            <w:r w:rsidRPr="00681EDC">
              <w:rPr>
                <w:color w:val="E36C0A" w:themeColor="accent6" w:themeShade="BF"/>
                <w:lang w:val="en-GB"/>
              </w:rPr>
              <w:t xml:space="preserve"> -9.30</w:t>
            </w:r>
          </w:p>
          <w:p w:rsidR="00FE7C76" w:rsidRPr="00681EDC" w:rsidRDefault="00FE7C76" w:rsidP="00AF04F1">
            <w:pPr>
              <w:rPr>
                <w:b/>
                <w:caps/>
                <w:lang w:val="en-GB"/>
              </w:rPr>
            </w:pPr>
            <w:r w:rsidRPr="00681EDC">
              <w:rPr>
                <w:b/>
                <w:caps/>
                <w:lang w:val="en-GB"/>
              </w:rPr>
              <w:t xml:space="preserve">“Recap” </w:t>
            </w:r>
          </w:p>
          <w:p w:rsidR="00FE7C76" w:rsidRPr="00681EDC" w:rsidRDefault="00FE7C76" w:rsidP="00AF04F1">
            <w:pPr>
              <w:rPr>
                <w:b/>
                <w:caps/>
                <w:color w:val="E36C0A" w:themeColor="accent6" w:themeShade="BF"/>
                <w:lang w:val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E7C76" w:rsidRPr="00681EDC" w:rsidRDefault="00FE7C76" w:rsidP="00832E0A">
            <w:pPr>
              <w:rPr>
                <w:lang w:val="en-GB"/>
              </w:rPr>
            </w:pPr>
            <w:r w:rsidRPr="00681EDC">
              <w:rPr>
                <w:lang w:val="en-GB"/>
              </w:rPr>
              <w:t xml:space="preserve">Recap from previous day and what </w:t>
            </w:r>
            <w:r w:rsidR="00832E0A">
              <w:rPr>
                <w:lang w:val="en-GB"/>
              </w:rPr>
              <w:t>is</w:t>
            </w:r>
            <w:r w:rsidRPr="00681EDC">
              <w:rPr>
                <w:lang w:val="en-GB"/>
              </w:rPr>
              <w:t xml:space="preserve"> still to be done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FE7C76" w:rsidRPr="00681EDC" w:rsidTr="00FE7C76">
        <w:tc>
          <w:tcPr>
            <w:tcW w:w="2977" w:type="dxa"/>
            <w:shd w:val="clear" w:color="auto" w:fill="auto"/>
          </w:tcPr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9.30-1</w:t>
            </w:r>
            <w:r w:rsidR="001C07E0">
              <w:rPr>
                <w:color w:val="E36C0A" w:themeColor="accent6" w:themeShade="BF"/>
                <w:lang w:val="en-GB"/>
              </w:rPr>
              <w:t>1</w:t>
            </w:r>
            <w:r w:rsidRPr="00681EDC">
              <w:rPr>
                <w:color w:val="E36C0A" w:themeColor="accent6" w:themeShade="BF"/>
                <w:lang w:val="en-GB"/>
              </w:rPr>
              <w:t>.00</w:t>
            </w:r>
          </w:p>
          <w:p w:rsidR="00F73A75" w:rsidRPr="00681EDC" w:rsidRDefault="00F73A75" w:rsidP="00F73A75">
            <w:pPr>
              <w:rPr>
                <w:b/>
                <w:caps/>
                <w:lang w:val="en-GB"/>
              </w:rPr>
            </w:pPr>
            <w:r w:rsidRPr="00681EDC">
              <w:rPr>
                <w:b/>
                <w:caps/>
                <w:lang w:val="en-GB"/>
              </w:rPr>
              <w:t xml:space="preserve">Step 3 &amp; 4: risk analysis and activities </w:t>
            </w:r>
          </w:p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E7C76" w:rsidRPr="00681EDC" w:rsidRDefault="00F73A75" w:rsidP="00AF04F1">
            <w:pPr>
              <w:rPr>
                <w:lang w:val="en-GB"/>
              </w:rPr>
            </w:pPr>
            <w:r w:rsidRPr="00681EDC">
              <w:rPr>
                <w:lang w:val="en-GB"/>
              </w:rPr>
              <w:t xml:space="preserve">Working Groups </w:t>
            </w:r>
          </w:p>
        </w:tc>
        <w:tc>
          <w:tcPr>
            <w:tcW w:w="1559" w:type="dxa"/>
            <w:shd w:val="clear" w:color="auto" w:fill="auto"/>
          </w:tcPr>
          <w:p w:rsidR="00FE7C76" w:rsidRPr="00681EDC" w:rsidRDefault="00FE7C76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FE7C76" w:rsidRPr="00681EDC" w:rsidRDefault="00FE7C76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FE7C76" w:rsidRPr="00681EDC" w:rsidTr="00FE7C76">
        <w:tc>
          <w:tcPr>
            <w:tcW w:w="2977" w:type="dxa"/>
            <w:shd w:val="clear" w:color="auto" w:fill="FFC000"/>
          </w:tcPr>
          <w:p w:rsidR="00FE7C76" w:rsidRPr="00681EDC" w:rsidRDefault="00FE7C76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11.00-11.30</w:t>
            </w:r>
          </w:p>
        </w:tc>
        <w:tc>
          <w:tcPr>
            <w:tcW w:w="4820" w:type="dxa"/>
            <w:shd w:val="clear" w:color="auto" w:fill="FFC000"/>
          </w:tcPr>
          <w:p w:rsidR="00FE7C76" w:rsidRPr="00681EDC" w:rsidRDefault="00FE7C76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Coffee break</w:t>
            </w:r>
          </w:p>
        </w:tc>
        <w:tc>
          <w:tcPr>
            <w:tcW w:w="1559" w:type="dxa"/>
            <w:shd w:val="clear" w:color="auto" w:fill="FFC000"/>
          </w:tcPr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  <w:tr w:rsidR="00FE7C76" w:rsidRPr="00681EDC" w:rsidTr="00FE7C76">
        <w:tc>
          <w:tcPr>
            <w:tcW w:w="2977" w:type="dxa"/>
          </w:tcPr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11.30-13.00</w:t>
            </w:r>
          </w:p>
          <w:p w:rsidR="00F73A75" w:rsidRPr="00681EDC" w:rsidRDefault="00F73A75" w:rsidP="00F73A75">
            <w:pPr>
              <w:rPr>
                <w:b/>
                <w:caps/>
                <w:lang w:val="en-GB"/>
              </w:rPr>
            </w:pPr>
            <w:r w:rsidRPr="00681EDC">
              <w:rPr>
                <w:b/>
                <w:caps/>
                <w:lang w:val="en-GB"/>
              </w:rPr>
              <w:t>Step 5 &amp; 6:</w:t>
            </w:r>
          </w:p>
          <w:p w:rsidR="00F73A75" w:rsidRPr="00681EDC" w:rsidRDefault="00F73A75" w:rsidP="00F73A75">
            <w:pPr>
              <w:rPr>
                <w:b/>
                <w:caps/>
                <w:lang w:val="en-GB"/>
              </w:rPr>
            </w:pPr>
            <w:r w:rsidRPr="00681EDC">
              <w:rPr>
                <w:b/>
                <w:caps/>
                <w:lang w:val="en-GB"/>
              </w:rPr>
              <w:t xml:space="preserve">log-frame and </w:t>
            </w:r>
            <w:r>
              <w:rPr>
                <w:b/>
                <w:caps/>
                <w:lang w:val="en-GB"/>
              </w:rPr>
              <w:t>EVALUATION</w:t>
            </w:r>
          </w:p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</w:p>
        </w:tc>
        <w:tc>
          <w:tcPr>
            <w:tcW w:w="4820" w:type="dxa"/>
          </w:tcPr>
          <w:p w:rsidR="00F73A75" w:rsidRPr="00681EDC" w:rsidRDefault="00F73A75" w:rsidP="00F73A75">
            <w:pPr>
              <w:rPr>
                <w:lang w:val="en-GB"/>
              </w:rPr>
            </w:pPr>
            <w:r w:rsidRPr="00681EDC">
              <w:rPr>
                <w:lang w:val="en-GB"/>
              </w:rPr>
              <w:t>Plenary session</w:t>
            </w:r>
          </w:p>
          <w:p w:rsidR="00FE7C76" w:rsidRPr="00681EDC" w:rsidRDefault="00FE7C76" w:rsidP="00AF04F1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FE7C76" w:rsidRPr="00681EDC" w:rsidTr="00FE7C76">
        <w:trPr>
          <w:trHeight w:val="260"/>
        </w:trPr>
        <w:tc>
          <w:tcPr>
            <w:tcW w:w="2977" w:type="dxa"/>
            <w:shd w:val="clear" w:color="auto" w:fill="FFC000"/>
          </w:tcPr>
          <w:p w:rsidR="00FE7C76" w:rsidRPr="00681EDC" w:rsidRDefault="00FE7C76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13.00–14.30</w:t>
            </w:r>
          </w:p>
        </w:tc>
        <w:tc>
          <w:tcPr>
            <w:tcW w:w="4820" w:type="dxa"/>
            <w:shd w:val="clear" w:color="auto" w:fill="FFC000"/>
          </w:tcPr>
          <w:p w:rsidR="00FE7C76" w:rsidRPr="00681EDC" w:rsidRDefault="00FE7C76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Lunch</w:t>
            </w:r>
          </w:p>
        </w:tc>
        <w:tc>
          <w:tcPr>
            <w:tcW w:w="1559" w:type="dxa"/>
            <w:shd w:val="clear" w:color="auto" w:fill="FFC000"/>
          </w:tcPr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  <w:tr w:rsidR="00FE7C76" w:rsidRPr="00681EDC" w:rsidTr="00FE7C76">
        <w:tc>
          <w:tcPr>
            <w:tcW w:w="2977" w:type="dxa"/>
          </w:tcPr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14:30-15:</w:t>
            </w:r>
            <w:r w:rsidR="00AC79E3">
              <w:rPr>
                <w:color w:val="E36C0A" w:themeColor="accent6" w:themeShade="BF"/>
                <w:lang w:val="en-GB"/>
              </w:rPr>
              <w:t>30</w:t>
            </w:r>
          </w:p>
          <w:p w:rsidR="00F73A75" w:rsidRPr="00681EDC" w:rsidRDefault="00F73A75" w:rsidP="00F73A75">
            <w:pPr>
              <w:rPr>
                <w:b/>
                <w:caps/>
                <w:lang w:val="en-GB"/>
              </w:rPr>
            </w:pPr>
            <w:r w:rsidRPr="00681EDC">
              <w:rPr>
                <w:b/>
                <w:caps/>
                <w:lang w:val="en-GB"/>
              </w:rPr>
              <w:t>Step 7: programme architecture</w:t>
            </w:r>
          </w:p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</w:p>
        </w:tc>
        <w:tc>
          <w:tcPr>
            <w:tcW w:w="4820" w:type="dxa"/>
          </w:tcPr>
          <w:p w:rsidR="00F73A75" w:rsidRPr="00681EDC" w:rsidRDefault="00F73A75" w:rsidP="00F73A75">
            <w:pPr>
              <w:rPr>
                <w:lang w:val="en-GB"/>
              </w:rPr>
            </w:pPr>
            <w:r w:rsidRPr="00681EDC">
              <w:rPr>
                <w:lang w:val="en-GB"/>
              </w:rPr>
              <w:t>Tasks &amp; Responsibilities for programme</w:t>
            </w:r>
          </w:p>
          <w:p w:rsidR="00F73A75" w:rsidRPr="00681EDC" w:rsidRDefault="00F73A75" w:rsidP="00F73A75">
            <w:pPr>
              <w:rPr>
                <w:lang w:val="en-GB"/>
              </w:rPr>
            </w:pPr>
            <w:r w:rsidRPr="00681EDC">
              <w:rPr>
                <w:lang w:val="en-GB"/>
              </w:rPr>
              <w:t>management</w:t>
            </w:r>
          </w:p>
          <w:p w:rsidR="00F73A75" w:rsidRPr="00681EDC" w:rsidRDefault="00F73A75" w:rsidP="00F73A75">
            <w:pPr>
              <w:rPr>
                <w:lang w:val="en-GB"/>
              </w:rPr>
            </w:pPr>
            <w:r w:rsidRPr="00681EDC">
              <w:rPr>
                <w:lang w:val="en-GB"/>
              </w:rPr>
              <w:t>(</w:t>
            </w:r>
            <w:r>
              <w:rPr>
                <w:lang w:val="en-GB"/>
              </w:rPr>
              <w:t xml:space="preserve">group work) </w:t>
            </w:r>
          </w:p>
          <w:p w:rsidR="00FE7C76" w:rsidRPr="00681EDC" w:rsidRDefault="00FE7C76" w:rsidP="00AF04F1">
            <w:pPr>
              <w:rPr>
                <w:color w:val="FF0000"/>
                <w:lang w:val="en-GB"/>
              </w:rPr>
            </w:pPr>
          </w:p>
        </w:tc>
        <w:tc>
          <w:tcPr>
            <w:tcW w:w="1559" w:type="dxa"/>
          </w:tcPr>
          <w:p w:rsidR="00F73A75" w:rsidRPr="00681EDC" w:rsidRDefault="00F73A75" w:rsidP="00F73A75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</w:t>
            </w:r>
            <w:proofErr w:type="spellStart"/>
            <w:r w:rsidRPr="00681EDC">
              <w:rPr>
                <w:sz w:val="18"/>
                <w:lang w:val="en-GB"/>
              </w:rPr>
              <w:t>Dereymaeker</w:t>
            </w:r>
            <w:proofErr w:type="spellEnd"/>
            <w:r w:rsidRPr="00681EDC">
              <w:rPr>
                <w:sz w:val="18"/>
                <w:lang w:val="en-GB"/>
              </w:rPr>
              <w:t xml:space="preserve"> &amp; </w:t>
            </w:r>
          </w:p>
          <w:p w:rsidR="00F73A75" w:rsidRPr="00681EDC" w:rsidRDefault="00F73A75" w:rsidP="00F73A75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F73A75" w:rsidRPr="00681EDC" w:rsidRDefault="00F73A75" w:rsidP="00F73A75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ITUC/TUDCN</w:t>
            </w:r>
          </w:p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  <w:tr w:rsidR="00FE7C76" w:rsidRPr="00681EDC" w:rsidTr="00FE7C76">
        <w:tc>
          <w:tcPr>
            <w:tcW w:w="2977" w:type="dxa"/>
          </w:tcPr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15.</w:t>
            </w:r>
            <w:r w:rsidR="00AC79E3">
              <w:rPr>
                <w:color w:val="E36C0A" w:themeColor="accent6" w:themeShade="BF"/>
                <w:lang w:val="en-GB"/>
              </w:rPr>
              <w:t>30</w:t>
            </w:r>
            <w:r w:rsidRPr="00681EDC">
              <w:rPr>
                <w:color w:val="E36C0A" w:themeColor="accent6" w:themeShade="BF"/>
                <w:lang w:val="en-GB"/>
              </w:rPr>
              <w:t>-16.00</w:t>
            </w:r>
          </w:p>
          <w:p w:rsidR="00F73A75" w:rsidRPr="00681EDC" w:rsidRDefault="00F73A75" w:rsidP="00F73A75">
            <w:pPr>
              <w:rPr>
                <w:b/>
                <w:caps/>
                <w:lang w:val="en-GB"/>
              </w:rPr>
            </w:pPr>
            <w:r w:rsidRPr="00681EDC">
              <w:rPr>
                <w:b/>
                <w:caps/>
                <w:lang w:val="en-GB"/>
              </w:rPr>
              <w:t>Step 7: programme architecture</w:t>
            </w:r>
          </w:p>
          <w:p w:rsidR="00FE7C76" w:rsidRDefault="00F73A75" w:rsidP="00F73A75">
            <w:pPr>
              <w:rPr>
                <w:b/>
                <w:smallCaps/>
                <w:lang w:val="en-GB"/>
              </w:rPr>
            </w:pPr>
            <w:r w:rsidRPr="00681EDC">
              <w:rPr>
                <w:b/>
                <w:smallCaps/>
                <w:lang w:val="en-GB"/>
              </w:rPr>
              <w:t>(</w:t>
            </w:r>
            <w:r w:rsidRPr="00681EDC">
              <w:rPr>
                <w:b/>
                <w:lang w:val="en-GB"/>
              </w:rPr>
              <w:t>FOLLOW UP</w:t>
            </w:r>
            <w:r w:rsidRPr="00681EDC">
              <w:rPr>
                <w:b/>
                <w:smallCaps/>
                <w:lang w:val="en-GB"/>
              </w:rPr>
              <w:t>)</w:t>
            </w:r>
          </w:p>
          <w:p w:rsidR="00F73A75" w:rsidRPr="00681EDC" w:rsidRDefault="00F73A75" w:rsidP="00F73A75">
            <w:pPr>
              <w:rPr>
                <w:b/>
                <w:caps/>
                <w:lang w:val="en-GB"/>
              </w:rPr>
            </w:pPr>
          </w:p>
        </w:tc>
        <w:tc>
          <w:tcPr>
            <w:tcW w:w="4820" w:type="dxa"/>
          </w:tcPr>
          <w:p w:rsidR="00FE7C76" w:rsidRPr="00681EDC" w:rsidRDefault="00F73A75" w:rsidP="00F73A75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Plenary session</w:t>
            </w:r>
          </w:p>
        </w:tc>
        <w:tc>
          <w:tcPr>
            <w:tcW w:w="1559" w:type="dxa"/>
          </w:tcPr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</w:t>
            </w:r>
            <w:proofErr w:type="spellStart"/>
            <w:r w:rsidRPr="00681EDC">
              <w:rPr>
                <w:sz w:val="18"/>
                <w:lang w:val="en-GB"/>
              </w:rPr>
              <w:t>Dereymaeker</w:t>
            </w:r>
            <w:proofErr w:type="spellEnd"/>
            <w:r w:rsidRPr="00681EDC">
              <w:rPr>
                <w:sz w:val="18"/>
                <w:lang w:val="en-GB"/>
              </w:rPr>
              <w:t xml:space="preserve"> &amp; </w:t>
            </w:r>
          </w:p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ITUC/TUDCN</w:t>
            </w:r>
          </w:p>
          <w:p w:rsidR="00FE7C76" w:rsidRPr="00681EDC" w:rsidRDefault="00FE7C76" w:rsidP="00FD5CD2">
            <w:pPr>
              <w:rPr>
                <w:color w:val="FF0000"/>
                <w:sz w:val="18"/>
                <w:lang w:val="en-GB"/>
              </w:rPr>
            </w:pPr>
          </w:p>
        </w:tc>
      </w:tr>
      <w:tr w:rsidR="00FE7C76" w:rsidRPr="00681EDC" w:rsidTr="00FE7C76">
        <w:tc>
          <w:tcPr>
            <w:tcW w:w="2977" w:type="dxa"/>
            <w:shd w:val="clear" w:color="auto" w:fill="FFC000"/>
          </w:tcPr>
          <w:p w:rsidR="00FE7C76" w:rsidRPr="00681EDC" w:rsidRDefault="00FE7C76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16.00-16.30</w:t>
            </w:r>
          </w:p>
        </w:tc>
        <w:tc>
          <w:tcPr>
            <w:tcW w:w="4820" w:type="dxa"/>
            <w:shd w:val="clear" w:color="auto" w:fill="FFC000"/>
          </w:tcPr>
          <w:p w:rsidR="00FE7C76" w:rsidRPr="00681EDC" w:rsidRDefault="00FE7C76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Coffee break</w:t>
            </w:r>
          </w:p>
        </w:tc>
        <w:tc>
          <w:tcPr>
            <w:tcW w:w="1559" w:type="dxa"/>
            <w:shd w:val="clear" w:color="auto" w:fill="FFC000"/>
          </w:tcPr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  <w:tr w:rsidR="00FE7C76" w:rsidRPr="00681EDC" w:rsidTr="00FE7C76">
        <w:trPr>
          <w:trHeight w:val="77"/>
        </w:trPr>
        <w:tc>
          <w:tcPr>
            <w:tcW w:w="2977" w:type="dxa"/>
          </w:tcPr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16.30-18.00</w:t>
            </w:r>
          </w:p>
          <w:p w:rsidR="00FE7C76" w:rsidRPr="00681EDC" w:rsidRDefault="00FE7C76" w:rsidP="00FE7C76">
            <w:pPr>
              <w:rPr>
                <w:b/>
                <w:caps/>
                <w:color w:val="E36C0A" w:themeColor="accent6" w:themeShade="BF"/>
                <w:lang w:val="en-GB"/>
              </w:rPr>
            </w:pPr>
            <w:r w:rsidRPr="00681EDC">
              <w:rPr>
                <w:b/>
                <w:caps/>
                <w:lang w:val="en-GB"/>
              </w:rPr>
              <w:t xml:space="preserve">Step 8: </w:t>
            </w:r>
            <w:r w:rsidR="00110D6B">
              <w:rPr>
                <w:b/>
                <w:caps/>
                <w:lang w:val="en-GB"/>
              </w:rPr>
              <w:t xml:space="preserve">CONCLUSIONS &amp; </w:t>
            </w:r>
            <w:r w:rsidRPr="00681EDC">
              <w:rPr>
                <w:b/>
                <w:caps/>
                <w:lang w:val="en-GB"/>
              </w:rPr>
              <w:t xml:space="preserve">Way forward </w:t>
            </w:r>
          </w:p>
        </w:tc>
        <w:tc>
          <w:tcPr>
            <w:tcW w:w="4820" w:type="dxa"/>
          </w:tcPr>
          <w:p w:rsidR="00FE7C76" w:rsidRPr="00681EDC" w:rsidRDefault="00FE7C76" w:rsidP="00FE7C76">
            <w:pPr>
              <w:rPr>
                <w:lang w:val="en-GB"/>
              </w:rPr>
            </w:pPr>
            <w:r w:rsidRPr="00681EDC">
              <w:rPr>
                <w:lang w:val="en-GB"/>
              </w:rPr>
              <w:t xml:space="preserve">Joint Action Plan approval </w:t>
            </w:r>
          </w:p>
        </w:tc>
        <w:tc>
          <w:tcPr>
            <w:tcW w:w="1559" w:type="dxa"/>
          </w:tcPr>
          <w:p w:rsidR="00FE7C76" w:rsidRPr="00681EDC" w:rsidRDefault="00FE7C76" w:rsidP="00FE7C76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</w:t>
            </w:r>
            <w:proofErr w:type="spellStart"/>
            <w:r w:rsidRPr="00681EDC">
              <w:rPr>
                <w:sz w:val="18"/>
                <w:lang w:val="en-GB"/>
              </w:rPr>
              <w:t>Dereymaeker</w:t>
            </w:r>
            <w:proofErr w:type="spellEnd"/>
            <w:r w:rsidRPr="00681EDC">
              <w:rPr>
                <w:sz w:val="18"/>
                <w:lang w:val="en-GB"/>
              </w:rPr>
              <w:t xml:space="preserve"> &amp; </w:t>
            </w:r>
          </w:p>
          <w:p w:rsidR="00FE7C76" w:rsidRPr="00681EDC" w:rsidRDefault="00FE7C76" w:rsidP="00FE7C76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FE7C76" w:rsidRPr="00681EDC" w:rsidRDefault="00FE7C76" w:rsidP="00FE7C76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ITUC/TUDCN</w:t>
            </w:r>
          </w:p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</w:tbl>
    <w:p w:rsidR="006F745D" w:rsidRPr="00681EDC" w:rsidRDefault="006F745D" w:rsidP="00092BF1">
      <w:pPr>
        <w:rPr>
          <w:rStyle w:val="IntenseReference"/>
          <w:b w:val="0"/>
          <w:sz w:val="24"/>
          <w:szCs w:val="24"/>
          <w:u w:val="none"/>
        </w:rPr>
      </w:pPr>
    </w:p>
    <w:sectPr w:rsidR="006F745D" w:rsidRPr="00681EDC" w:rsidSect="00ED7033">
      <w:footerReference w:type="default" r:id="rId11"/>
      <w:footerReference w:type="first" r:id="rId12"/>
      <w:pgSz w:w="11906" w:h="16838"/>
      <w:pgMar w:top="1134" w:right="255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3B" w:rsidRDefault="0065783B" w:rsidP="00D0108B">
      <w:pPr>
        <w:spacing w:after="0" w:line="240" w:lineRule="auto"/>
      </w:pPr>
      <w:r>
        <w:separator/>
      </w:r>
    </w:p>
  </w:endnote>
  <w:endnote w:type="continuationSeparator" w:id="0">
    <w:p w:rsidR="0065783B" w:rsidRDefault="0065783B" w:rsidP="00D0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2" w:type="dxa"/>
      <w:tblInd w:w="108" w:type="dxa"/>
      <w:tblLook w:val="04A0" w:firstRow="1" w:lastRow="0" w:firstColumn="1" w:lastColumn="0" w:noHBand="0" w:noVBand="1"/>
    </w:tblPr>
    <w:tblGrid>
      <w:gridCol w:w="1176"/>
      <w:gridCol w:w="6536"/>
    </w:tblGrid>
    <w:tr w:rsidR="00ED7033" w:rsidRPr="00ED7033" w:rsidTr="00ED7033">
      <w:trPr>
        <w:trHeight w:val="300"/>
      </w:trPr>
      <w:tc>
        <w:tcPr>
          <w:tcW w:w="9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 wp14:anchorId="10340CD0" wp14:editId="37DC4AED">
                <wp:simplePos x="0" y="0"/>
                <wp:positionH relativeFrom="column">
                  <wp:posOffset>133350</wp:posOffset>
                </wp:positionH>
                <wp:positionV relativeFrom="paragraph">
                  <wp:posOffset>-194310</wp:posOffset>
                </wp:positionV>
                <wp:extent cx="352425" cy="238125"/>
                <wp:effectExtent l="0" t="0" r="9525" b="9525"/>
                <wp:wrapNone/>
                <wp:docPr id="7" name="Picture 7" descr="eu banner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eu bann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ED7033" w:rsidRPr="00ED7033">
            <w:trPr>
              <w:trHeight w:val="269"/>
              <w:tblCellSpacing w:w="0" w:type="dxa"/>
            </w:trPr>
            <w:tc>
              <w:tcPr>
                <w:tcW w:w="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  <w:tr w:rsidR="00ED7033" w:rsidRPr="00ED7033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</w:tbl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</w:pPr>
          <w:r w:rsidRPr="00ED7033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>This Meeting has been organised with the financial assistance of the European Union.</w:t>
          </w:r>
        </w:p>
      </w:tc>
    </w:tr>
    <w:tr w:rsidR="00ED7033" w:rsidRPr="00ED7033" w:rsidTr="00ED7033">
      <w:trPr>
        <w:trHeight w:val="885"/>
      </w:trPr>
      <w:tc>
        <w:tcPr>
          <w:tcW w:w="9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D7033" w:rsidRPr="00ED7033" w:rsidRDefault="00ED7033" w:rsidP="00DB0FD6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</w:pPr>
          <w:r w:rsidRPr="00ED7033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 xml:space="preserve">The contents of the Meeting and this document are to the sole responsibility of the </w:t>
          </w:r>
          <w:r w:rsidR="00DB0FD6" w:rsidRPr="007D2382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>TUDCN</w:t>
          </w:r>
          <w:r w:rsidRPr="00ED7033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 xml:space="preserve"> and cannot by any circumstances be regarded as reflecting the position of the European Union.</w:t>
          </w:r>
        </w:p>
      </w:tc>
    </w:tr>
  </w:tbl>
  <w:p w:rsidR="0065783B" w:rsidRPr="00804CA6" w:rsidRDefault="0065783B">
    <w:pPr>
      <w:pStyle w:val="Footer"/>
      <w:rPr>
        <w:i/>
        <w:sz w:val="18"/>
        <w:szCs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2" w:type="dxa"/>
      <w:tblInd w:w="108" w:type="dxa"/>
      <w:tblLook w:val="04A0" w:firstRow="1" w:lastRow="0" w:firstColumn="1" w:lastColumn="0" w:noHBand="0" w:noVBand="1"/>
    </w:tblPr>
    <w:tblGrid>
      <w:gridCol w:w="1176"/>
      <w:gridCol w:w="6536"/>
    </w:tblGrid>
    <w:tr w:rsidR="00ED7033" w:rsidRPr="00ED7033" w:rsidTr="00ED7033">
      <w:trPr>
        <w:trHeight w:val="300"/>
      </w:trPr>
      <w:tc>
        <w:tcPr>
          <w:tcW w:w="9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193324E4" wp14:editId="5A1AFA8B">
                <wp:simplePos x="0" y="0"/>
                <wp:positionH relativeFrom="column">
                  <wp:posOffset>133350</wp:posOffset>
                </wp:positionH>
                <wp:positionV relativeFrom="paragraph">
                  <wp:posOffset>-194310</wp:posOffset>
                </wp:positionV>
                <wp:extent cx="352425" cy="238125"/>
                <wp:effectExtent l="0" t="0" r="9525" b="9525"/>
                <wp:wrapNone/>
                <wp:docPr id="5" name="Picture 5" descr="eu banner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eu bann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ED7033" w:rsidRPr="00ED7033">
            <w:trPr>
              <w:trHeight w:val="269"/>
              <w:tblCellSpacing w:w="0" w:type="dxa"/>
            </w:trPr>
            <w:tc>
              <w:tcPr>
                <w:tcW w:w="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  <w:tr w:rsidR="00ED7033" w:rsidRPr="00ED7033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</w:tbl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</w:pPr>
          <w:r w:rsidRPr="00ED7033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>This Meeting has been organised with the financial assistance of the European Union.</w:t>
          </w:r>
        </w:p>
      </w:tc>
    </w:tr>
    <w:tr w:rsidR="00ED7033" w:rsidRPr="00ED7033" w:rsidTr="00ED7033">
      <w:trPr>
        <w:trHeight w:val="885"/>
      </w:trPr>
      <w:tc>
        <w:tcPr>
          <w:tcW w:w="9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D7033" w:rsidRPr="00ED7033" w:rsidRDefault="00ED7033" w:rsidP="00DB0FD6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</w:pPr>
          <w:r w:rsidRPr="007D2382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 xml:space="preserve">The contents of the Meeting and this document are to the sole responsibility of the </w:t>
          </w:r>
          <w:r w:rsidR="00DB0FD6" w:rsidRPr="007D2382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>TUDCN</w:t>
          </w:r>
          <w:r w:rsidR="00DB0FD6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 xml:space="preserve"> </w:t>
          </w:r>
          <w:r w:rsidRPr="00ED7033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</w:rPr>
            <w:t>and cannot by any circumstances be regarded as reflecting the position of the European Union.</w:t>
          </w:r>
        </w:p>
      </w:tc>
    </w:tr>
  </w:tbl>
  <w:p w:rsidR="0065783B" w:rsidRPr="004F25B8" w:rsidRDefault="0065783B" w:rsidP="004F25B8">
    <w:pPr>
      <w:pStyle w:val="Footer"/>
      <w:tabs>
        <w:tab w:val="clear" w:pos="4513"/>
      </w:tabs>
      <w:ind w:left="1276" w:right="-873"/>
      <w:rPr>
        <w:i/>
        <w:sz w:val="18"/>
        <w:szCs w:val="18"/>
      </w:rPr>
    </w:pPr>
    <w:r>
      <w:tab/>
    </w:r>
    <w:r>
      <w:tab/>
    </w:r>
  </w:p>
  <w:p w:rsidR="0065783B" w:rsidRDefault="0065783B">
    <w:pPr>
      <w:pStyle w:val="Footer"/>
    </w:pPr>
  </w:p>
  <w:p w:rsidR="0065783B" w:rsidRDefault="0065783B">
    <w:pPr>
      <w:pStyle w:val="Footer"/>
    </w:pPr>
  </w:p>
  <w:p w:rsidR="0065783B" w:rsidRPr="00512B3E" w:rsidRDefault="0065783B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3B" w:rsidRDefault="0065783B" w:rsidP="00D0108B">
      <w:pPr>
        <w:spacing w:after="0" w:line="240" w:lineRule="auto"/>
      </w:pPr>
      <w:r>
        <w:separator/>
      </w:r>
    </w:p>
  </w:footnote>
  <w:footnote w:type="continuationSeparator" w:id="0">
    <w:p w:rsidR="0065783B" w:rsidRDefault="0065783B" w:rsidP="00D0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575"/>
    <w:multiLevelType w:val="hybridMultilevel"/>
    <w:tmpl w:val="6292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92B"/>
    <w:multiLevelType w:val="hybridMultilevel"/>
    <w:tmpl w:val="B18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570E"/>
    <w:multiLevelType w:val="hybridMultilevel"/>
    <w:tmpl w:val="EB02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5A9"/>
    <w:multiLevelType w:val="hybridMultilevel"/>
    <w:tmpl w:val="C8E6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7803"/>
    <w:multiLevelType w:val="hybridMultilevel"/>
    <w:tmpl w:val="AA5E5FB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C5A3946"/>
    <w:multiLevelType w:val="hybridMultilevel"/>
    <w:tmpl w:val="F6F0ED9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2330C"/>
    <w:multiLevelType w:val="hybridMultilevel"/>
    <w:tmpl w:val="CD62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E69AF"/>
    <w:multiLevelType w:val="hybridMultilevel"/>
    <w:tmpl w:val="46ACA32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702466"/>
    <w:multiLevelType w:val="hybridMultilevel"/>
    <w:tmpl w:val="15B89E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11D5AE7"/>
    <w:multiLevelType w:val="hybridMultilevel"/>
    <w:tmpl w:val="6EFA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01EC1"/>
    <w:multiLevelType w:val="hybridMultilevel"/>
    <w:tmpl w:val="5D02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B4762"/>
    <w:multiLevelType w:val="hybridMultilevel"/>
    <w:tmpl w:val="728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14A21"/>
    <w:multiLevelType w:val="hybridMultilevel"/>
    <w:tmpl w:val="2640E23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F"/>
    <w:rsid w:val="00026D1A"/>
    <w:rsid w:val="000349CE"/>
    <w:rsid w:val="00073EB6"/>
    <w:rsid w:val="00092BF1"/>
    <w:rsid w:val="000E5730"/>
    <w:rsid w:val="00110D6B"/>
    <w:rsid w:val="00111268"/>
    <w:rsid w:val="001652BF"/>
    <w:rsid w:val="00167CF8"/>
    <w:rsid w:val="001C07E0"/>
    <w:rsid w:val="001D0D41"/>
    <w:rsid w:val="0020392E"/>
    <w:rsid w:val="00263FC6"/>
    <w:rsid w:val="00275F5C"/>
    <w:rsid w:val="0029421F"/>
    <w:rsid w:val="002A3EBB"/>
    <w:rsid w:val="002D7818"/>
    <w:rsid w:val="00312322"/>
    <w:rsid w:val="0031350D"/>
    <w:rsid w:val="003515E3"/>
    <w:rsid w:val="00381C4F"/>
    <w:rsid w:val="003A4D1A"/>
    <w:rsid w:val="003C3F91"/>
    <w:rsid w:val="003E1A1D"/>
    <w:rsid w:val="003E7CB7"/>
    <w:rsid w:val="00491AE4"/>
    <w:rsid w:val="004C1C05"/>
    <w:rsid w:val="004C72D0"/>
    <w:rsid w:val="004F25B8"/>
    <w:rsid w:val="00512B3E"/>
    <w:rsid w:val="0052269D"/>
    <w:rsid w:val="005502D8"/>
    <w:rsid w:val="00557966"/>
    <w:rsid w:val="00577428"/>
    <w:rsid w:val="005A305C"/>
    <w:rsid w:val="005C061F"/>
    <w:rsid w:val="005C44A3"/>
    <w:rsid w:val="0065783B"/>
    <w:rsid w:val="00681EDC"/>
    <w:rsid w:val="0069704F"/>
    <w:rsid w:val="006A395B"/>
    <w:rsid w:val="006A3BEA"/>
    <w:rsid w:val="006D5F60"/>
    <w:rsid w:val="006F745D"/>
    <w:rsid w:val="00752BD4"/>
    <w:rsid w:val="00762B75"/>
    <w:rsid w:val="00792841"/>
    <w:rsid w:val="007A65F6"/>
    <w:rsid w:val="007D2382"/>
    <w:rsid w:val="007F5A00"/>
    <w:rsid w:val="0080425A"/>
    <w:rsid w:val="00804CA6"/>
    <w:rsid w:val="00807A2C"/>
    <w:rsid w:val="00832E0A"/>
    <w:rsid w:val="008473F4"/>
    <w:rsid w:val="008B08F6"/>
    <w:rsid w:val="008E0D0C"/>
    <w:rsid w:val="0092654F"/>
    <w:rsid w:val="009359ED"/>
    <w:rsid w:val="009C352F"/>
    <w:rsid w:val="00A21A59"/>
    <w:rsid w:val="00A21BF1"/>
    <w:rsid w:val="00A22A51"/>
    <w:rsid w:val="00A721A7"/>
    <w:rsid w:val="00AC79E3"/>
    <w:rsid w:val="00AF04F1"/>
    <w:rsid w:val="00B05F20"/>
    <w:rsid w:val="00B338F3"/>
    <w:rsid w:val="00B34717"/>
    <w:rsid w:val="00B54951"/>
    <w:rsid w:val="00B7259F"/>
    <w:rsid w:val="00B8476D"/>
    <w:rsid w:val="00B923E7"/>
    <w:rsid w:val="00BC34A0"/>
    <w:rsid w:val="00BE0452"/>
    <w:rsid w:val="00BE7C0C"/>
    <w:rsid w:val="00C52302"/>
    <w:rsid w:val="00C842F9"/>
    <w:rsid w:val="00CC0AD2"/>
    <w:rsid w:val="00CC3D0C"/>
    <w:rsid w:val="00CE2738"/>
    <w:rsid w:val="00D0108B"/>
    <w:rsid w:val="00D15B8A"/>
    <w:rsid w:val="00D200FD"/>
    <w:rsid w:val="00D20BEE"/>
    <w:rsid w:val="00D81327"/>
    <w:rsid w:val="00D93005"/>
    <w:rsid w:val="00DB0FD6"/>
    <w:rsid w:val="00DE6413"/>
    <w:rsid w:val="00E21EC4"/>
    <w:rsid w:val="00E56B42"/>
    <w:rsid w:val="00E66ABD"/>
    <w:rsid w:val="00E7336D"/>
    <w:rsid w:val="00EA566B"/>
    <w:rsid w:val="00EB361A"/>
    <w:rsid w:val="00ED7033"/>
    <w:rsid w:val="00ED7BB4"/>
    <w:rsid w:val="00F05BE2"/>
    <w:rsid w:val="00F53829"/>
    <w:rsid w:val="00F65A79"/>
    <w:rsid w:val="00F73A75"/>
    <w:rsid w:val="00F81B58"/>
    <w:rsid w:val="00FA17B2"/>
    <w:rsid w:val="00FA4312"/>
    <w:rsid w:val="00FA5EEC"/>
    <w:rsid w:val="00FC06E5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ntrostudi.cisl.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D332-D6A1-47E6-9B9D-6EC312A7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Paola Simonetti</cp:lastModifiedBy>
  <cp:revision>7</cp:revision>
  <cp:lastPrinted>2012-01-11T15:20:00Z</cp:lastPrinted>
  <dcterms:created xsi:type="dcterms:W3CDTF">2013-09-02T14:23:00Z</dcterms:created>
  <dcterms:modified xsi:type="dcterms:W3CDTF">2013-09-09T15:51:00Z</dcterms:modified>
</cp:coreProperties>
</file>