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3287" w:rsidRPr="00153074" w:rsidRDefault="00175A65" w:rsidP="008D3287">
      <w:pPr>
        <w:jc w:val="center"/>
        <w:rPr>
          <w:rFonts w:ascii="Arial" w:hAnsi="Arial" w:cs="Arial"/>
          <w:b/>
          <w:sz w:val="36"/>
          <w:szCs w:val="36"/>
          <w:lang w:val="es-ES_tradnl"/>
        </w:rPr>
      </w:pPr>
      <w:r w:rsidRPr="00153074">
        <w:rPr>
          <w:rFonts w:ascii="Arial" w:hAnsi="Arial" w:cs="Arial"/>
          <w:b/>
          <w:noProof/>
          <w:sz w:val="36"/>
          <w:szCs w:val="36"/>
          <w:lang w:val="fr-BE" w:eastAsia="fr-BE"/>
        </w:rPr>
        <mc:AlternateContent>
          <mc:Choice Requires="wps">
            <w:drawing>
              <wp:anchor distT="0" distB="0" distL="114300" distR="114300" simplePos="0" relativeHeight="251656192" behindDoc="0" locked="0" layoutInCell="1" allowOverlap="1" wp14:anchorId="6EF7923F" wp14:editId="2AB2782B">
                <wp:simplePos x="0" y="0"/>
                <wp:positionH relativeFrom="column">
                  <wp:posOffset>-510540</wp:posOffset>
                </wp:positionH>
                <wp:positionV relativeFrom="paragraph">
                  <wp:posOffset>5659755</wp:posOffset>
                </wp:positionV>
                <wp:extent cx="3369945" cy="372110"/>
                <wp:effectExtent l="3810" t="381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340" w:rsidRPr="001113A5" w:rsidRDefault="00516340" w:rsidP="00015345">
                            <w:pPr>
                              <w:pBdr>
                                <w:bottom w:val="single" w:sz="4" w:space="1" w:color="auto"/>
                              </w:pBdr>
                              <w:shd w:val="clear" w:color="auto" w:fill="D6E3BC"/>
                              <w:rPr>
                                <w:b/>
                                <w:i/>
                                <w:sz w:val="32"/>
                              </w:rPr>
                            </w:pPr>
                            <w:r>
                              <w:rPr>
                                <w:b/>
                                <w:i/>
                                <w:sz w:val="32"/>
                              </w:rPr>
                              <w:t>CSI</w:t>
                            </w:r>
                            <w:r w:rsidRPr="001113A5">
                              <w:rPr>
                                <w:b/>
                                <w:i/>
                                <w:sz w:val="32"/>
                              </w:rPr>
                              <w:t>-</w:t>
                            </w:r>
                            <w:r>
                              <w:rPr>
                                <w:b/>
                                <w:i/>
                                <w:sz w:val="32"/>
                              </w:rPr>
                              <w:t>RSCD</w:t>
                            </w:r>
                            <w:r w:rsidRPr="001113A5">
                              <w:rPr>
                                <w:b/>
                                <w:i/>
                                <w:sz w:val="32"/>
                              </w:rPr>
                              <w:t xml:space="preserve"> </w:t>
                            </w:r>
                            <w:r w:rsidRPr="001113A5">
                              <w:rPr>
                                <w:b/>
                                <w:i/>
                                <w:sz w:val="32"/>
                              </w:rPr>
                              <w:tab/>
                            </w:r>
                            <w:r>
                              <w:rPr>
                                <w:b/>
                                <w:i/>
                                <w:sz w:val="32"/>
                              </w:rPr>
                              <w:t>DOCUMENTO DE DEBATE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0.2pt;margin-top:445.65pt;width:265.35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C0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" filled="f" stroked="f">
                <v:textbox>
                  <w:txbxContent>
                    <w:p w:rsidR="00516340" w:rsidRPr="001113A5" w:rsidRDefault="00516340" w:rsidP="00015345">
                      <w:pPr>
                        <w:pBdr>
                          <w:bottom w:val="single" w:sz="4" w:space="1" w:color="auto"/>
                        </w:pBdr>
                        <w:shd w:val="clear" w:color="auto" w:fill="D6E3BC"/>
                        <w:rPr>
                          <w:b/>
                          <w:i/>
                          <w:sz w:val="32"/>
                        </w:rPr>
                      </w:pPr>
                      <w:r>
                        <w:rPr>
                          <w:b/>
                          <w:i/>
                          <w:sz w:val="32"/>
                        </w:rPr>
                        <w:t>CSI</w:t>
                      </w:r>
                      <w:r w:rsidRPr="001113A5">
                        <w:rPr>
                          <w:b/>
                          <w:i/>
                          <w:sz w:val="32"/>
                        </w:rPr>
                        <w:t>-</w:t>
                      </w:r>
                      <w:r>
                        <w:rPr>
                          <w:b/>
                          <w:i/>
                          <w:sz w:val="32"/>
                        </w:rPr>
                        <w:t>RSCD</w:t>
                      </w:r>
                      <w:r w:rsidRPr="001113A5">
                        <w:rPr>
                          <w:b/>
                          <w:i/>
                          <w:sz w:val="32"/>
                        </w:rPr>
                        <w:t xml:space="preserve"> </w:t>
                      </w:r>
                      <w:r w:rsidRPr="001113A5">
                        <w:rPr>
                          <w:b/>
                          <w:i/>
                          <w:sz w:val="32"/>
                        </w:rPr>
                        <w:tab/>
                      </w:r>
                      <w:r>
                        <w:rPr>
                          <w:b/>
                          <w:i/>
                          <w:sz w:val="32"/>
                        </w:rPr>
                        <w:t>DOCUMENTO DE DEBATE</w:t>
                      </w:r>
                    </w:p>
                  </w:txbxContent>
                </v:textbox>
              </v:shape>
            </w:pict>
          </mc:Fallback>
        </mc:AlternateContent>
      </w:r>
      <w:r w:rsidRPr="00153074">
        <w:rPr>
          <w:rFonts w:ascii="Arial" w:hAnsi="Arial" w:cs="Arial"/>
          <w:b/>
          <w:noProof/>
          <w:sz w:val="36"/>
          <w:szCs w:val="36"/>
          <w:lang w:val="fr-BE" w:eastAsia="fr-BE"/>
        </w:rPr>
        <w:drawing>
          <wp:inline distT="0" distB="0" distL="0" distR="0" wp14:anchorId="1BB8D813" wp14:editId="1D460B33">
            <wp:extent cx="3283585" cy="118427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1184275"/>
                    </a:xfrm>
                    <a:prstGeom prst="rect">
                      <a:avLst/>
                    </a:prstGeom>
                    <a:noFill/>
                    <a:ln>
                      <a:noFill/>
                    </a:ln>
                  </pic:spPr>
                </pic:pic>
              </a:graphicData>
            </a:graphic>
          </wp:inline>
        </w:drawing>
      </w:r>
      <w:r w:rsidRPr="00153074">
        <w:rPr>
          <w:rFonts w:ascii="Arial" w:hAnsi="Arial" w:cs="Arial"/>
          <w:b/>
          <w:noProof/>
          <w:sz w:val="36"/>
          <w:szCs w:val="36"/>
          <w:lang w:val="fr-BE" w:eastAsia="fr-BE"/>
        </w:rPr>
        <mc:AlternateContent>
          <mc:Choice Requires="wps">
            <w:drawing>
              <wp:anchor distT="0" distB="0" distL="114300" distR="114300" simplePos="0" relativeHeight="251657216" behindDoc="1" locked="0" layoutInCell="0" allowOverlap="1" wp14:anchorId="23286325" wp14:editId="5F703E15">
                <wp:simplePos x="0" y="0"/>
                <wp:positionH relativeFrom="margin">
                  <wp:align>center</wp:align>
                </wp:positionH>
                <wp:positionV relativeFrom="margin">
                  <wp:align>center</wp:align>
                </wp:positionV>
                <wp:extent cx="6944360" cy="10038715"/>
                <wp:effectExtent l="6350" t="6350" r="5080"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1003871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2" o:spid="_x0000_s1026" style="position:absolute;margin-left:0;margin-top:0;width:546.8pt;height:790.45pt;z-index:-25165926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pJhAIAACEFAAAOAAAAZHJzL2Uyb0RvYy54bWysVNuO0zAQfUfiHyy/d3Npmm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" o:allowincell="f" filled="f" fillcolor="black">
                <w10:wrap anchorx="margin" anchory="margin"/>
              </v:roundrect>
            </w:pict>
          </mc:Fallback>
        </mc:AlternateContent>
      </w:r>
      <w:r w:rsidRPr="00153074">
        <w:rPr>
          <w:rFonts w:ascii="Arial" w:hAnsi="Arial" w:cs="Arial"/>
          <w:b/>
          <w:noProof/>
          <w:sz w:val="36"/>
          <w:szCs w:val="36"/>
          <w:lang w:val="fr-BE" w:eastAsia="fr-BE"/>
        </w:rPr>
        <mc:AlternateContent>
          <mc:Choice Requires="wps">
            <w:drawing>
              <wp:anchor distT="0" distB="0" distL="114300" distR="114300" simplePos="0" relativeHeight="251658240" behindDoc="0" locked="0" layoutInCell="0" allowOverlap="1" wp14:anchorId="700A9BF2" wp14:editId="620D7777">
                <wp:simplePos x="0" y="0"/>
                <wp:positionH relativeFrom="page">
                  <wp:posOffset>302260</wp:posOffset>
                </wp:positionH>
                <wp:positionV relativeFrom="page">
                  <wp:posOffset>2984500</wp:posOffset>
                </wp:positionV>
                <wp:extent cx="6955790" cy="2091055"/>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69"/>
                            </w:tblGrid>
                            <w:tr w:rsidR="00516340" w:rsidRPr="00283BD6">
                              <w:trPr>
                                <w:trHeight w:val="144"/>
                                <w:jc w:val="center"/>
                              </w:trPr>
                              <w:tc>
                                <w:tcPr>
                                  <w:tcW w:w="11520" w:type="dxa"/>
                                  <w:shd w:val="clear" w:color="auto" w:fill="B8CCE4"/>
                                  <w:tcMar>
                                    <w:top w:w="0" w:type="dxa"/>
                                    <w:bottom w:w="0" w:type="dxa"/>
                                  </w:tcMar>
                                  <w:vAlign w:val="center"/>
                                </w:tcPr>
                                <w:p w:rsidR="00516340" w:rsidRPr="00283BD6" w:rsidRDefault="00516340">
                                  <w:pPr>
                                    <w:pStyle w:val="NoSpacing"/>
                                    <w:rPr>
                                      <w:sz w:val="8"/>
                                      <w:szCs w:val="8"/>
                                      <w:lang w:val="es-ES"/>
                                    </w:rPr>
                                  </w:pPr>
                                </w:p>
                              </w:tc>
                            </w:tr>
                            <w:tr w:rsidR="00516340" w:rsidRPr="00283BD6">
                              <w:trPr>
                                <w:trHeight w:val="1440"/>
                                <w:jc w:val="center"/>
                              </w:trPr>
                              <w:tc>
                                <w:tcPr>
                                  <w:tcW w:w="11520" w:type="dxa"/>
                                  <w:shd w:val="clear" w:color="auto" w:fill="92D050"/>
                                  <w:vAlign w:val="center"/>
                                </w:tcPr>
                                <w:p w:rsidR="00516340" w:rsidRPr="00283BD6" w:rsidRDefault="00516340" w:rsidP="00297476">
                                  <w:pPr>
                                    <w:pStyle w:val="NoSpacing"/>
                                    <w:suppressOverlap/>
                                    <w:jc w:val="center"/>
                                    <w:rPr>
                                      <w:rFonts w:ascii="Cambria" w:hAnsi="Cambria"/>
                                      <w:color w:val="FFFFFF"/>
                                      <w:sz w:val="72"/>
                                      <w:szCs w:val="72"/>
                                      <w:lang w:val="es-ES"/>
                                    </w:rPr>
                                  </w:pPr>
                                  <w:r w:rsidRPr="00283BD6">
                                    <w:rPr>
                                      <w:rFonts w:ascii="Arial" w:hAnsi="Arial"/>
                                      <w:b/>
                                      <w:sz w:val="44"/>
                                      <w:szCs w:val="36"/>
                                      <w:lang w:val="es-ES"/>
                                    </w:rPr>
                                    <w:t>El sector privado y su papel en el desarrollo</w:t>
                                  </w:r>
                                </w:p>
                              </w:tc>
                            </w:tr>
                            <w:tr w:rsidR="00516340" w:rsidRPr="00283BD6">
                              <w:trPr>
                                <w:trHeight w:val="144"/>
                                <w:jc w:val="center"/>
                              </w:trPr>
                              <w:tc>
                                <w:tcPr>
                                  <w:tcW w:w="11520" w:type="dxa"/>
                                  <w:shd w:val="clear" w:color="auto" w:fill="E36C0A"/>
                                  <w:tcMar>
                                    <w:top w:w="0" w:type="dxa"/>
                                    <w:bottom w:w="0" w:type="dxa"/>
                                  </w:tcMar>
                                  <w:vAlign w:val="center"/>
                                </w:tcPr>
                                <w:p w:rsidR="00516340" w:rsidRPr="00283BD6" w:rsidRDefault="00516340">
                                  <w:pPr>
                                    <w:pStyle w:val="NoSpacing"/>
                                    <w:rPr>
                                      <w:sz w:val="8"/>
                                      <w:szCs w:val="8"/>
                                      <w:lang w:val="es-ES"/>
                                    </w:rPr>
                                  </w:pPr>
                                </w:p>
                              </w:tc>
                            </w:tr>
                            <w:tr w:rsidR="00516340" w:rsidRPr="00283BD6">
                              <w:trPr>
                                <w:trHeight w:val="720"/>
                                <w:jc w:val="center"/>
                              </w:trPr>
                              <w:tc>
                                <w:tcPr>
                                  <w:tcW w:w="11520" w:type="dxa"/>
                                  <w:shd w:val="clear" w:color="auto" w:fill="auto"/>
                                  <w:vAlign w:val="bottom"/>
                                </w:tcPr>
                                <w:p w:rsidR="00516340" w:rsidRPr="00283BD6" w:rsidRDefault="00516340" w:rsidP="00297476">
                                  <w:pPr>
                                    <w:pStyle w:val="NoSpacing"/>
                                    <w:suppressOverlap/>
                                    <w:jc w:val="center"/>
                                    <w:rPr>
                                      <w:rFonts w:ascii="Cambria" w:hAnsi="Cambria"/>
                                      <w:sz w:val="36"/>
                                      <w:szCs w:val="36"/>
                                      <w:lang w:val="es-ES"/>
                                    </w:rPr>
                                  </w:pPr>
                                  <w:r w:rsidRPr="00283BD6">
                                    <w:rPr>
                                      <w:rFonts w:ascii="Arial" w:hAnsi="Arial"/>
                                      <w:b/>
                                      <w:sz w:val="36"/>
                                      <w:szCs w:val="36"/>
                                      <w:lang w:val="es-ES"/>
                                    </w:rPr>
                                    <w:t>Una perspectiva sindical</w:t>
                                  </w:r>
                                </w:p>
                              </w:tc>
                            </w:tr>
                          </w:tbl>
                          <w:p w:rsidR="00516340" w:rsidRPr="00283BD6" w:rsidRDefault="00516340">
                            <w:pPr>
                              <w:rPr>
                                <w:lang w:val="es-ES"/>
                              </w:rPr>
                            </w:pPr>
                          </w:p>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24" o:spid="_x0000_s1027" style="position:absolute;left:0;text-align:left;margin-left:23.8pt;margin-top:235pt;width:547.7pt;height:164.65pt;z-index:251658240;visibility:visible;mso-wrap-style:square;mso-width-percent:920;mso-height-percent:1000;mso-wrap-distance-left:9pt;mso-wrap-distance-top:0;mso-wrap-distance-right:9pt;mso-wrap-distance-bottom:0;mso-position-horizontal:absolute;mso-position-horizontal-relative:page;mso-position-vertical:absolute;mso-position-vertical-relative:page;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69"/>
                      </w:tblGrid>
                      <w:tr w:rsidR="00516340" w:rsidRPr="00283BD6">
                        <w:trPr>
                          <w:trHeight w:val="144"/>
                          <w:jc w:val="center"/>
                        </w:trPr>
                        <w:tc>
                          <w:tcPr>
                            <w:tcW w:w="11520" w:type="dxa"/>
                            <w:shd w:val="clear" w:color="auto" w:fill="B8CCE4"/>
                            <w:tcMar>
                              <w:top w:w="0" w:type="dxa"/>
                              <w:bottom w:w="0" w:type="dxa"/>
                            </w:tcMar>
                            <w:vAlign w:val="center"/>
                          </w:tcPr>
                          <w:p w:rsidR="00516340" w:rsidRPr="00283BD6" w:rsidRDefault="00516340">
                            <w:pPr>
                              <w:pStyle w:val="NoSpacing"/>
                              <w:rPr>
                                <w:sz w:val="8"/>
                                <w:szCs w:val="8"/>
                                <w:lang w:val="es-ES"/>
                              </w:rPr>
                            </w:pPr>
                          </w:p>
                        </w:tc>
                      </w:tr>
                      <w:tr w:rsidR="00516340" w:rsidRPr="00283BD6">
                        <w:trPr>
                          <w:trHeight w:val="1440"/>
                          <w:jc w:val="center"/>
                        </w:trPr>
                        <w:tc>
                          <w:tcPr>
                            <w:tcW w:w="11520" w:type="dxa"/>
                            <w:shd w:val="clear" w:color="auto" w:fill="92D050"/>
                            <w:vAlign w:val="center"/>
                          </w:tcPr>
                          <w:p w:rsidR="00516340" w:rsidRPr="00283BD6" w:rsidRDefault="00516340" w:rsidP="00297476">
                            <w:pPr>
                              <w:pStyle w:val="NoSpacing"/>
                              <w:suppressOverlap/>
                              <w:jc w:val="center"/>
                              <w:rPr>
                                <w:rFonts w:ascii="Cambria" w:hAnsi="Cambria"/>
                                <w:color w:val="FFFFFF"/>
                                <w:sz w:val="72"/>
                                <w:szCs w:val="72"/>
                                <w:lang w:val="es-ES"/>
                              </w:rPr>
                            </w:pPr>
                            <w:r w:rsidRPr="00283BD6">
                              <w:rPr>
                                <w:rFonts w:ascii="Arial" w:hAnsi="Arial"/>
                                <w:b/>
                                <w:sz w:val="44"/>
                                <w:szCs w:val="36"/>
                                <w:lang w:val="es-ES"/>
                              </w:rPr>
                              <w:t>El sector privado y su papel en el desarrollo</w:t>
                            </w:r>
                          </w:p>
                        </w:tc>
                      </w:tr>
                      <w:tr w:rsidR="00516340" w:rsidRPr="00283BD6">
                        <w:trPr>
                          <w:trHeight w:val="144"/>
                          <w:jc w:val="center"/>
                        </w:trPr>
                        <w:tc>
                          <w:tcPr>
                            <w:tcW w:w="11520" w:type="dxa"/>
                            <w:shd w:val="clear" w:color="auto" w:fill="E36C0A"/>
                            <w:tcMar>
                              <w:top w:w="0" w:type="dxa"/>
                              <w:bottom w:w="0" w:type="dxa"/>
                            </w:tcMar>
                            <w:vAlign w:val="center"/>
                          </w:tcPr>
                          <w:p w:rsidR="00516340" w:rsidRPr="00283BD6" w:rsidRDefault="00516340">
                            <w:pPr>
                              <w:pStyle w:val="NoSpacing"/>
                              <w:rPr>
                                <w:sz w:val="8"/>
                                <w:szCs w:val="8"/>
                                <w:lang w:val="es-ES"/>
                              </w:rPr>
                            </w:pPr>
                          </w:p>
                        </w:tc>
                      </w:tr>
                      <w:tr w:rsidR="00516340" w:rsidRPr="00283BD6">
                        <w:trPr>
                          <w:trHeight w:val="720"/>
                          <w:jc w:val="center"/>
                        </w:trPr>
                        <w:tc>
                          <w:tcPr>
                            <w:tcW w:w="11520" w:type="dxa"/>
                            <w:shd w:val="clear" w:color="auto" w:fill="auto"/>
                            <w:vAlign w:val="bottom"/>
                          </w:tcPr>
                          <w:p w:rsidR="00516340" w:rsidRPr="00283BD6" w:rsidRDefault="00516340" w:rsidP="00297476">
                            <w:pPr>
                              <w:pStyle w:val="NoSpacing"/>
                              <w:suppressOverlap/>
                              <w:jc w:val="center"/>
                              <w:rPr>
                                <w:rFonts w:ascii="Cambria" w:hAnsi="Cambria"/>
                                <w:sz w:val="36"/>
                                <w:szCs w:val="36"/>
                                <w:lang w:val="es-ES"/>
                              </w:rPr>
                            </w:pPr>
                            <w:r w:rsidRPr="00283BD6">
                              <w:rPr>
                                <w:rFonts w:ascii="Arial" w:hAnsi="Arial"/>
                                <w:b/>
                                <w:sz w:val="36"/>
                                <w:szCs w:val="36"/>
                                <w:lang w:val="es-ES"/>
                              </w:rPr>
                              <w:t>Una perspectiva sindical</w:t>
                            </w:r>
                          </w:p>
                        </w:tc>
                      </w:tr>
                    </w:tbl>
                    <w:p w:rsidR="00516340" w:rsidRPr="00283BD6" w:rsidRDefault="00516340">
                      <w:pPr>
                        <w:rPr>
                          <w:lang w:val="es-ES"/>
                        </w:rPr>
                      </w:pPr>
                    </w:p>
                  </w:txbxContent>
                </v:textbox>
                <w10:wrap anchorx="page" anchory="page"/>
              </v:rect>
            </w:pict>
          </mc:Fallback>
        </mc:AlternateContent>
      </w:r>
      <w:r w:rsidRPr="00153074">
        <w:rPr>
          <w:rFonts w:ascii="Arial" w:hAnsi="Arial" w:cs="Arial"/>
          <w:b/>
          <w:noProof/>
          <w:sz w:val="36"/>
          <w:szCs w:val="36"/>
          <w:lang w:val="fr-BE" w:eastAsia="fr-BE"/>
        </w:rPr>
        <mc:AlternateContent>
          <mc:Choice Requires="wps">
            <w:drawing>
              <wp:anchor distT="0" distB="0" distL="114300" distR="114300" simplePos="0" relativeHeight="251659264" behindDoc="0" locked="0" layoutInCell="0" allowOverlap="1" wp14:anchorId="39AD074B" wp14:editId="3DFD93C6">
                <wp:simplePos x="0" y="0"/>
                <wp:positionH relativeFrom="page">
                  <wp:posOffset>914400</wp:posOffset>
                </wp:positionH>
                <wp:positionV relativeFrom="page">
                  <wp:posOffset>7966075</wp:posOffset>
                </wp:positionV>
                <wp:extent cx="5731510" cy="145542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455420"/>
                        </a:xfrm>
                        <a:prstGeom prst="rect">
                          <a:avLst/>
                        </a:prstGeom>
                        <a:noFill/>
                        <a:ln>
                          <a:noFill/>
                        </a:ln>
                        <a:extLst>
                          <a:ext uri="{909E8E84-426E-40DD-AFC4-6F175D3DCCD1}">
                            <a14:hiddenFill xmlns:a14="http://schemas.microsoft.com/office/drawing/2010/main">
                              <a:solidFill>
                                <a:srgbClr val="FFFFFF">
                                  <a:alpha val="70000"/>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6340" w:rsidRPr="00283BD6" w:rsidRDefault="00516340">
                            <w:pPr>
                              <w:pStyle w:val="NoSpacing"/>
                              <w:spacing w:line="276" w:lineRule="auto"/>
                              <w:suppressOverlap/>
                              <w:jc w:val="center"/>
                              <w:rPr>
                                <w:b/>
                                <w:caps/>
                                <w:color w:val="4F81BD"/>
                                <w:lang w:val="es-ES"/>
                              </w:rPr>
                            </w:pPr>
                            <w:r w:rsidRPr="00283BD6">
                              <w:rPr>
                                <w:b/>
                                <w:caps/>
                                <w:lang w:val="es-ES"/>
                              </w:rPr>
                              <w:t>CONFEDERACIÓN SINDICAL INTERNACIONAL</w:t>
                            </w:r>
                          </w:p>
                          <w:p w:rsidR="00516340" w:rsidRPr="00283BD6" w:rsidRDefault="00516340">
                            <w:pPr>
                              <w:pStyle w:val="NoSpacing"/>
                              <w:spacing w:line="276" w:lineRule="auto"/>
                              <w:suppressOverlap/>
                              <w:jc w:val="center"/>
                              <w:rPr>
                                <w:b/>
                                <w:caps/>
                                <w:color w:val="4F81BD"/>
                                <w:lang w:val="es-ES"/>
                              </w:rPr>
                            </w:pPr>
                          </w:p>
                          <w:p w:rsidR="00516340" w:rsidRPr="00283BD6" w:rsidRDefault="00516340">
                            <w:pPr>
                              <w:pStyle w:val="NoSpacing"/>
                              <w:spacing w:line="276" w:lineRule="auto"/>
                              <w:suppressOverlap/>
                              <w:jc w:val="center"/>
                              <w:rPr>
                                <w:lang w:val="es-ES"/>
                              </w:rPr>
                            </w:pPr>
                            <w:r>
                              <w:rPr>
                                <w:lang w:val="es-ES"/>
                              </w:rPr>
                              <w:t>Borrador revisado, versión del 11 de octubre</w:t>
                            </w:r>
                            <w:r w:rsidRPr="00283BD6">
                              <w:rPr>
                                <w:lang w:val="es-ES"/>
                              </w:rPr>
                              <w:t xml:space="preserve"> de 2013</w:t>
                            </w:r>
                          </w:p>
                          <w:p w:rsidR="00516340" w:rsidRPr="00283BD6" w:rsidRDefault="00516340" w:rsidP="00012D3E">
                            <w:pPr>
                              <w:pStyle w:val="NoSpacing"/>
                              <w:spacing w:line="276" w:lineRule="auto"/>
                              <w:ind w:left="1440" w:firstLine="1395"/>
                              <w:rPr>
                                <w:lang w:val="es-ES"/>
                              </w:rPr>
                            </w:pPr>
                            <w:r>
                              <w:rPr>
                                <w:lang w:val="es-ES"/>
                              </w:rPr>
                              <w:t>Autor</w:t>
                            </w:r>
                            <w:r w:rsidRPr="00283BD6">
                              <w:rPr>
                                <w:lang w:val="es-ES"/>
                              </w:rPr>
                              <w:t xml:space="preserve">: </w:t>
                            </w:r>
                            <w:r w:rsidRPr="00283BD6">
                              <w:rPr>
                                <w:b/>
                                <w:sz w:val="24"/>
                                <w:lang w:val="es-ES"/>
                              </w:rPr>
                              <w:t xml:space="preserve">Pierre HABBARD, </w:t>
                            </w:r>
                            <w:r>
                              <w:rPr>
                                <w:b/>
                                <w:sz w:val="24"/>
                                <w:lang w:val="es-ES"/>
                              </w:rPr>
                              <w:t>TUAC</w:t>
                            </w:r>
                            <w:r w:rsidRPr="00283BD6">
                              <w:rPr>
                                <w:sz w:val="24"/>
                                <w:lang w:val="es-ES"/>
                              </w:rPr>
                              <w:t xml:space="preserve"> </w:t>
                            </w:r>
                            <w:r w:rsidRPr="00283BD6">
                              <w:rPr>
                                <w:lang w:val="es-ES"/>
                              </w:rPr>
                              <w:tab/>
                            </w:r>
                            <w:r w:rsidRPr="00283BD6">
                              <w:rPr>
                                <w:lang w:val="es-ES"/>
                              </w:rPr>
                              <w:tab/>
                            </w:r>
                            <w:r w:rsidRPr="00283BD6">
                              <w:rPr>
                                <w:lang w:val="es-ES"/>
                              </w:rPr>
                              <w:tab/>
                            </w:r>
                            <w:r w:rsidRPr="00283BD6">
                              <w:rPr>
                                <w:lang w:val="es-ES"/>
                              </w:rPr>
                              <w:br/>
                              <w:t>En cooperación con Matt SIMONDS y Jan DEREYMAEKER, RSCD</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25" o:spid="_x0000_s1028" style="position:absolute;left:0;text-align:left;margin-left:1in;margin-top:627.25pt;width:451.3pt;height:114.6pt;z-index:25165926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" o:allowincell="f" filled="f" stroked="f" strokeweight=".25pt">
                <v:fill opacity="46003f"/>
                <v:textbox style="mso-fit-shape-to-text:t" inset=",18pt,,18pt">
                  <w:txbxContent>
                    <w:p w:rsidR="00516340" w:rsidRPr="00283BD6" w:rsidRDefault="00516340">
                      <w:pPr>
                        <w:pStyle w:val="NoSpacing"/>
                        <w:spacing w:line="276" w:lineRule="auto"/>
                        <w:suppressOverlap/>
                        <w:jc w:val="center"/>
                        <w:rPr>
                          <w:b/>
                          <w:caps/>
                          <w:color w:val="4F81BD"/>
                          <w:lang w:val="es-ES"/>
                        </w:rPr>
                      </w:pPr>
                      <w:r w:rsidRPr="00283BD6">
                        <w:rPr>
                          <w:b/>
                          <w:caps/>
                          <w:lang w:val="es-ES"/>
                        </w:rPr>
                        <w:t>CONFEDERACIÓN SINDICAL INTERNACIONAL</w:t>
                      </w:r>
                    </w:p>
                    <w:p w:rsidR="00516340" w:rsidRPr="00283BD6" w:rsidRDefault="00516340">
                      <w:pPr>
                        <w:pStyle w:val="NoSpacing"/>
                        <w:spacing w:line="276" w:lineRule="auto"/>
                        <w:suppressOverlap/>
                        <w:jc w:val="center"/>
                        <w:rPr>
                          <w:b/>
                          <w:caps/>
                          <w:color w:val="4F81BD"/>
                          <w:lang w:val="es-ES"/>
                        </w:rPr>
                      </w:pPr>
                    </w:p>
                    <w:p w:rsidR="00516340" w:rsidRPr="00283BD6" w:rsidRDefault="00516340">
                      <w:pPr>
                        <w:pStyle w:val="NoSpacing"/>
                        <w:spacing w:line="276" w:lineRule="auto"/>
                        <w:suppressOverlap/>
                        <w:jc w:val="center"/>
                        <w:rPr>
                          <w:lang w:val="es-ES"/>
                        </w:rPr>
                      </w:pPr>
                      <w:r>
                        <w:rPr>
                          <w:lang w:val="es-ES"/>
                        </w:rPr>
                        <w:t>Borrador revisado, versión del 11 de octubre</w:t>
                      </w:r>
                      <w:r w:rsidRPr="00283BD6">
                        <w:rPr>
                          <w:lang w:val="es-ES"/>
                        </w:rPr>
                        <w:t xml:space="preserve"> de 2013</w:t>
                      </w:r>
                    </w:p>
                    <w:p w:rsidR="00516340" w:rsidRPr="00283BD6" w:rsidRDefault="00516340" w:rsidP="00012D3E">
                      <w:pPr>
                        <w:pStyle w:val="NoSpacing"/>
                        <w:spacing w:line="276" w:lineRule="auto"/>
                        <w:ind w:left="1440" w:firstLine="1395"/>
                        <w:rPr>
                          <w:lang w:val="es-ES"/>
                        </w:rPr>
                      </w:pPr>
                      <w:r>
                        <w:rPr>
                          <w:lang w:val="es-ES"/>
                        </w:rPr>
                        <w:t>Autor</w:t>
                      </w:r>
                      <w:r w:rsidRPr="00283BD6">
                        <w:rPr>
                          <w:lang w:val="es-ES"/>
                        </w:rPr>
                        <w:t xml:space="preserve">: </w:t>
                      </w:r>
                      <w:r w:rsidRPr="00283BD6">
                        <w:rPr>
                          <w:b/>
                          <w:sz w:val="24"/>
                          <w:lang w:val="es-ES"/>
                        </w:rPr>
                        <w:t xml:space="preserve">Pierre HABBARD, </w:t>
                      </w:r>
                      <w:r>
                        <w:rPr>
                          <w:b/>
                          <w:sz w:val="24"/>
                          <w:lang w:val="es-ES"/>
                        </w:rPr>
                        <w:t>TUAC</w:t>
                      </w:r>
                      <w:r w:rsidRPr="00283BD6">
                        <w:rPr>
                          <w:sz w:val="24"/>
                          <w:lang w:val="es-ES"/>
                        </w:rPr>
                        <w:t xml:space="preserve"> </w:t>
                      </w:r>
                      <w:r w:rsidRPr="00283BD6">
                        <w:rPr>
                          <w:lang w:val="es-ES"/>
                        </w:rPr>
                        <w:tab/>
                      </w:r>
                      <w:r w:rsidRPr="00283BD6">
                        <w:rPr>
                          <w:lang w:val="es-ES"/>
                        </w:rPr>
                        <w:tab/>
                      </w:r>
                      <w:r w:rsidRPr="00283BD6">
                        <w:rPr>
                          <w:lang w:val="es-ES"/>
                        </w:rPr>
                        <w:tab/>
                      </w:r>
                      <w:r w:rsidRPr="00283BD6">
                        <w:rPr>
                          <w:lang w:val="es-ES"/>
                        </w:rPr>
                        <w:br/>
                        <w:t>En cooperación con Matt SIMONDS y Jan DEREYMAEKER, RSCD</w:t>
                      </w:r>
                    </w:p>
                  </w:txbxContent>
                </v:textbox>
                <w10:wrap anchorx="page" anchory="page"/>
              </v:rect>
            </w:pict>
          </mc:Fallback>
        </mc:AlternateContent>
      </w:r>
      <w:r w:rsidR="00297476" w:rsidRPr="00153074">
        <w:rPr>
          <w:rFonts w:ascii="Arial" w:hAnsi="Arial" w:cs="Arial"/>
          <w:b/>
          <w:sz w:val="36"/>
          <w:szCs w:val="36"/>
          <w:lang w:val="es-ES_tradnl"/>
        </w:rPr>
        <w:br w:type="page"/>
      </w:r>
    </w:p>
    <w:p w:rsidR="00CB47B9" w:rsidRPr="00153074" w:rsidRDefault="00AD4E4A" w:rsidP="0019222C">
      <w:pPr>
        <w:pStyle w:val="Heading1"/>
        <w:spacing w:before="0"/>
        <w:rPr>
          <w:b/>
          <w:u w:val="single"/>
          <w:lang w:val="es-ES_tradnl"/>
        </w:rPr>
      </w:pPr>
      <w:bookmarkStart w:id="1" w:name="_Toc359331962"/>
      <w:bookmarkStart w:id="2" w:name="_Toc369604897"/>
      <w:r w:rsidRPr="00153074">
        <w:rPr>
          <w:b/>
          <w:u w:val="single"/>
          <w:lang w:val="es-ES_tradnl"/>
        </w:rPr>
        <w:lastRenderedPageBreak/>
        <w:t>Síntesis</w:t>
      </w:r>
      <w:bookmarkEnd w:id="1"/>
      <w:bookmarkEnd w:id="2"/>
    </w:p>
    <w:p w:rsidR="002D148A" w:rsidRPr="00153074" w:rsidRDefault="002D148A" w:rsidP="008D3287">
      <w:pPr>
        <w:rPr>
          <w:lang w:val="es-ES_tradnl"/>
        </w:rPr>
      </w:pPr>
    </w:p>
    <w:p w:rsidR="002D148A" w:rsidRPr="00153074" w:rsidRDefault="007D664F" w:rsidP="008D3287">
      <w:pPr>
        <w:rPr>
          <w:lang w:val="es-ES_tradnl"/>
        </w:rPr>
      </w:pPr>
      <w:r w:rsidRPr="00153074">
        <w:rPr>
          <w:lang w:val="es-ES_tradnl"/>
        </w:rPr>
        <w:t>Un creciente coro de voces en el seno de</w:t>
      </w:r>
      <w:r w:rsidR="003725B1" w:rsidRPr="00153074">
        <w:rPr>
          <w:lang w:val="es-ES_tradnl"/>
        </w:rPr>
        <w:t xml:space="preserve"> diversas</w:t>
      </w:r>
      <w:r w:rsidRPr="00153074">
        <w:rPr>
          <w:lang w:val="es-ES_tradnl"/>
        </w:rPr>
        <w:t xml:space="preserve"> instituciones multilaterales y </w:t>
      </w:r>
      <w:r w:rsidR="0075774C" w:rsidRPr="00153074">
        <w:rPr>
          <w:lang w:val="es-ES_tradnl"/>
        </w:rPr>
        <w:t>organismos</w:t>
      </w:r>
      <w:r w:rsidRPr="00153074">
        <w:rPr>
          <w:lang w:val="es-ES_tradnl"/>
        </w:rPr>
        <w:t xml:space="preserve"> donantes </w:t>
      </w:r>
      <w:r w:rsidR="003725B1" w:rsidRPr="00153074">
        <w:rPr>
          <w:lang w:val="es-ES_tradnl"/>
        </w:rPr>
        <w:t>de ayuda está</w:t>
      </w:r>
      <w:r w:rsidR="0075774C" w:rsidRPr="00153074">
        <w:rPr>
          <w:lang w:val="es-ES_tradnl"/>
        </w:rPr>
        <w:t xml:space="preserve"> abogando por el papel del sector privado en el desarrollo en una época en que, </w:t>
      </w:r>
      <w:r w:rsidR="00843551" w:rsidRPr="00153074">
        <w:rPr>
          <w:lang w:val="es-ES_tradnl"/>
        </w:rPr>
        <w:t>seguramente</w:t>
      </w:r>
      <w:r w:rsidR="0075774C" w:rsidRPr="00153074">
        <w:rPr>
          <w:lang w:val="es-ES_tradnl"/>
        </w:rPr>
        <w:t xml:space="preserve"> no por casualidad, los presupuestos de </w:t>
      </w:r>
      <w:r w:rsidR="00843551" w:rsidRPr="00153074">
        <w:rPr>
          <w:lang w:val="es-ES_tradnl"/>
        </w:rPr>
        <w:t>la AOD disminuyen y la fecha límite</w:t>
      </w:r>
      <w:r w:rsidR="0075774C" w:rsidRPr="00153074">
        <w:rPr>
          <w:lang w:val="es-ES_tradnl"/>
        </w:rPr>
        <w:t xml:space="preserve"> de 2015 de los Objetivos de Desarrollo del Milenio se</w:t>
      </w:r>
      <w:r w:rsidR="00063EC8" w:rsidRPr="00153074">
        <w:rPr>
          <w:lang w:val="es-ES_tradnl"/>
        </w:rPr>
        <w:t xml:space="preserve"> va</w:t>
      </w:r>
      <w:r w:rsidR="0075774C" w:rsidRPr="00153074">
        <w:rPr>
          <w:lang w:val="es-ES_tradnl"/>
        </w:rPr>
        <w:t xml:space="preserve"> acerca</w:t>
      </w:r>
      <w:r w:rsidR="00063EC8" w:rsidRPr="00153074">
        <w:rPr>
          <w:lang w:val="es-ES_tradnl"/>
        </w:rPr>
        <w:t>ndo</w:t>
      </w:r>
      <w:r w:rsidR="0075774C" w:rsidRPr="00153074">
        <w:rPr>
          <w:lang w:val="es-ES_tradnl"/>
        </w:rPr>
        <w:t xml:space="preserve"> rápidamente.</w:t>
      </w:r>
    </w:p>
    <w:p w:rsidR="002D148A" w:rsidRPr="00153074" w:rsidRDefault="002D148A" w:rsidP="008D3287">
      <w:pPr>
        <w:rPr>
          <w:lang w:val="es-ES_tradnl"/>
        </w:rPr>
      </w:pPr>
    </w:p>
    <w:p w:rsidR="002D148A" w:rsidRPr="00153074" w:rsidRDefault="00A2698F" w:rsidP="008D3287">
      <w:pPr>
        <w:rPr>
          <w:lang w:val="es-ES_tradnl"/>
        </w:rPr>
      </w:pPr>
      <w:r w:rsidRPr="00153074">
        <w:rPr>
          <w:lang w:val="es-ES_tradnl"/>
        </w:rPr>
        <w:t xml:space="preserve">El sector privado para el desarrollo </w:t>
      </w:r>
      <w:r w:rsidR="00F52936" w:rsidRPr="00153074">
        <w:rPr>
          <w:lang w:val="es-ES_tradnl"/>
        </w:rPr>
        <w:t>se refiere a</w:t>
      </w:r>
      <w:r w:rsidRPr="00153074">
        <w:rPr>
          <w:lang w:val="es-ES_tradnl"/>
        </w:rPr>
        <w:t xml:space="preserve"> las diversas formas de participación a través de </w:t>
      </w:r>
      <w:r w:rsidR="003B77E7" w:rsidRPr="00153074">
        <w:rPr>
          <w:lang w:val="es-ES_tradnl"/>
        </w:rPr>
        <w:t>asociaciones</w:t>
      </w:r>
      <w:r w:rsidR="006031DF" w:rsidRPr="00153074">
        <w:rPr>
          <w:lang w:val="es-ES_tradnl"/>
        </w:rPr>
        <w:t xml:space="preserve"> contractuales entre una entidad pública</w:t>
      </w:r>
      <w:r w:rsidR="009268EA" w:rsidRPr="00153074">
        <w:rPr>
          <w:lang w:val="es-ES_tradnl"/>
        </w:rPr>
        <w:t xml:space="preserve"> </w:t>
      </w:r>
      <w:r w:rsidR="002D148A" w:rsidRPr="00153074">
        <w:rPr>
          <w:lang w:val="es-ES_tradnl"/>
        </w:rPr>
        <w:t xml:space="preserve">– </w:t>
      </w:r>
      <w:r w:rsidR="006031DF" w:rsidRPr="00153074">
        <w:rPr>
          <w:lang w:val="es-ES_tradnl"/>
        </w:rPr>
        <w:t>ya sea un donante público, otro tipo de institución p</w:t>
      </w:r>
      <w:r w:rsidR="009C40EF" w:rsidRPr="00153074">
        <w:rPr>
          <w:lang w:val="es-ES_tradnl"/>
        </w:rPr>
        <w:t>ública relacionada con la ayuda</w:t>
      </w:r>
      <w:r w:rsidR="006031DF" w:rsidRPr="00153074">
        <w:rPr>
          <w:lang w:val="es-ES_tradnl"/>
        </w:rPr>
        <w:t xml:space="preserve"> o una administración pública </w:t>
      </w:r>
      <w:r w:rsidR="009268EA" w:rsidRPr="00153074">
        <w:rPr>
          <w:lang w:val="es-ES_tradnl"/>
        </w:rPr>
        <w:t xml:space="preserve">– y una entidad privada </w:t>
      </w:r>
      <w:r w:rsidR="006031DF" w:rsidRPr="00153074">
        <w:rPr>
          <w:lang w:val="es-ES_tradnl"/>
        </w:rPr>
        <w:t xml:space="preserve">– </w:t>
      </w:r>
      <w:r w:rsidR="003B77E7" w:rsidRPr="00153074">
        <w:rPr>
          <w:lang w:val="es-ES_tradnl"/>
        </w:rPr>
        <w:t xml:space="preserve">un inversor y/o </w:t>
      </w:r>
      <w:r w:rsidR="006031DF" w:rsidRPr="00153074">
        <w:rPr>
          <w:lang w:val="es-ES_tradnl"/>
        </w:rPr>
        <w:t>una empresa del sector privado –</w:t>
      </w:r>
      <w:r w:rsidR="009268EA" w:rsidRPr="00153074">
        <w:rPr>
          <w:lang w:val="es-ES_tradnl"/>
        </w:rPr>
        <w:t>,</w:t>
      </w:r>
      <w:r w:rsidR="006031DF" w:rsidRPr="00153074">
        <w:rPr>
          <w:lang w:val="es-ES_tradnl"/>
        </w:rPr>
        <w:t xml:space="preserve"> </w:t>
      </w:r>
      <w:r w:rsidR="003B77E7" w:rsidRPr="00153074">
        <w:rPr>
          <w:lang w:val="es-ES_tradnl"/>
        </w:rPr>
        <w:t>para</w:t>
      </w:r>
      <w:r w:rsidR="006031DF" w:rsidRPr="00153074">
        <w:rPr>
          <w:lang w:val="es-ES_tradnl"/>
        </w:rPr>
        <w:t xml:space="preserve"> alcanzar unos objetivos de desarrollo específicos, incluyendo</w:t>
      </w:r>
      <w:r w:rsidR="009268EA" w:rsidRPr="00153074">
        <w:rPr>
          <w:lang w:val="es-ES_tradnl"/>
        </w:rPr>
        <w:t>,</w:t>
      </w:r>
      <w:r w:rsidR="003B77E7" w:rsidRPr="00153074">
        <w:rPr>
          <w:lang w:val="es-ES_tradnl"/>
        </w:rPr>
        <w:t xml:space="preserve"> </w:t>
      </w:r>
      <w:r w:rsidR="006031DF" w:rsidRPr="00153074">
        <w:rPr>
          <w:lang w:val="es-ES_tradnl"/>
        </w:rPr>
        <w:t>aunque no necesariamente limitado a</w:t>
      </w:r>
      <w:r w:rsidR="009268EA" w:rsidRPr="00153074">
        <w:rPr>
          <w:lang w:val="es-ES_tradnl"/>
        </w:rPr>
        <w:t>,</w:t>
      </w:r>
      <w:r w:rsidR="003B77E7" w:rsidRPr="00153074">
        <w:rPr>
          <w:lang w:val="es-ES_tradnl"/>
        </w:rPr>
        <w:t xml:space="preserve"> e</w:t>
      </w:r>
      <w:r w:rsidR="006031DF" w:rsidRPr="00153074">
        <w:rPr>
          <w:lang w:val="es-ES_tradnl"/>
        </w:rPr>
        <w:t>l desarrollo del sector privado nacional.</w:t>
      </w:r>
      <w:r w:rsidR="002D148A" w:rsidRPr="00153074">
        <w:rPr>
          <w:lang w:val="es-ES_tradnl"/>
        </w:rPr>
        <w:t xml:space="preserve"> </w:t>
      </w:r>
    </w:p>
    <w:p w:rsidR="002D148A" w:rsidRPr="00153074" w:rsidRDefault="002D148A" w:rsidP="008D3287">
      <w:pPr>
        <w:rPr>
          <w:lang w:val="es-ES_tradnl"/>
        </w:rPr>
      </w:pPr>
    </w:p>
    <w:p w:rsidR="002D148A" w:rsidRPr="00153074" w:rsidRDefault="006031DF" w:rsidP="008D3287">
      <w:pPr>
        <w:rPr>
          <w:lang w:val="es-ES_tradnl"/>
        </w:rPr>
      </w:pPr>
      <w:r w:rsidRPr="00153074">
        <w:rPr>
          <w:lang w:val="es-ES_tradnl"/>
        </w:rPr>
        <w:t xml:space="preserve">La distinción según el tipo de relación es importante desde la perspectiva sindical porque determinará en gran medida si las responsabilidades del empleador </w:t>
      </w:r>
      <w:r w:rsidR="009268EA" w:rsidRPr="00153074">
        <w:rPr>
          <w:lang w:val="es-ES_tradnl"/>
        </w:rPr>
        <w:t>recaen</w:t>
      </w:r>
      <w:r w:rsidRPr="00153074">
        <w:rPr>
          <w:lang w:val="es-ES_tradnl"/>
        </w:rPr>
        <w:t xml:space="preserve"> en la entidad pública o en la privada, </w:t>
      </w:r>
      <w:r w:rsidR="00F66998" w:rsidRPr="00153074">
        <w:rPr>
          <w:lang w:val="es-ES_tradnl"/>
        </w:rPr>
        <w:t>o si</w:t>
      </w:r>
      <w:r w:rsidR="00205682" w:rsidRPr="00153074">
        <w:rPr>
          <w:lang w:val="es-ES_tradnl"/>
        </w:rPr>
        <w:t xml:space="preserve"> se reparten entre</w:t>
      </w:r>
      <w:r w:rsidR="00F66998" w:rsidRPr="00153074">
        <w:rPr>
          <w:lang w:val="es-ES_tradnl"/>
        </w:rPr>
        <w:t xml:space="preserve"> ambas.</w:t>
      </w:r>
    </w:p>
    <w:p w:rsidR="002D148A" w:rsidRPr="00153074" w:rsidRDefault="00F66998" w:rsidP="008D3287">
      <w:pPr>
        <w:numPr>
          <w:ilvl w:val="0"/>
          <w:numId w:val="32"/>
        </w:numPr>
        <w:rPr>
          <w:lang w:val="es-ES_tradnl"/>
        </w:rPr>
      </w:pPr>
      <w:r w:rsidRPr="00153074">
        <w:rPr>
          <w:lang w:val="es-ES_tradnl"/>
        </w:rPr>
        <w:t>Las relaciones comercial</w:t>
      </w:r>
      <w:r w:rsidR="00BE51DC" w:rsidRPr="00153074">
        <w:rPr>
          <w:lang w:val="es-ES_tradnl"/>
        </w:rPr>
        <w:t>es</w:t>
      </w:r>
      <w:r w:rsidRPr="00153074">
        <w:rPr>
          <w:lang w:val="es-ES_tradnl"/>
        </w:rPr>
        <w:t xml:space="preserve"> </w:t>
      </w:r>
      <w:r w:rsidR="00E0384B" w:rsidRPr="00153074">
        <w:rPr>
          <w:lang w:val="es-ES_tradnl"/>
        </w:rPr>
        <w:t>implican</w:t>
      </w:r>
      <w:r w:rsidRPr="00153074">
        <w:rPr>
          <w:lang w:val="es-ES_tradnl"/>
        </w:rPr>
        <w:t xml:space="preserve"> principalmente</w:t>
      </w:r>
      <w:r w:rsidR="00E0384B" w:rsidRPr="00153074">
        <w:rPr>
          <w:lang w:val="es-ES_tradnl"/>
        </w:rPr>
        <w:t xml:space="preserve"> </w:t>
      </w:r>
      <w:r w:rsidRPr="00153074">
        <w:rPr>
          <w:lang w:val="es-ES_tradnl"/>
        </w:rPr>
        <w:t>proporcionar apoyo público a proyecto</w:t>
      </w:r>
      <w:r w:rsidR="003A7B96" w:rsidRPr="00153074">
        <w:rPr>
          <w:lang w:val="es-ES_tradnl"/>
        </w:rPr>
        <w:t>s</w:t>
      </w:r>
      <w:r w:rsidRPr="00153074">
        <w:rPr>
          <w:lang w:val="es-ES_tradnl"/>
        </w:rPr>
        <w:t xml:space="preserve"> del sector privado a través de </w:t>
      </w:r>
      <w:r w:rsidR="004B6CE6" w:rsidRPr="00153074">
        <w:rPr>
          <w:lang w:val="es-ES_tradnl"/>
        </w:rPr>
        <w:t xml:space="preserve">préstamos y subvenciones, </w:t>
      </w:r>
      <w:r w:rsidR="000A70EE" w:rsidRPr="00153074">
        <w:rPr>
          <w:lang w:val="es-ES_tradnl"/>
        </w:rPr>
        <w:t>regímenes</w:t>
      </w:r>
      <w:r w:rsidR="004E7A38" w:rsidRPr="00153074">
        <w:rPr>
          <w:lang w:val="es-ES_tradnl"/>
        </w:rPr>
        <w:t xml:space="preserve"> y garantías</w:t>
      </w:r>
      <w:r w:rsidR="000A70EE" w:rsidRPr="00153074">
        <w:rPr>
          <w:lang w:val="es-ES_tradnl"/>
        </w:rPr>
        <w:t xml:space="preserve"> de </w:t>
      </w:r>
      <w:r w:rsidR="004E7A38" w:rsidRPr="00153074">
        <w:rPr>
          <w:lang w:val="es-ES_tradnl"/>
        </w:rPr>
        <w:t>seguros</w:t>
      </w:r>
      <w:r w:rsidR="002D148A" w:rsidRPr="00153074">
        <w:rPr>
          <w:lang w:val="es-ES_tradnl"/>
        </w:rPr>
        <w:t xml:space="preserve">, </w:t>
      </w:r>
      <w:r w:rsidR="000A70EE" w:rsidRPr="00153074">
        <w:rPr>
          <w:lang w:val="es-ES_tradnl"/>
        </w:rPr>
        <w:t xml:space="preserve">o mediante </w:t>
      </w:r>
      <w:r w:rsidR="004E7A38" w:rsidRPr="00153074">
        <w:rPr>
          <w:lang w:val="es-ES_tradnl"/>
        </w:rPr>
        <w:t xml:space="preserve">inversión en acciones </w:t>
      </w:r>
      <w:r w:rsidR="000A70EE" w:rsidRPr="00153074">
        <w:rPr>
          <w:lang w:val="es-ES_tradnl"/>
        </w:rPr>
        <w:t xml:space="preserve">del sector privado. </w:t>
      </w:r>
      <w:r w:rsidR="004E7A38" w:rsidRPr="00153074">
        <w:rPr>
          <w:lang w:val="es-ES_tradnl"/>
        </w:rPr>
        <w:t xml:space="preserve">Pueden implicar un proyecto </w:t>
      </w:r>
      <w:r w:rsidR="00731F08" w:rsidRPr="00153074">
        <w:rPr>
          <w:lang w:val="es-ES_tradnl"/>
        </w:rPr>
        <w:t xml:space="preserve">exclusivamente </w:t>
      </w:r>
      <w:r w:rsidR="004E7A38" w:rsidRPr="00153074">
        <w:rPr>
          <w:lang w:val="es-ES_tradnl"/>
        </w:rPr>
        <w:t>público</w:t>
      </w:r>
      <w:r w:rsidR="005F10B7" w:rsidRPr="00153074">
        <w:rPr>
          <w:lang w:val="es-ES_tradnl"/>
        </w:rPr>
        <w:t xml:space="preserve"> en el cual el ente privado actúa como subcontratista o proveedor de servicios</w:t>
      </w:r>
      <w:r w:rsidR="00205682" w:rsidRPr="00153074">
        <w:rPr>
          <w:lang w:val="es-ES_tradnl"/>
        </w:rPr>
        <w:t>, como</w:t>
      </w:r>
      <w:r w:rsidR="005F10B7" w:rsidRPr="00153074">
        <w:rPr>
          <w:lang w:val="es-ES_tradnl"/>
        </w:rPr>
        <w:t xml:space="preserve"> es el caso de </w:t>
      </w:r>
      <w:r w:rsidR="009A25FE" w:rsidRPr="00153074">
        <w:rPr>
          <w:lang w:val="es-ES_tradnl"/>
        </w:rPr>
        <w:t>la c</w:t>
      </w:r>
      <w:r w:rsidR="00205682" w:rsidRPr="00153074">
        <w:rPr>
          <w:lang w:val="es-ES_tradnl"/>
        </w:rPr>
        <w:t>ontratación pública tradicional,</w:t>
      </w:r>
      <w:r w:rsidR="009A25FE" w:rsidRPr="00153074">
        <w:rPr>
          <w:lang w:val="es-ES_tradnl"/>
        </w:rPr>
        <w:t xml:space="preserve"> o pueden ser una </w:t>
      </w:r>
      <w:r w:rsidR="00E0384B" w:rsidRPr="00153074">
        <w:rPr>
          <w:lang w:val="es-ES_tradnl"/>
        </w:rPr>
        <w:t xml:space="preserve">combinación </w:t>
      </w:r>
      <w:r w:rsidR="009A25FE" w:rsidRPr="00153074">
        <w:rPr>
          <w:lang w:val="es-ES_tradnl"/>
        </w:rPr>
        <w:t xml:space="preserve">de </w:t>
      </w:r>
      <w:r w:rsidR="00205682" w:rsidRPr="00153074">
        <w:rPr>
          <w:lang w:val="es-ES_tradnl"/>
        </w:rPr>
        <w:t>ambos</w:t>
      </w:r>
      <w:r w:rsidR="009A25FE" w:rsidRPr="00153074">
        <w:rPr>
          <w:lang w:val="es-ES_tradnl"/>
        </w:rPr>
        <w:t xml:space="preserve"> enfoques, como es el caso de las </w:t>
      </w:r>
      <w:r w:rsidR="00E54F55" w:rsidRPr="00153074">
        <w:rPr>
          <w:lang w:val="es-ES_tradnl"/>
        </w:rPr>
        <w:t>asociaciones</w:t>
      </w:r>
      <w:r w:rsidR="009A25FE" w:rsidRPr="00153074">
        <w:rPr>
          <w:lang w:val="es-ES_tradnl"/>
        </w:rPr>
        <w:t xml:space="preserve"> público-privadas (</w:t>
      </w:r>
      <w:r w:rsidR="00E54F55" w:rsidRPr="00153074">
        <w:rPr>
          <w:lang w:val="es-ES_tradnl"/>
        </w:rPr>
        <w:t>APP</w:t>
      </w:r>
      <w:r w:rsidR="009A25FE" w:rsidRPr="00153074">
        <w:rPr>
          <w:lang w:val="es-ES_tradnl"/>
        </w:rPr>
        <w:t>)</w:t>
      </w:r>
      <w:r w:rsidR="002D148A" w:rsidRPr="00153074">
        <w:rPr>
          <w:lang w:val="es-ES_tradnl"/>
        </w:rPr>
        <w:t>.</w:t>
      </w:r>
    </w:p>
    <w:p w:rsidR="002D148A" w:rsidRPr="00153074" w:rsidRDefault="009A25FE" w:rsidP="008D3287">
      <w:pPr>
        <w:numPr>
          <w:ilvl w:val="0"/>
          <w:numId w:val="32"/>
        </w:numPr>
        <w:rPr>
          <w:lang w:val="es-ES_tradnl"/>
        </w:rPr>
      </w:pPr>
      <w:r w:rsidRPr="00153074">
        <w:rPr>
          <w:lang w:val="es-ES_tradnl"/>
        </w:rPr>
        <w:t xml:space="preserve">Las relaciones no comerciales incluyen el establecimiento de redes </w:t>
      </w:r>
      <w:r w:rsidR="00AE71BF" w:rsidRPr="00153074">
        <w:rPr>
          <w:lang w:val="es-ES_tradnl"/>
        </w:rPr>
        <w:t xml:space="preserve">y actividades </w:t>
      </w:r>
      <w:r w:rsidR="002C7B14" w:rsidRPr="00153074">
        <w:rPr>
          <w:lang w:val="es-ES_tradnl"/>
        </w:rPr>
        <w:t xml:space="preserve">de promoción de políticas </w:t>
      </w:r>
      <w:r w:rsidR="00AE71BF" w:rsidRPr="00153074">
        <w:rPr>
          <w:lang w:val="es-ES_tradnl"/>
        </w:rPr>
        <w:t>así como la facilitación del acceso del sector privado extranjero a los mercados nacionales, a la contratación pública nacional o a los responsables políticos.</w:t>
      </w:r>
    </w:p>
    <w:p w:rsidR="002D148A" w:rsidRPr="00153074" w:rsidRDefault="002D148A" w:rsidP="008D3287">
      <w:pPr>
        <w:rPr>
          <w:lang w:val="es-ES_tradnl"/>
        </w:rPr>
      </w:pPr>
    </w:p>
    <w:p w:rsidR="007F547E" w:rsidRPr="00153074" w:rsidRDefault="00EB5ED6" w:rsidP="008D3287">
      <w:pPr>
        <w:rPr>
          <w:lang w:val="es-ES_tradnl"/>
        </w:rPr>
      </w:pPr>
      <w:r w:rsidRPr="00153074">
        <w:rPr>
          <w:lang w:val="es-ES_tradnl"/>
        </w:rPr>
        <w:t>Existen diversos</w:t>
      </w:r>
      <w:r w:rsidR="00EE7019" w:rsidRPr="00153074">
        <w:rPr>
          <w:lang w:val="es-ES_tradnl"/>
        </w:rPr>
        <w:t xml:space="preserve"> foros internacionales y regionales </w:t>
      </w:r>
      <w:r w:rsidRPr="00153074">
        <w:rPr>
          <w:lang w:val="es-ES_tradnl"/>
        </w:rPr>
        <w:t xml:space="preserve">que </w:t>
      </w:r>
      <w:r w:rsidR="00EA1FF1" w:rsidRPr="00153074">
        <w:rPr>
          <w:lang w:val="es-ES_tradnl"/>
        </w:rPr>
        <w:t>abordan</w:t>
      </w:r>
      <w:r w:rsidR="007D1F82" w:rsidRPr="00153074">
        <w:rPr>
          <w:lang w:val="es-ES_tradnl"/>
        </w:rPr>
        <w:t xml:space="preserve"> el tema d</w:t>
      </w:r>
      <w:r w:rsidR="00EE7019" w:rsidRPr="00153074">
        <w:rPr>
          <w:lang w:val="es-ES_tradnl"/>
        </w:rPr>
        <w:t xml:space="preserve">el sector privado para el desarrollo como </w:t>
      </w:r>
      <w:r w:rsidRPr="00153074">
        <w:rPr>
          <w:lang w:val="es-ES_tradnl"/>
        </w:rPr>
        <w:t xml:space="preserve">una esfera </w:t>
      </w:r>
      <w:r w:rsidR="00EE7019" w:rsidRPr="00153074">
        <w:rPr>
          <w:lang w:val="es-ES_tradnl"/>
        </w:rPr>
        <w:t>polític</w:t>
      </w:r>
      <w:r w:rsidRPr="00153074">
        <w:rPr>
          <w:lang w:val="es-ES_tradnl"/>
        </w:rPr>
        <w:t>a</w:t>
      </w:r>
      <w:r w:rsidR="00EE7019" w:rsidRPr="00153074">
        <w:rPr>
          <w:lang w:val="es-ES_tradnl"/>
        </w:rPr>
        <w:t xml:space="preserve"> independiente</w:t>
      </w:r>
      <w:r w:rsidR="0011166B" w:rsidRPr="00153074">
        <w:rPr>
          <w:lang w:val="es-ES_tradnl"/>
        </w:rPr>
        <w:t>. L</w:t>
      </w:r>
      <w:r w:rsidR="00EE7019" w:rsidRPr="00153074">
        <w:rPr>
          <w:lang w:val="es-ES_tradnl"/>
        </w:rPr>
        <w:t xml:space="preserve">a Alianza de </w:t>
      </w:r>
      <w:r w:rsidR="002D148A" w:rsidRPr="00153074">
        <w:rPr>
          <w:lang w:val="es-ES_tradnl"/>
        </w:rPr>
        <w:t xml:space="preserve">Busan </w:t>
      </w:r>
      <w:r w:rsidR="00EE7019" w:rsidRPr="00153074">
        <w:rPr>
          <w:lang w:val="es-ES_tradnl"/>
        </w:rPr>
        <w:t xml:space="preserve">y el Proceso del </w:t>
      </w:r>
      <w:r w:rsidR="002533F6" w:rsidRPr="00153074">
        <w:rPr>
          <w:lang w:val="es-ES_tradnl"/>
        </w:rPr>
        <w:t>G20</w:t>
      </w:r>
      <w:r w:rsidR="00C131CE" w:rsidRPr="00153074">
        <w:rPr>
          <w:lang w:val="es-ES_tradnl"/>
        </w:rPr>
        <w:t xml:space="preserve"> son los </w:t>
      </w:r>
      <w:r w:rsidR="0011166B" w:rsidRPr="00153074">
        <w:rPr>
          <w:lang w:val="es-ES_tradnl"/>
        </w:rPr>
        <w:t>más destacados, y t</w:t>
      </w:r>
      <w:r w:rsidR="00C131CE" w:rsidRPr="00153074">
        <w:rPr>
          <w:lang w:val="es-ES_tradnl"/>
        </w:rPr>
        <w:t xml:space="preserve">ienen </w:t>
      </w:r>
      <w:r w:rsidR="00EA1FF1" w:rsidRPr="00153074">
        <w:rPr>
          <w:lang w:val="es-ES_tradnl"/>
        </w:rPr>
        <w:t xml:space="preserve">varias características </w:t>
      </w:r>
      <w:r w:rsidR="00C131CE" w:rsidRPr="00153074">
        <w:rPr>
          <w:lang w:val="es-ES_tradnl"/>
        </w:rPr>
        <w:t>en común</w:t>
      </w:r>
      <w:r w:rsidR="007F547E" w:rsidRPr="00153074">
        <w:rPr>
          <w:lang w:val="es-ES_tradnl"/>
        </w:rPr>
        <w:t>:</w:t>
      </w:r>
    </w:p>
    <w:p w:rsidR="007F547E" w:rsidRPr="00153074" w:rsidRDefault="00322EF8" w:rsidP="008D3287">
      <w:pPr>
        <w:numPr>
          <w:ilvl w:val="0"/>
          <w:numId w:val="33"/>
        </w:numPr>
        <w:rPr>
          <w:lang w:val="es-ES_tradnl"/>
        </w:rPr>
      </w:pPr>
      <w:r w:rsidRPr="00153074">
        <w:rPr>
          <w:lang w:val="es-ES_tradnl"/>
        </w:rPr>
        <w:t>el</w:t>
      </w:r>
      <w:r w:rsidR="001207DF" w:rsidRPr="00153074">
        <w:rPr>
          <w:lang w:val="es-ES_tradnl"/>
        </w:rPr>
        <w:t xml:space="preserve"> </w:t>
      </w:r>
      <w:r w:rsidR="001306E9" w:rsidRPr="00153074">
        <w:rPr>
          <w:lang w:val="es-ES_tradnl"/>
        </w:rPr>
        <w:t xml:space="preserve">apoyo y </w:t>
      </w:r>
      <w:r w:rsidR="001207DF" w:rsidRPr="00153074">
        <w:rPr>
          <w:lang w:val="es-ES_tradnl"/>
        </w:rPr>
        <w:t>promoción activos y muy poco críticos</w:t>
      </w:r>
      <w:r w:rsidR="001306E9" w:rsidRPr="00153074">
        <w:rPr>
          <w:lang w:val="es-ES_tradnl"/>
        </w:rPr>
        <w:t xml:space="preserve"> de las </w:t>
      </w:r>
      <w:r w:rsidR="007D1F82" w:rsidRPr="00153074">
        <w:rPr>
          <w:lang w:val="es-ES_tradnl"/>
        </w:rPr>
        <w:t>asociaciones</w:t>
      </w:r>
      <w:r w:rsidR="001306E9" w:rsidRPr="00153074">
        <w:rPr>
          <w:lang w:val="es-ES_tradnl"/>
        </w:rPr>
        <w:t xml:space="preserve"> público-privadas – a diferencia de la contratación pública</w:t>
      </w:r>
      <w:r w:rsidR="002533F6" w:rsidRPr="00153074">
        <w:rPr>
          <w:lang w:val="es-ES_tradnl"/>
        </w:rPr>
        <w:t xml:space="preserve"> </w:t>
      </w:r>
      <w:r w:rsidR="001306E9" w:rsidRPr="00153074">
        <w:rPr>
          <w:lang w:val="es-ES_tradnl"/>
        </w:rPr>
        <w:t>y los servicios públicos</w:t>
      </w:r>
      <w:r w:rsidR="007F547E" w:rsidRPr="00153074">
        <w:rPr>
          <w:lang w:val="es-ES_tradnl"/>
        </w:rPr>
        <w:t>;</w:t>
      </w:r>
    </w:p>
    <w:p w:rsidR="002D148A" w:rsidRPr="00153074" w:rsidRDefault="00E548AF" w:rsidP="008D3287">
      <w:pPr>
        <w:numPr>
          <w:ilvl w:val="0"/>
          <w:numId w:val="33"/>
        </w:numPr>
        <w:rPr>
          <w:lang w:val="es-ES_tradnl"/>
        </w:rPr>
      </w:pPr>
      <w:r w:rsidRPr="00153074">
        <w:rPr>
          <w:lang w:val="es-ES_tradnl"/>
        </w:rPr>
        <w:t xml:space="preserve">el reconocimiento de </w:t>
      </w:r>
      <w:r w:rsidR="00994880" w:rsidRPr="00153074">
        <w:rPr>
          <w:lang w:val="es-ES_tradnl"/>
        </w:rPr>
        <w:t xml:space="preserve">los </w:t>
      </w:r>
      <w:r w:rsidRPr="00153074">
        <w:rPr>
          <w:lang w:val="es-ES_tradnl"/>
        </w:rPr>
        <w:t xml:space="preserve">grupos empresariales como un asociado clave, o incluso </w:t>
      </w:r>
      <w:r w:rsidR="002A7792" w:rsidRPr="00153074">
        <w:rPr>
          <w:lang w:val="es-ES_tradnl"/>
        </w:rPr>
        <w:t>“</w:t>
      </w:r>
      <w:r w:rsidRPr="00153074">
        <w:rPr>
          <w:lang w:val="es-ES_tradnl"/>
        </w:rPr>
        <w:t>en pie de igualdad</w:t>
      </w:r>
      <w:r w:rsidR="002A7792" w:rsidRPr="00153074">
        <w:rPr>
          <w:lang w:val="es-ES_tradnl"/>
        </w:rPr>
        <w:t>”</w:t>
      </w:r>
      <w:r w:rsidR="007D1F82" w:rsidRPr="00153074">
        <w:rPr>
          <w:lang w:val="es-ES_tradnl"/>
        </w:rPr>
        <w:t>,</w:t>
      </w:r>
      <w:r w:rsidRPr="00153074">
        <w:rPr>
          <w:lang w:val="es-ES_tradnl"/>
        </w:rPr>
        <w:t xml:space="preserve"> en la promoción de políticas</w:t>
      </w:r>
      <w:r w:rsidR="00315F56" w:rsidRPr="00153074">
        <w:rPr>
          <w:lang w:val="es-ES_tradnl"/>
        </w:rPr>
        <w:t>;</w:t>
      </w:r>
    </w:p>
    <w:p w:rsidR="007F547E" w:rsidRPr="00153074" w:rsidRDefault="00994880" w:rsidP="008D3287">
      <w:pPr>
        <w:numPr>
          <w:ilvl w:val="0"/>
          <w:numId w:val="33"/>
        </w:numPr>
        <w:rPr>
          <w:lang w:val="es-ES_tradnl"/>
        </w:rPr>
      </w:pPr>
      <w:r w:rsidRPr="00153074">
        <w:rPr>
          <w:lang w:val="es-ES_tradnl"/>
        </w:rPr>
        <w:t>l</w:t>
      </w:r>
      <w:r w:rsidR="00A607CF" w:rsidRPr="00153074">
        <w:rPr>
          <w:lang w:val="es-ES_tradnl"/>
        </w:rPr>
        <w:t xml:space="preserve">a necesidad de </w:t>
      </w:r>
      <w:r w:rsidR="00EA1FF1" w:rsidRPr="00153074">
        <w:rPr>
          <w:lang w:val="es-ES_tradnl"/>
        </w:rPr>
        <w:t>modificar</w:t>
      </w:r>
      <w:r w:rsidR="00A607CF" w:rsidRPr="00153074">
        <w:rPr>
          <w:lang w:val="es-ES_tradnl"/>
        </w:rPr>
        <w:t xml:space="preserve"> el </w:t>
      </w:r>
      <w:r w:rsidR="002A7792" w:rsidRPr="00153074">
        <w:rPr>
          <w:lang w:val="es-ES_tradnl"/>
        </w:rPr>
        <w:t>“</w:t>
      </w:r>
      <w:r w:rsidR="00A607CF" w:rsidRPr="00153074">
        <w:rPr>
          <w:lang w:val="es-ES_tradnl"/>
        </w:rPr>
        <w:t>modelo empresarial</w:t>
      </w:r>
      <w:r w:rsidR="002A7792" w:rsidRPr="00153074">
        <w:rPr>
          <w:lang w:val="es-ES_tradnl"/>
        </w:rPr>
        <w:t>”</w:t>
      </w:r>
      <w:r w:rsidR="00A607CF" w:rsidRPr="00153074">
        <w:rPr>
          <w:lang w:val="es-ES_tradnl"/>
        </w:rPr>
        <w:t xml:space="preserve"> del Banco Mundial </w:t>
      </w:r>
      <w:r w:rsidR="007C1F8D" w:rsidRPr="00153074">
        <w:rPr>
          <w:lang w:val="es-ES_tradnl"/>
        </w:rPr>
        <w:t xml:space="preserve">y de los bancos regionales de desarrollo </w:t>
      </w:r>
      <w:r w:rsidRPr="00153074">
        <w:rPr>
          <w:lang w:val="es-ES_tradnl"/>
        </w:rPr>
        <w:t xml:space="preserve">de </w:t>
      </w:r>
      <w:r w:rsidR="00EA1FF1" w:rsidRPr="00153074">
        <w:rPr>
          <w:lang w:val="es-ES_tradnl"/>
        </w:rPr>
        <w:t>forma</w:t>
      </w:r>
      <w:r w:rsidRPr="00153074">
        <w:rPr>
          <w:lang w:val="es-ES_tradnl"/>
        </w:rPr>
        <w:t xml:space="preserve"> que se organicen y</w:t>
      </w:r>
      <w:r w:rsidR="007C1F8D" w:rsidRPr="00153074">
        <w:rPr>
          <w:lang w:val="es-ES_tradnl"/>
        </w:rPr>
        <w:t xml:space="preserve"> </w:t>
      </w:r>
      <w:r w:rsidR="00EA1FF1" w:rsidRPr="00153074">
        <w:rPr>
          <w:lang w:val="es-ES_tradnl"/>
        </w:rPr>
        <w:t xml:space="preserve">se </w:t>
      </w:r>
      <w:r w:rsidR="007C1F8D" w:rsidRPr="00153074">
        <w:rPr>
          <w:lang w:val="es-ES_tradnl"/>
        </w:rPr>
        <w:t>comporten como bancos de inversión del sector privado</w:t>
      </w:r>
      <w:r w:rsidR="007F547E" w:rsidRPr="00153074">
        <w:rPr>
          <w:lang w:val="es-ES_tradnl"/>
        </w:rPr>
        <w:t>;</w:t>
      </w:r>
    </w:p>
    <w:p w:rsidR="002D148A" w:rsidRPr="00153074" w:rsidRDefault="00322EF8" w:rsidP="008D3287">
      <w:pPr>
        <w:numPr>
          <w:ilvl w:val="0"/>
          <w:numId w:val="33"/>
        </w:numPr>
        <w:rPr>
          <w:lang w:val="es-ES_tradnl"/>
        </w:rPr>
      </w:pPr>
      <w:r w:rsidRPr="00153074">
        <w:rPr>
          <w:lang w:val="es-ES_tradnl"/>
        </w:rPr>
        <w:t xml:space="preserve">dar prioridad a </w:t>
      </w:r>
      <w:r w:rsidR="00B633B4" w:rsidRPr="00153074">
        <w:rPr>
          <w:lang w:val="es-ES_tradnl"/>
        </w:rPr>
        <w:t xml:space="preserve">mejorar el </w:t>
      </w:r>
      <w:r w:rsidR="002A7792" w:rsidRPr="00153074">
        <w:rPr>
          <w:lang w:val="es-ES_tradnl"/>
        </w:rPr>
        <w:t>“</w:t>
      </w:r>
      <w:r w:rsidR="00B633B4" w:rsidRPr="00153074">
        <w:rPr>
          <w:lang w:val="es-ES_tradnl"/>
        </w:rPr>
        <w:t>clima empresarial</w:t>
      </w:r>
      <w:r w:rsidR="002A7792" w:rsidRPr="00153074">
        <w:rPr>
          <w:lang w:val="es-ES_tradnl"/>
        </w:rPr>
        <w:t>”</w:t>
      </w:r>
      <w:r w:rsidR="00CD568C" w:rsidRPr="00153074">
        <w:rPr>
          <w:lang w:val="es-ES_tradnl"/>
        </w:rPr>
        <w:t xml:space="preserve"> </w:t>
      </w:r>
      <w:r w:rsidR="00452CF2" w:rsidRPr="00153074">
        <w:rPr>
          <w:lang w:val="es-ES_tradnl"/>
        </w:rPr>
        <w:t xml:space="preserve">sin ninguna o </w:t>
      </w:r>
      <w:r w:rsidR="00EA2AB4" w:rsidRPr="00153074">
        <w:rPr>
          <w:lang w:val="es-ES_tradnl"/>
        </w:rPr>
        <w:t>con escasa</w:t>
      </w:r>
      <w:r w:rsidR="00452CF2" w:rsidRPr="00153074">
        <w:rPr>
          <w:lang w:val="es-ES_tradnl"/>
        </w:rPr>
        <w:t xml:space="preserve"> aceptación por el cumplimiento efectivo de los derechos de otras partes interesadas, como por ejemplo los </w:t>
      </w:r>
      <w:r w:rsidR="00670112" w:rsidRPr="00153074">
        <w:rPr>
          <w:lang w:val="es-ES_tradnl"/>
        </w:rPr>
        <w:t xml:space="preserve">derechos consagrados </w:t>
      </w:r>
      <w:r w:rsidR="00452CF2" w:rsidRPr="00153074">
        <w:rPr>
          <w:lang w:val="es-ES_tradnl"/>
        </w:rPr>
        <w:t>en las normas fundamentales de</w:t>
      </w:r>
      <w:r w:rsidR="00670112" w:rsidRPr="00153074">
        <w:rPr>
          <w:lang w:val="es-ES_tradnl"/>
        </w:rPr>
        <w:t>l</w:t>
      </w:r>
      <w:r w:rsidR="00452CF2" w:rsidRPr="00153074">
        <w:rPr>
          <w:lang w:val="es-ES_tradnl"/>
        </w:rPr>
        <w:t xml:space="preserve"> trabajo de la OIT</w:t>
      </w:r>
      <w:r w:rsidR="00315F56" w:rsidRPr="00153074">
        <w:rPr>
          <w:lang w:val="es-ES_tradnl"/>
        </w:rPr>
        <w:t xml:space="preserve">. </w:t>
      </w:r>
    </w:p>
    <w:p w:rsidR="00315F56" w:rsidRPr="00153074" w:rsidRDefault="00315F56" w:rsidP="008D3287">
      <w:pPr>
        <w:rPr>
          <w:lang w:val="es-ES_tradnl"/>
        </w:rPr>
      </w:pPr>
    </w:p>
    <w:p w:rsidR="00153074" w:rsidRPr="00153074" w:rsidRDefault="00334AF8" w:rsidP="008D3287">
      <w:pPr>
        <w:rPr>
          <w:lang w:val="es-ES_tradnl"/>
        </w:rPr>
      </w:pPr>
      <w:r w:rsidRPr="00153074">
        <w:rPr>
          <w:lang w:val="es-ES_tradnl"/>
        </w:rPr>
        <w:t xml:space="preserve">¿Cuáles son </w:t>
      </w:r>
      <w:r w:rsidR="00D6496A" w:rsidRPr="00153074">
        <w:rPr>
          <w:lang w:val="es-ES_tradnl"/>
        </w:rPr>
        <w:t>las clave</w:t>
      </w:r>
      <w:r w:rsidRPr="00153074">
        <w:rPr>
          <w:lang w:val="es-ES_tradnl"/>
        </w:rPr>
        <w:t>s para el programa del SPD?</w:t>
      </w:r>
      <w:r w:rsidR="00315F56" w:rsidRPr="00153074">
        <w:rPr>
          <w:lang w:val="es-ES_tradnl"/>
        </w:rPr>
        <w:t xml:space="preserve"> </w:t>
      </w:r>
    </w:p>
    <w:p w:rsidR="00153074" w:rsidRPr="00153074" w:rsidRDefault="00153074" w:rsidP="008D3287">
      <w:pPr>
        <w:rPr>
          <w:lang w:val="es-ES_tradnl"/>
        </w:rPr>
      </w:pPr>
    </w:p>
    <w:p w:rsidR="00153074" w:rsidRDefault="00153074" w:rsidP="008D3287">
      <w:pPr>
        <w:rPr>
          <w:lang w:val="es-ES_tradnl"/>
        </w:rPr>
      </w:pPr>
      <w:r w:rsidRPr="00153074">
        <w:rPr>
          <w:lang w:val="es-ES_tradnl"/>
        </w:rPr>
        <w:t xml:space="preserve">Quizás el factor </w:t>
      </w:r>
      <w:r>
        <w:rPr>
          <w:lang w:val="es-ES_tradnl"/>
        </w:rPr>
        <w:t>‘</w:t>
      </w:r>
      <w:r w:rsidRPr="00153074">
        <w:rPr>
          <w:lang w:val="es-ES_tradnl"/>
        </w:rPr>
        <w:t>propulsor</w:t>
      </w:r>
      <w:r>
        <w:rPr>
          <w:lang w:val="es-ES_tradnl"/>
        </w:rPr>
        <w:t>’</w:t>
      </w:r>
      <w:r w:rsidRPr="00153074">
        <w:rPr>
          <w:lang w:val="es-ES_tradnl"/>
        </w:rPr>
        <w:t xml:space="preserve"> más poderoso que explica el creciente interés en el papel del sector privado en los ámbitos del desarrollo sea la oportunidad de crear ayuda condicionada. Algunos donantes son de hecho muy explícitos en cuanto al nexo que existe entre los esfuerzos en torno al sector privado y el condicionamiento de la ayuda, a pesar de que esta última vaya directamente en sentido contrario a los principios y compromisos acordados con arreglo al programa de la eficacia de la ayuda y desarrollo.</w:t>
      </w:r>
    </w:p>
    <w:p w:rsidR="00153074" w:rsidRDefault="00153074" w:rsidP="008D3287">
      <w:pPr>
        <w:rPr>
          <w:lang w:val="es-ES_tradnl"/>
        </w:rPr>
      </w:pPr>
    </w:p>
    <w:p w:rsidR="00153074" w:rsidRPr="00153074" w:rsidRDefault="00153074" w:rsidP="008D3287">
      <w:pPr>
        <w:rPr>
          <w:lang w:val="es-ES_tradnl"/>
        </w:rPr>
      </w:pPr>
      <w:r w:rsidRPr="00153074">
        <w:rPr>
          <w:lang w:val="es-ES_tradnl"/>
        </w:rPr>
        <w:t xml:space="preserve">Otro factor importante es la impresión de que el erario público se ha agotado o, más específicamente, que los flujos de la AOD están disminuyendo. En decir que a medida que se van </w:t>
      </w:r>
      <w:r w:rsidRPr="00153074">
        <w:rPr>
          <w:lang w:val="es-ES_tradnl"/>
        </w:rPr>
        <w:lastRenderedPageBreak/>
        <w:t>recortando los presupuestos públicos surge la necesidad de examinar formas alternativas de financiación al desarrollo o, en el caso que nos ocupa, de financiación del sector privado.</w:t>
      </w:r>
    </w:p>
    <w:p w:rsidR="00153074" w:rsidRPr="00153074" w:rsidRDefault="00153074" w:rsidP="00153074">
      <w:pPr>
        <w:rPr>
          <w:lang w:val="es-ES_tradnl"/>
        </w:rPr>
      </w:pPr>
    </w:p>
    <w:p w:rsidR="004C0193" w:rsidRDefault="00423A72" w:rsidP="008D3287">
      <w:pPr>
        <w:rPr>
          <w:lang w:val="es-ES_tradnl"/>
        </w:rPr>
      </w:pPr>
      <w:r w:rsidRPr="00153074">
        <w:rPr>
          <w:lang w:val="es-ES_tradnl"/>
        </w:rPr>
        <w:t xml:space="preserve">Clave en esta línea de </w:t>
      </w:r>
      <w:r w:rsidR="0014211D" w:rsidRPr="00153074">
        <w:rPr>
          <w:lang w:val="es-ES_tradnl"/>
        </w:rPr>
        <w:t>pensamiento son los conceptos</w:t>
      </w:r>
      <w:r w:rsidRPr="00153074">
        <w:rPr>
          <w:lang w:val="es-ES_tradnl"/>
        </w:rPr>
        <w:t xml:space="preserve"> </w:t>
      </w:r>
      <w:r w:rsidR="00173515" w:rsidRPr="00153074">
        <w:rPr>
          <w:lang w:val="es-ES_tradnl"/>
        </w:rPr>
        <w:t xml:space="preserve">de </w:t>
      </w:r>
      <w:r w:rsidR="002A7792" w:rsidRPr="00153074">
        <w:rPr>
          <w:lang w:val="es-ES_tradnl"/>
        </w:rPr>
        <w:t>“</w:t>
      </w:r>
      <w:r w:rsidR="00173515" w:rsidRPr="00153074">
        <w:rPr>
          <w:lang w:val="es-ES_tradnl"/>
        </w:rPr>
        <w:t>rentabilidad</w:t>
      </w:r>
      <w:r w:rsidR="002A7792" w:rsidRPr="00153074">
        <w:rPr>
          <w:lang w:val="es-ES_tradnl"/>
        </w:rPr>
        <w:t>”</w:t>
      </w:r>
      <w:r w:rsidRPr="00153074">
        <w:rPr>
          <w:lang w:val="es-ES_tradnl"/>
        </w:rPr>
        <w:t xml:space="preserve"> y </w:t>
      </w:r>
      <w:r w:rsidR="00173515" w:rsidRPr="00153074">
        <w:rPr>
          <w:lang w:val="es-ES_tradnl"/>
        </w:rPr>
        <w:t xml:space="preserve">de </w:t>
      </w:r>
      <w:r w:rsidR="002A7792" w:rsidRPr="00153074">
        <w:rPr>
          <w:lang w:val="es-ES_tradnl"/>
        </w:rPr>
        <w:t>“</w:t>
      </w:r>
      <w:r w:rsidR="001B1806" w:rsidRPr="00153074">
        <w:rPr>
          <w:lang w:val="es-ES_tradnl"/>
        </w:rPr>
        <w:t>apalancamiento</w:t>
      </w:r>
      <w:r w:rsidR="002A7792" w:rsidRPr="00153074">
        <w:rPr>
          <w:lang w:val="es-ES_tradnl"/>
        </w:rPr>
        <w:t>”</w:t>
      </w:r>
      <w:r w:rsidR="0014211D" w:rsidRPr="00153074">
        <w:rPr>
          <w:lang w:val="es-ES_tradnl"/>
        </w:rPr>
        <w:t xml:space="preserve"> de </w:t>
      </w:r>
      <w:r w:rsidR="00426A12" w:rsidRPr="00153074">
        <w:rPr>
          <w:lang w:val="es-ES_tradnl"/>
        </w:rPr>
        <w:t xml:space="preserve">las </w:t>
      </w:r>
      <w:r w:rsidRPr="00153074">
        <w:rPr>
          <w:lang w:val="es-ES_tradnl"/>
        </w:rPr>
        <w:t xml:space="preserve">finanzas privadas </w:t>
      </w:r>
      <w:r w:rsidR="00C82682" w:rsidRPr="00153074">
        <w:rPr>
          <w:lang w:val="es-ES_tradnl"/>
        </w:rPr>
        <w:t>a través del</w:t>
      </w:r>
      <w:r w:rsidRPr="00153074">
        <w:rPr>
          <w:lang w:val="es-ES_tradnl"/>
        </w:rPr>
        <w:t xml:space="preserve"> apoyo público</w:t>
      </w:r>
      <w:r w:rsidR="0014211D" w:rsidRPr="00153074">
        <w:rPr>
          <w:lang w:val="es-ES_tradnl"/>
        </w:rPr>
        <w:t xml:space="preserve">. </w:t>
      </w:r>
      <w:r w:rsidR="00426A12" w:rsidRPr="00153074">
        <w:rPr>
          <w:lang w:val="es-ES_tradnl"/>
        </w:rPr>
        <w:t xml:space="preserve">Pero se trata de </w:t>
      </w:r>
      <w:r w:rsidR="0014211D" w:rsidRPr="00153074">
        <w:rPr>
          <w:lang w:val="es-ES_tradnl"/>
        </w:rPr>
        <w:t>conceptos</w:t>
      </w:r>
      <w:r w:rsidR="00426A12" w:rsidRPr="00153074">
        <w:rPr>
          <w:lang w:val="es-ES_tradnl"/>
        </w:rPr>
        <w:t xml:space="preserve"> que</w:t>
      </w:r>
      <w:r w:rsidR="0014211D" w:rsidRPr="00153074">
        <w:rPr>
          <w:lang w:val="es-ES_tradnl"/>
        </w:rPr>
        <w:t xml:space="preserve"> están mal definidos y </w:t>
      </w:r>
      <w:r w:rsidR="00426A12" w:rsidRPr="00153074">
        <w:rPr>
          <w:lang w:val="es-ES_tradnl"/>
        </w:rPr>
        <w:t xml:space="preserve">que </w:t>
      </w:r>
      <w:r w:rsidR="0014211D" w:rsidRPr="00153074">
        <w:rPr>
          <w:lang w:val="es-ES_tradnl"/>
        </w:rPr>
        <w:t xml:space="preserve">resultan problemáticos. Es importante señalar que la ayuda condicionada parece ser </w:t>
      </w:r>
      <w:r w:rsidR="000C198D" w:rsidRPr="00153074">
        <w:rPr>
          <w:lang w:val="es-ES_tradnl"/>
        </w:rPr>
        <w:t xml:space="preserve">un </w:t>
      </w:r>
      <w:r w:rsidR="0014211D" w:rsidRPr="00153074">
        <w:rPr>
          <w:lang w:val="es-ES_tradnl"/>
        </w:rPr>
        <w:t>fuerte motivo subyacente para las iniciativas del SPD</w:t>
      </w:r>
      <w:r w:rsidR="002D148A" w:rsidRPr="00153074">
        <w:rPr>
          <w:lang w:val="es-ES_tradnl"/>
        </w:rPr>
        <w:t>.</w:t>
      </w:r>
    </w:p>
    <w:p w:rsidR="004C0193" w:rsidRDefault="004C0193" w:rsidP="008D3287">
      <w:pPr>
        <w:rPr>
          <w:lang w:val="es-ES_tradnl"/>
        </w:rPr>
      </w:pPr>
    </w:p>
    <w:p w:rsidR="002D148A" w:rsidRPr="00153074" w:rsidRDefault="004C0193" w:rsidP="008D3287">
      <w:pPr>
        <w:rPr>
          <w:lang w:val="es-ES_tradnl"/>
        </w:rPr>
      </w:pPr>
      <w:r w:rsidRPr="004C0193">
        <w:rPr>
          <w:lang w:val="es-ES_tradnl"/>
        </w:rPr>
        <w:t xml:space="preserve">Finalmente, el SPD puede basarse en los fundamentos económicos de algunos Gobiernos y responsables políticos, que sostienen la creencia común de que el mercado, y por tanto el sector privado, simplemente “lo hace mejor”. </w:t>
      </w:r>
      <w:r w:rsidR="002D148A" w:rsidRPr="00153074">
        <w:rPr>
          <w:lang w:val="es-ES_tradnl"/>
        </w:rPr>
        <w:t xml:space="preserve"> </w:t>
      </w:r>
    </w:p>
    <w:p w:rsidR="002D148A" w:rsidRPr="00153074" w:rsidRDefault="002D148A" w:rsidP="008D3287">
      <w:pPr>
        <w:rPr>
          <w:lang w:val="es-ES_tradnl"/>
        </w:rPr>
      </w:pPr>
    </w:p>
    <w:p w:rsidR="002D148A" w:rsidRPr="00153074" w:rsidRDefault="00D0143A" w:rsidP="008D3287">
      <w:pPr>
        <w:rPr>
          <w:lang w:val="es-ES_tradnl"/>
        </w:rPr>
      </w:pPr>
      <w:r w:rsidRPr="00153074">
        <w:rPr>
          <w:lang w:val="es-ES_tradnl"/>
        </w:rPr>
        <w:t>Por el lado de las empresas, el programa del SP</w:t>
      </w:r>
      <w:r w:rsidR="000F761E" w:rsidRPr="00153074">
        <w:rPr>
          <w:lang w:val="es-ES_tradnl"/>
        </w:rPr>
        <w:t>D</w:t>
      </w:r>
      <w:r w:rsidRPr="00153074">
        <w:rPr>
          <w:lang w:val="es-ES_tradnl"/>
        </w:rPr>
        <w:t xml:space="preserve"> </w:t>
      </w:r>
      <w:r w:rsidR="00C30524" w:rsidRPr="00153074">
        <w:rPr>
          <w:lang w:val="es-ES_tradnl"/>
        </w:rPr>
        <w:t>genera</w:t>
      </w:r>
      <w:r w:rsidRPr="00153074">
        <w:rPr>
          <w:lang w:val="es-ES_tradnl"/>
        </w:rPr>
        <w:t xml:space="preserve"> oportunidades para que las multinacionales </w:t>
      </w:r>
      <w:r w:rsidR="0018340A" w:rsidRPr="00153074">
        <w:rPr>
          <w:lang w:val="es-ES_tradnl"/>
        </w:rPr>
        <w:t>establecidas en</w:t>
      </w:r>
      <w:r w:rsidRPr="00153074">
        <w:rPr>
          <w:lang w:val="es-ES_tradnl"/>
        </w:rPr>
        <w:t xml:space="preserve"> la OCDE</w:t>
      </w:r>
      <w:r w:rsidR="00315F56" w:rsidRPr="00153074">
        <w:rPr>
          <w:lang w:val="es-ES_tradnl"/>
        </w:rPr>
        <w:t xml:space="preserve"> </w:t>
      </w:r>
      <w:r w:rsidR="00C30524" w:rsidRPr="00153074">
        <w:rPr>
          <w:lang w:val="es-ES_tradnl"/>
        </w:rPr>
        <w:t>dispongan de un mejor acceso</w:t>
      </w:r>
      <w:r w:rsidRPr="00153074">
        <w:rPr>
          <w:lang w:val="es-ES_tradnl"/>
        </w:rPr>
        <w:t xml:space="preserve"> a los mercados, </w:t>
      </w:r>
      <w:r w:rsidR="00C30524" w:rsidRPr="00153074">
        <w:rPr>
          <w:lang w:val="es-ES_tradnl"/>
        </w:rPr>
        <w:t xml:space="preserve">así como acceso </w:t>
      </w:r>
      <w:r w:rsidRPr="00153074">
        <w:rPr>
          <w:lang w:val="es-ES_tradnl"/>
        </w:rPr>
        <w:t xml:space="preserve">a los responsables políticos. </w:t>
      </w:r>
      <w:r w:rsidR="00931AE0" w:rsidRPr="00153074">
        <w:rPr>
          <w:lang w:val="es-ES_tradnl"/>
        </w:rPr>
        <w:t xml:space="preserve">El auge del programa de </w:t>
      </w:r>
      <w:r w:rsidR="002A7792" w:rsidRPr="00153074">
        <w:rPr>
          <w:lang w:val="es-ES_tradnl"/>
        </w:rPr>
        <w:t>“</w:t>
      </w:r>
      <w:r w:rsidR="009A6A82" w:rsidRPr="00153074">
        <w:rPr>
          <w:lang w:val="es-ES_tradnl"/>
        </w:rPr>
        <w:t>negocio inclusivo</w:t>
      </w:r>
      <w:r w:rsidR="002A7792" w:rsidRPr="00153074">
        <w:rPr>
          <w:lang w:val="es-ES_tradnl"/>
        </w:rPr>
        <w:t>”</w:t>
      </w:r>
      <w:r w:rsidR="00931AE0" w:rsidRPr="00153074">
        <w:rPr>
          <w:lang w:val="es-ES_tradnl"/>
        </w:rPr>
        <w:t>, que cuenta con el apoyo activo del</w:t>
      </w:r>
      <w:r w:rsidR="00A607CF" w:rsidRPr="00153074">
        <w:rPr>
          <w:lang w:val="es-ES_tradnl"/>
        </w:rPr>
        <w:t xml:space="preserve"> Banco Mundial</w:t>
      </w:r>
      <w:r w:rsidR="0060155D" w:rsidRPr="00153074">
        <w:rPr>
          <w:lang w:val="es-ES_tradnl"/>
        </w:rPr>
        <w:t>, da</w:t>
      </w:r>
      <w:r w:rsidR="00931AE0" w:rsidRPr="00153074">
        <w:rPr>
          <w:lang w:val="es-ES_tradnl"/>
        </w:rPr>
        <w:t xml:space="preserve"> testimonio</w:t>
      </w:r>
      <w:r w:rsidR="009A6A82" w:rsidRPr="00153074">
        <w:rPr>
          <w:lang w:val="es-ES_tradnl"/>
        </w:rPr>
        <w:t xml:space="preserve"> de es</w:t>
      </w:r>
      <w:r w:rsidR="006B1A4D" w:rsidRPr="00153074">
        <w:rPr>
          <w:lang w:val="es-ES_tradnl"/>
        </w:rPr>
        <w:t>t</w:t>
      </w:r>
      <w:r w:rsidR="009A6A82" w:rsidRPr="00153074">
        <w:rPr>
          <w:lang w:val="es-ES_tradnl"/>
        </w:rPr>
        <w:t xml:space="preserve">a tendencia. </w:t>
      </w:r>
      <w:r w:rsidR="006B1A4D" w:rsidRPr="00153074">
        <w:rPr>
          <w:lang w:val="es-ES_tradnl"/>
        </w:rPr>
        <w:t>E</w:t>
      </w:r>
      <w:r w:rsidR="00902AC7" w:rsidRPr="00153074">
        <w:rPr>
          <w:lang w:val="es-ES_tradnl"/>
        </w:rPr>
        <w:t>l negocio inclusivo consiste</w:t>
      </w:r>
      <w:r w:rsidR="006B1A4D" w:rsidRPr="00153074">
        <w:rPr>
          <w:lang w:val="es-ES_tradnl"/>
        </w:rPr>
        <w:t xml:space="preserve"> básicamente </w:t>
      </w:r>
      <w:r w:rsidR="00902AC7" w:rsidRPr="00153074">
        <w:rPr>
          <w:lang w:val="es-ES_tradnl"/>
        </w:rPr>
        <w:t xml:space="preserve">en </w:t>
      </w:r>
      <w:r w:rsidR="00C41AEC" w:rsidRPr="00153074">
        <w:rPr>
          <w:lang w:val="es-ES_tradnl"/>
        </w:rPr>
        <w:t>incorporar</w:t>
      </w:r>
      <w:r w:rsidR="005F1EB9" w:rsidRPr="00153074">
        <w:rPr>
          <w:lang w:val="es-ES_tradnl"/>
        </w:rPr>
        <w:t xml:space="preserve"> las</w:t>
      </w:r>
      <w:r w:rsidR="00902AC7" w:rsidRPr="00153074">
        <w:rPr>
          <w:lang w:val="es-ES_tradnl"/>
        </w:rPr>
        <w:t xml:space="preserve"> oportunidades </w:t>
      </w:r>
      <w:r w:rsidR="006B1A4D" w:rsidRPr="00153074">
        <w:rPr>
          <w:lang w:val="es-ES_tradnl"/>
        </w:rPr>
        <w:t>empresariales que ofrecen</w:t>
      </w:r>
      <w:r w:rsidR="005F1EB9" w:rsidRPr="00153074">
        <w:rPr>
          <w:lang w:val="es-ES_tradnl"/>
        </w:rPr>
        <w:t xml:space="preserve"> los pobres que ocupan la </w:t>
      </w:r>
      <w:r w:rsidR="002A7792" w:rsidRPr="00153074">
        <w:rPr>
          <w:lang w:val="es-ES_tradnl"/>
        </w:rPr>
        <w:t>“</w:t>
      </w:r>
      <w:r w:rsidR="005F1EB9" w:rsidRPr="00153074">
        <w:rPr>
          <w:lang w:val="es-ES_tradnl"/>
        </w:rPr>
        <w:t>base de la pirámide</w:t>
      </w:r>
      <w:r w:rsidR="002A7792" w:rsidRPr="00153074">
        <w:rPr>
          <w:lang w:val="es-ES_tradnl"/>
        </w:rPr>
        <w:t>”</w:t>
      </w:r>
      <w:r w:rsidR="006B1A4D" w:rsidRPr="00153074">
        <w:rPr>
          <w:lang w:val="es-ES_tradnl"/>
        </w:rPr>
        <w:t>,</w:t>
      </w:r>
      <w:r w:rsidR="005F1EB9" w:rsidRPr="00153074">
        <w:rPr>
          <w:lang w:val="es-ES_tradnl"/>
        </w:rPr>
        <w:t xml:space="preserve"> </w:t>
      </w:r>
      <w:r w:rsidR="006B1A4D" w:rsidRPr="00153074">
        <w:rPr>
          <w:lang w:val="es-ES_tradnl"/>
        </w:rPr>
        <w:t>con el</w:t>
      </w:r>
      <w:r w:rsidR="005F1EB9" w:rsidRPr="00153074">
        <w:rPr>
          <w:lang w:val="es-ES_tradnl"/>
        </w:rPr>
        <w:t xml:space="preserve"> fin de transformar a estas personas en un </w:t>
      </w:r>
      <w:r w:rsidR="002A7792" w:rsidRPr="00153074">
        <w:rPr>
          <w:lang w:val="es-ES_tradnl"/>
        </w:rPr>
        <w:t>“</w:t>
      </w:r>
      <w:r w:rsidR="005F1EB9" w:rsidRPr="00153074">
        <w:rPr>
          <w:lang w:val="es-ES_tradnl"/>
        </w:rPr>
        <w:t>modelo empresarial</w:t>
      </w:r>
      <w:r w:rsidR="0060155D" w:rsidRPr="00153074">
        <w:rPr>
          <w:lang w:val="es-ES_tradnl"/>
        </w:rPr>
        <w:t xml:space="preserve"> económicamente rentable</w:t>
      </w:r>
      <w:r w:rsidR="002A7792" w:rsidRPr="00153074">
        <w:rPr>
          <w:lang w:val="es-ES_tradnl"/>
        </w:rPr>
        <w:t>”</w:t>
      </w:r>
      <w:r w:rsidR="0060155D" w:rsidRPr="00153074">
        <w:rPr>
          <w:lang w:val="es-ES_tradnl"/>
        </w:rPr>
        <w:t xml:space="preserve">. Los pobres son </w:t>
      </w:r>
      <w:r w:rsidR="006B1A4D" w:rsidRPr="00153074">
        <w:rPr>
          <w:lang w:val="es-ES_tradnl"/>
        </w:rPr>
        <w:t>caracterizados</w:t>
      </w:r>
      <w:r w:rsidR="0060155D" w:rsidRPr="00153074">
        <w:rPr>
          <w:lang w:val="es-ES_tradnl"/>
        </w:rPr>
        <w:t xml:space="preserve"> como consumidores y en ocasiones como empresarios o como </w:t>
      </w:r>
      <w:r w:rsidR="002A7792" w:rsidRPr="00153074">
        <w:rPr>
          <w:lang w:val="es-ES_tradnl"/>
        </w:rPr>
        <w:t>“</w:t>
      </w:r>
      <w:r w:rsidR="0060155D" w:rsidRPr="00153074">
        <w:rPr>
          <w:lang w:val="es-ES_tradnl"/>
        </w:rPr>
        <w:t>productores</w:t>
      </w:r>
      <w:r w:rsidR="002A7792" w:rsidRPr="00153074">
        <w:rPr>
          <w:lang w:val="es-ES_tradnl"/>
        </w:rPr>
        <w:t>”</w:t>
      </w:r>
      <w:r w:rsidR="0060155D" w:rsidRPr="00153074">
        <w:rPr>
          <w:lang w:val="es-ES_tradnl"/>
        </w:rPr>
        <w:t xml:space="preserve">, pero </w:t>
      </w:r>
      <w:r w:rsidR="000F761E" w:rsidRPr="00153074">
        <w:rPr>
          <w:lang w:val="es-ES_tradnl"/>
        </w:rPr>
        <w:t>rara vez</w:t>
      </w:r>
      <w:r w:rsidR="0060155D" w:rsidRPr="00153074">
        <w:rPr>
          <w:lang w:val="es-ES_tradnl"/>
        </w:rPr>
        <w:t xml:space="preserve"> como trabajadores o como empleados, y nunca como ciudadanos.</w:t>
      </w:r>
    </w:p>
    <w:p w:rsidR="002D148A" w:rsidRPr="00153074" w:rsidRDefault="002D148A" w:rsidP="008D3287">
      <w:pPr>
        <w:rPr>
          <w:lang w:val="es-ES_tradnl"/>
        </w:rPr>
      </w:pPr>
    </w:p>
    <w:p w:rsidR="009D7404" w:rsidRPr="00153074" w:rsidRDefault="009D7404" w:rsidP="008D3287">
      <w:pPr>
        <w:rPr>
          <w:lang w:val="es-ES_tradnl"/>
        </w:rPr>
      </w:pPr>
      <w:r w:rsidRPr="00153074">
        <w:rPr>
          <w:lang w:val="es-ES_tradnl"/>
        </w:rPr>
        <w:t xml:space="preserve">De manera más general, un </w:t>
      </w:r>
      <w:r w:rsidR="00C41AEC" w:rsidRPr="00153074">
        <w:rPr>
          <w:lang w:val="es-ES_tradnl"/>
        </w:rPr>
        <w:t>factor clave para</w:t>
      </w:r>
      <w:r w:rsidRPr="00153074">
        <w:rPr>
          <w:lang w:val="es-ES_tradnl"/>
        </w:rPr>
        <w:t xml:space="preserve"> las iniciativas de</w:t>
      </w:r>
      <w:r w:rsidR="00C41AEC" w:rsidRPr="00153074">
        <w:rPr>
          <w:lang w:val="es-ES_tradnl"/>
        </w:rPr>
        <w:t>l</w:t>
      </w:r>
      <w:r w:rsidRPr="00153074">
        <w:rPr>
          <w:lang w:val="es-ES_tradnl"/>
        </w:rPr>
        <w:t xml:space="preserve"> SP</w:t>
      </w:r>
      <w:r w:rsidR="00C31DDA" w:rsidRPr="00153074">
        <w:rPr>
          <w:lang w:val="es-ES_tradnl"/>
        </w:rPr>
        <w:t>D</w:t>
      </w:r>
      <w:r w:rsidRPr="00153074">
        <w:rPr>
          <w:lang w:val="es-ES_tradnl"/>
        </w:rPr>
        <w:t xml:space="preserve"> debería ser su rendimiento </w:t>
      </w:r>
      <w:r w:rsidR="00C41AEC" w:rsidRPr="00153074">
        <w:rPr>
          <w:lang w:val="es-ES_tradnl"/>
        </w:rPr>
        <w:t xml:space="preserve">supuestamente </w:t>
      </w:r>
      <w:r w:rsidRPr="00153074">
        <w:rPr>
          <w:lang w:val="es-ES_tradnl"/>
        </w:rPr>
        <w:t xml:space="preserve">superior </w:t>
      </w:r>
      <w:r w:rsidR="00C41AEC" w:rsidRPr="00153074">
        <w:rPr>
          <w:lang w:val="es-ES_tradnl"/>
        </w:rPr>
        <w:t>en la consecución de</w:t>
      </w:r>
      <w:r w:rsidRPr="00153074">
        <w:rPr>
          <w:lang w:val="es-ES_tradnl"/>
        </w:rPr>
        <w:t xml:space="preserve"> </w:t>
      </w:r>
      <w:r w:rsidR="00ED1161" w:rsidRPr="00153074">
        <w:rPr>
          <w:lang w:val="es-ES_tradnl"/>
        </w:rPr>
        <w:t xml:space="preserve">los </w:t>
      </w:r>
      <w:r w:rsidRPr="00153074">
        <w:rPr>
          <w:lang w:val="es-ES_tradnl"/>
        </w:rPr>
        <w:t xml:space="preserve">objetivos de desarrollo. Sin embargo, </w:t>
      </w:r>
      <w:r w:rsidR="00C41AEC" w:rsidRPr="00153074">
        <w:rPr>
          <w:lang w:val="es-ES_tradnl"/>
        </w:rPr>
        <w:t>eso sigue siendo</w:t>
      </w:r>
      <w:r w:rsidR="009D30BD" w:rsidRPr="00153074">
        <w:rPr>
          <w:lang w:val="es-ES_tradnl"/>
        </w:rPr>
        <w:t>,</w:t>
      </w:r>
      <w:r w:rsidR="00C41AEC" w:rsidRPr="00153074">
        <w:rPr>
          <w:lang w:val="es-ES_tradnl"/>
        </w:rPr>
        <w:t xml:space="preserve"> cuanto menos</w:t>
      </w:r>
      <w:r w:rsidR="009D30BD" w:rsidRPr="00153074">
        <w:rPr>
          <w:lang w:val="es-ES_tradnl"/>
        </w:rPr>
        <w:t>,</w:t>
      </w:r>
      <w:r w:rsidR="00C41AEC" w:rsidRPr="00153074">
        <w:rPr>
          <w:lang w:val="es-ES_tradnl"/>
        </w:rPr>
        <w:t xml:space="preserve"> </w:t>
      </w:r>
      <w:r w:rsidRPr="00153074">
        <w:rPr>
          <w:lang w:val="es-ES_tradnl"/>
        </w:rPr>
        <w:t>un punto débil.</w:t>
      </w:r>
      <w:r w:rsidR="00ED1161" w:rsidRPr="00153074">
        <w:rPr>
          <w:lang w:val="es-ES_tradnl"/>
        </w:rPr>
        <w:t xml:space="preserve"> </w:t>
      </w:r>
    </w:p>
    <w:p w:rsidR="00434597" w:rsidRPr="00153074" w:rsidRDefault="00434597" w:rsidP="008D3287">
      <w:pPr>
        <w:rPr>
          <w:lang w:val="es-ES_tradnl"/>
        </w:rPr>
      </w:pPr>
    </w:p>
    <w:p w:rsidR="00434597" w:rsidRPr="00153074" w:rsidRDefault="00434597" w:rsidP="008D3287">
      <w:pPr>
        <w:rPr>
          <w:lang w:val="es-ES_tradnl"/>
        </w:rPr>
      </w:pPr>
      <w:r w:rsidRPr="00153074">
        <w:rPr>
          <w:lang w:val="es-ES_tradnl"/>
        </w:rPr>
        <w:t xml:space="preserve">En las páginas que siguen, se sugieren dos prioridades </w:t>
      </w:r>
      <w:r w:rsidR="00DD60E4" w:rsidRPr="00153074">
        <w:rPr>
          <w:lang w:val="es-ES_tradnl"/>
        </w:rPr>
        <w:t>globa</w:t>
      </w:r>
      <w:r w:rsidRPr="00153074">
        <w:rPr>
          <w:lang w:val="es-ES_tradnl"/>
        </w:rPr>
        <w:t>les de políticas respecto a una perspectiva sindical respecto al sector privado para el desarrollo:</w:t>
      </w:r>
    </w:p>
    <w:p w:rsidR="00434597" w:rsidRPr="00153074" w:rsidRDefault="00434597" w:rsidP="00434597">
      <w:pPr>
        <w:numPr>
          <w:ilvl w:val="0"/>
          <w:numId w:val="37"/>
        </w:numPr>
        <w:rPr>
          <w:lang w:val="es-ES_tradnl"/>
        </w:rPr>
      </w:pPr>
      <w:r w:rsidRPr="00153074">
        <w:rPr>
          <w:lang w:val="es-ES_tradnl"/>
        </w:rPr>
        <w:t xml:space="preserve">Establecer unos límites claros en cuanto a la financiación pública de iniciativas de SPD, </w:t>
      </w:r>
      <w:r w:rsidR="00DA7B45" w:rsidRPr="00153074">
        <w:rPr>
          <w:lang w:val="es-ES_tradnl"/>
        </w:rPr>
        <w:t xml:space="preserve">y asegurarse de que los </w:t>
      </w:r>
      <w:r w:rsidR="00DD60E4" w:rsidRPr="00153074">
        <w:rPr>
          <w:lang w:val="es-ES_tradnl"/>
        </w:rPr>
        <w:t xml:space="preserve">objetivos de </w:t>
      </w:r>
      <w:r w:rsidR="00DA7B45" w:rsidRPr="00153074">
        <w:rPr>
          <w:lang w:val="es-ES_tradnl"/>
        </w:rPr>
        <w:t xml:space="preserve">desarrollo sostenible relativos a la </w:t>
      </w:r>
      <w:r w:rsidR="00DD60E4" w:rsidRPr="00153074">
        <w:rPr>
          <w:lang w:val="es-ES_tradnl"/>
        </w:rPr>
        <w:t xml:space="preserve">protección social y </w:t>
      </w:r>
      <w:r w:rsidR="00DA7B45" w:rsidRPr="00153074">
        <w:rPr>
          <w:lang w:val="es-ES_tradnl"/>
        </w:rPr>
        <w:t xml:space="preserve">los servicios públicos así como los principios de </w:t>
      </w:r>
      <w:r w:rsidR="00DD60E4" w:rsidRPr="00153074">
        <w:rPr>
          <w:lang w:val="es-ES_tradnl"/>
        </w:rPr>
        <w:t>apropiación por parte de los países receptores</w:t>
      </w:r>
      <w:r w:rsidR="00DA7B45" w:rsidRPr="00153074">
        <w:rPr>
          <w:lang w:val="es-ES_tradnl"/>
        </w:rPr>
        <w:t xml:space="preserve"> no se vean debilitados o amenazados</w:t>
      </w:r>
    </w:p>
    <w:p w:rsidR="00434597" w:rsidRPr="00153074" w:rsidRDefault="00DD60E4" w:rsidP="00434597">
      <w:pPr>
        <w:numPr>
          <w:ilvl w:val="0"/>
          <w:numId w:val="37"/>
        </w:numPr>
        <w:rPr>
          <w:lang w:val="es-ES_tradnl"/>
        </w:rPr>
      </w:pPr>
      <w:r w:rsidRPr="00153074">
        <w:rPr>
          <w:lang w:val="es-ES_tradnl"/>
        </w:rPr>
        <w:t>Establecer estrictas condicionalidades – derechos laborales, diálogo social, responsabilidad corporativa – para la utilización de dinero público en el SPD</w:t>
      </w:r>
    </w:p>
    <w:p w:rsidR="002D148A" w:rsidRPr="00153074" w:rsidRDefault="002D148A" w:rsidP="008D3287">
      <w:pPr>
        <w:rPr>
          <w:lang w:val="es-ES_tradnl"/>
        </w:rPr>
      </w:pPr>
    </w:p>
    <w:p w:rsidR="002D148A" w:rsidRPr="00153074" w:rsidRDefault="009D7404" w:rsidP="008D3287">
      <w:pPr>
        <w:rPr>
          <w:lang w:val="es-ES_tradnl"/>
        </w:rPr>
      </w:pPr>
      <w:r w:rsidRPr="00153074">
        <w:rPr>
          <w:lang w:val="es-ES_tradnl"/>
        </w:rPr>
        <w:t xml:space="preserve">Se </w:t>
      </w:r>
      <w:r w:rsidR="00FD1241" w:rsidRPr="00153074">
        <w:rPr>
          <w:lang w:val="es-ES_tradnl"/>
        </w:rPr>
        <w:t>proponen</w:t>
      </w:r>
      <w:r w:rsidRPr="00153074">
        <w:rPr>
          <w:lang w:val="es-ES_tradnl"/>
        </w:rPr>
        <w:t xml:space="preserve"> cinco prioridades principales de políticas para una perspectiva sindical </w:t>
      </w:r>
      <w:r w:rsidR="00434597" w:rsidRPr="00153074">
        <w:rPr>
          <w:lang w:val="es-ES_tradnl"/>
        </w:rPr>
        <w:t xml:space="preserve">respecto al </w:t>
      </w:r>
      <w:r w:rsidRPr="00153074">
        <w:rPr>
          <w:lang w:val="es-ES_tradnl"/>
        </w:rPr>
        <w:t>sector privado para el desarrollo</w:t>
      </w:r>
      <w:r w:rsidR="002D148A" w:rsidRPr="00153074">
        <w:rPr>
          <w:lang w:val="es-ES_tradnl"/>
        </w:rPr>
        <w:t>:</w:t>
      </w:r>
    </w:p>
    <w:p w:rsidR="002D148A" w:rsidRPr="00153074" w:rsidRDefault="009D7404" w:rsidP="008D3287">
      <w:pPr>
        <w:numPr>
          <w:ilvl w:val="0"/>
          <w:numId w:val="35"/>
        </w:numPr>
        <w:rPr>
          <w:lang w:val="es-ES_tradnl"/>
        </w:rPr>
      </w:pPr>
      <w:r w:rsidRPr="00153074">
        <w:rPr>
          <w:lang w:val="es-ES_tradnl"/>
        </w:rPr>
        <w:t>Implementa</w:t>
      </w:r>
      <w:r w:rsidR="00172598" w:rsidRPr="00153074">
        <w:rPr>
          <w:lang w:val="es-ES_tradnl"/>
        </w:rPr>
        <w:t xml:space="preserve">r de manera </w:t>
      </w:r>
      <w:r w:rsidRPr="00153074">
        <w:rPr>
          <w:lang w:val="es-ES_tradnl"/>
        </w:rPr>
        <w:t xml:space="preserve">efectiva las normas y el Programa de </w:t>
      </w:r>
      <w:r w:rsidR="0000585A" w:rsidRPr="00153074">
        <w:rPr>
          <w:lang w:val="es-ES_tradnl"/>
        </w:rPr>
        <w:t>t</w:t>
      </w:r>
      <w:r w:rsidRPr="00153074">
        <w:rPr>
          <w:lang w:val="es-ES_tradnl"/>
        </w:rPr>
        <w:t xml:space="preserve">rabajo </w:t>
      </w:r>
      <w:r w:rsidR="0000585A" w:rsidRPr="00153074">
        <w:rPr>
          <w:lang w:val="es-ES_tradnl"/>
        </w:rPr>
        <w:t>d</w:t>
      </w:r>
      <w:r w:rsidRPr="00153074">
        <w:rPr>
          <w:lang w:val="es-ES_tradnl"/>
        </w:rPr>
        <w:t>ecente</w:t>
      </w:r>
      <w:r w:rsidR="00D33AE7" w:rsidRPr="00153074">
        <w:rPr>
          <w:lang w:val="es-ES_tradnl"/>
        </w:rPr>
        <w:t xml:space="preserve"> de la OIT </w:t>
      </w:r>
      <w:r w:rsidR="00894DCB" w:rsidRPr="00153074">
        <w:rPr>
          <w:lang w:val="es-ES_tradnl"/>
        </w:rPr>
        <w:t xml:space="preserve">con arreglo a </w:t>
      </w:r>
      <w:r w:rsidR="00946C47" w:rsidRPr="00153074">
        <w:rPr>
          <w:lang w:val="es-ES_tradnl"/>
        </w:rPr>
        <w:t>un enfoque basado en los derechos</w:t>
      </w:r>
      <w:r w:rsidR="002D148A" w:rsidRPr="00153074">
        <w:rPr>
          <w:lang w:val="es-ES_tradnl"/>
        </w:rPr>
        <w:t>;</w:t>
      </w:r>
    </w:p>
    <w:p w:rsidR="002D148A" w:rsidRPr="00153074" w:rsidRDefault="00946C47" w:rsidP="008D3287">
      <w:pPr>
        <w:numPr>
          <w:ilvl w:val="0"/>
          <w:numId w:val="35"/>
        </w:numPr>
        <w:rPr>
          <w:lang w:val="es-ES_tradnl"/>
        </w:rPr>
      </w:pPr>
      <w:r w:rsidRPr="00153074">
        <w:rPr>
          <w:lang w:val="es-ES_tradnl"/>
        </w:rPr>
        <w:t>Integra</w:t>
      </w:r>
      <w:r w:rsidR="00172598" w:rsidRPr="00153074">
        <w:rPr>
          <w:lang w:val="es-ES_tradnl"/>
        </w:rPr>
        <w:t xml:space="preserve">r </w:t>
      </w:r>
      <w:r w:rsidRPr="00153074">
        <w:rPr>
          <w:lang w:val="es-ES_tradnl"/>
        </w:rPr>
        <w:t>el mecanismo de diálogo social como base para la eficacia y</w:t>
      </w:r>
      <w:r w:rsidR="00172598" w:rsidRPr="00153074">
        <w:rPr>
          <w:lang w:val="es-ES_tradnl"/>
        </w:rPr>
        <w:t xml:space="preserve"> la rendición de cuentas </w:t>
      </w:r>
      <w:r w:rsidRPr="00153074">
        <w:rPr>
          <w:lang w:val="es-ES_tradnl"/>
        </w:rPr>
        <w:t>del sector privado</w:t>
      </w:r>
      <w:r w:rsidR="002D148A" w:rsidRPr="00153074">
        <w:rPr>
          <w:lang w:val="es-ES_tradnl"/>
        </w:rPr>
        <w:t>;</w:t>
      </w:r>
    </w:p>
    <w:p w:rsidR="002D148A" w:rsidRPr="00153074" w:rsidRDefault="00172598" w:rsidP="008D3287">
      <w:pPr>
        <w:numPr>
          <w:ilvl w:val="0"/>
          <w:numId w:val="35"/>
        </w:numPr>
        <w:rPr>
          <w:lang w:val="es-ES_tradnl"/>
        </w:rPr>
      </w:pPr>
      <w:r w:rsidRPr="00153074">
        <w:rPr>
          <w:lang w:val="es-ES_tradnl"/>
        </w:rPr>
        <w:t xml:space="preserve">Garantizar la apropiación </w:t>
      </w:r>
      <w:r w:rsidR="009A37EA" w:rsidRPr="00153074">
        <w:rPr>
          <w:lang w:val="es-ES_tradnl"/>
        </w:rPr>
        <w:t xml:space="preserve">de programas e iniciativas </w:t>
      </w:r>
      <w:r w:rsidRPr="00153074">
        <w:rPr>
          <w:lang w:val="es-ES_tradnl"/>
        </w:rPr>
        <w:t xml:space="preserve">por parte de los países en desarrollo y proteger </w:t>
      </w:r>
      <w:r w:rsidR="00C31DDA" w:rsidRPr="00153074">
        <w:rPr>
          <w:lang w:val="es-ES_tradnl"/>
        </w:rPr>
        <w:t>los</w:t>
      </w:r>
      <w:r w:rsidRPr="00153074">
        <w:rPr>
          <w:lang w:val="es-ES_tradnl"/>
        </w:rPr>
        <w:t xml:space="preserve"> derechos </w:t>
      </w:r>
      <w:r w:rsidR="00C31DDA" w:rsidRPr="00153074">
        <w:rPr>
          <w:lang w:val="es-ES_tradnl"/>
        </w:rPr>
        <w:t xml:space="preserve">de éstos </w:t>
      </w:r>
      <w:r w:rsidRPr="00153074">
        <w:rPr>
          <w:lang w:val="es-ES_tradnl"/>
        </w:rPr>
        <w:t>a desarrollar servicios públicos</w:t>
      </w:r>
      <w:r w:rsidR="002D148A" w:rsidRPr="00153074">
        <w:rPr>
          <w:lang w:val="es-ES_tradnl"/>
        </w:rPr>
        <w:t>;</w:t>
      </w:r>
    </w:p>
    <w:p w:rsidR="002D148A" w:rsidRPr="00153074" w:rsidRDefault="00400955" w:rsidP="008D3287">
      <w:pPr>
        <w:numPr>
          <w:ilvl w:val="0"/>
          <w:numId w:val="35"/>
        </w:numPr>
        <w:rPr>
          <w:lang w:val="es-ES_tradnl"/>
        </w:rPr>
      </w:pPr>
      <w:r w:rsidRPr="00153074">
        <w:rPr>
          <w:lang w:val="es-ES_tradnl"/>
        </w:rPr>
        <w:t xml:space="preserve">Pedir cuentas a las </w:t>
      </w:r>
      <w:r w:rsidR="00D63CBF" w:rsidRPr="00153074">
        <w:rPr>
          <w:lang w:val="es-ES_tradnl"/>
        </w:rPr>
        <w:t xml:space="preserve">grandes y poderosas </w:t>
      </w:r>
      <w:r w:rsidRPr="00153074">
        <w:rPr>
          <w:lang w:val="es-ES_tradnl"/>
        </w:rPr>
        <w:t xml:space="preserve">empresas multinacionales por medio de mecanismos efectivos </w:t>
      </w:r>
      <w:r w:rsidR="009A37EA" w:rsidRPr="00153074">
        <w:rPr>
          <w:lang w:val="es-ES_tradnl"/>
        </w:rPr>
        <w:t>de</w:t>
      </w:r>
      <w:r w:rsidRPr="00153074">
        <w:rPr>
          <w:lang w:val="es-ES_tradnl"/>
        </w:rPr>
        <w:t xml:space="preserve"> responsabilidad corporativa y transparencia</w:t>
      </w:r>
      <w:r w:rsidR="002D148A" w:rsidRPr="00153074">
        <w:rPr>
          <w:lang w:val="es-ES_tradnl"/>
        </w:rPr>
        <w:t xml:space="preserve">; </w:t>
      </w:r>
      <w:r w:rsidRPr="00153074">
        <w:rPr>
          <w:lang w:val="es-ES_tradnl"/>
        </w:rPr>
        <w:t>y</w:t>
      </w:r>
    </w:p>
    <w:p w:rsidR="00CB47B9" w:rsidRPr="00153074" w:rsidRDefault="00400955" w:rsidP="008D3287">
      <w:pPr>
        <w:numPr>
          <w:ilvl w:val="0"/>
          <w:numId w:val="35"/>
        </w:numPr>
        <w:rPr>
          <w:lang w:val="es-ES_tradnl"/>
        </w:rPr>
      </w:pPr>
      <w:r w:rsidRPr="00153074">
        <w:rPr>
          <w:lang w:val="es-ES_tradnl"/>
        </w:rPr>
        <w:t>Garantizar la coherencia política con otras agendas políticas mundiales</w:t>
      </w:r>
      <w:r w:rsidR="002D148A" w:rsidRPr="00153074">
        <w:rPr>
          <w:lang w:val="es-ES_tradnl"/>
        </w:rPr>
        <w:t>.</w:t>
      </w:r>
    </w:p>
    <w:p w:rsidR="002D148A" w:rsidRPr="00153074" w:rsidRDefault="002D148A" w:rsidP="008D3287">
      <w:pPr>
        <w:rPr>
          <w:lang w:val="es-ES_tradnl"/>
        </w:rPr>
      </w:pPr>
    </w:p>
    <w:p w:rsidR="00B1268C" w:rsidRPr="00153074" w:rsidRDefault="008C5F1D" w:rsidP="00C90AC0">
      <w:pPr>
        <w:rPr>
          <w:rFonts w:ascii="Arial" w:hAnsi="Arial" w:cs="Arial"/>
          <w:b/>
          <w:sz w:val="20"/>
          <w:szCs w:val="20"/>
          <w:u w:val="single"/>
          <w:lang w:val="es-ES_tradnl"/>
        </w:rPr>
      </w:pPr>
      <w:r w:rsidRPr="00153074">
        <w:rPr>
          <w:lang w:val="es-ES_tradnl"/>
        </w:rPr>
        <w:br w:type="page"/>
      </w:r>
      <w:r w:rsidR="00132EAC" w:rsidRPr="00153074">
        <w:rPr>
          <w:rFonts w:ascii="Arial" w:hAnsi="Arial" w:cs="Arial"/>
          <w:b/>
          <w:sz w:val="20"/>
          <w:szCs w:val="20"/>
          <w:u w:val="single"/>
          <w:lang w:val="es-ES_tradnl"/>
        </w:rPr>
        <w:lastRenderedPageBreak/>
        <w:t>Índice</w:t>
      </w:r>
    </w:p>
    <w:p w:rsidR="0059203D" w:rsidRPr="00153074" w:rsidRDefault="0059203D" w:rsidP="007462FA">
      <w:pPr>
        <w:jc w:val="both"/>
        <w:rPr>
          <w:rFonts w:ascii="Arial" w:hAnsi="Arial" w:cs="Arial"/>
          <w:b/>
          <w:sz w:val="20"/>
          <w:szCs w:val="20"/>
          <w:u w:val="single"/>
          <w:lang w:val="es-ES_tradnl"/>
        </w:rPr>
      </w:pPr>
    </w:p>
    <w:bookmarkStart w:id="3" w:name="_Toc230681455"/>
    <w:p w:rsidR="00516340" w:rsidRDefault="007F547E">
      <w:pPr>
        <w:pStyle w:val="TOC1"/>
        <w:tabs>
          <w:tab w:val="right" w:leader="dot" w:pos="9016"/>
        </w:tabs>
        <w:rPr>
          <w:rFonts w:asciiTheme="minorHAnsi" w:eastAsiaTheme="minorEastAsia" w:hAnsiTheme="minorHAnsi" w:cstheme="minorBidi"/>
          <w:noProof/>
          <w:sz w:val="22"/>
          <w:szCs w:val="22"/>
          <w:lang w:val="en-US" w:eastAsia="en-US"/>
        </w:rPr>
      </w:pPr>
      <w:r w:rsidRPr="00153074">
        <w:rPr>
          <w:bCs/>
          <w:smallCaps/>
          <w:lang w:val="es-ES_tradnl"/>
        </w:rPr>
        <w:fldChar w:fldCharType="begin"/>
      </w:r>
      <w:r w:rsidRPr="00153074">
        <w:rPr>
          <w:bCs/>
          <w:smallCaps/>
          <w:lang w:val="es-ES_tradnl"/>
        </w:rPr>
        <w:instrText xml:space="preserve"> TOC \o "1-3" \h \z \u </w:instrText>
      </w:r>
      <w:r w:rsidRPr="00153074">
        <w:rPr>
          <w:bCs/>
          <w:smallCaps/>
          <w:lang w:val="es-ES_tradnl"/>
        </w:rPr>
        <w:fldChar w:fldCharType="separate"/>
      </w:r>
      <w:hyperlink w:anchor="_Toc369604897" w:history="1">
        <w:r w:rsidR="00516340" w:rsidRPr="00CF7B90">
          <w:rPr>
            <w:rStyle w:val="Hyperlink"/>
            <w:b/>
            <w:noProof/>
            <w:lang w:val="es-ES_tradnl"/>
          </w:rPr>
          <w:t>Síntesis</w:t>
        </w:r>
        <w:r w:rsidR="00516340">
          <w:rPr>
            <w:noProof/>
            <w:webHidden/>
          </w:rPr>
          <w:tab/>
        </w:r>
        <w:r w:rsidR="00516340">
          <w:rPr>
            <w:noProof/>
            <w:webHidden/>
          </w:rPr>
          <w:fldChar w:fldCharType="begin"/>
        </w:r>
        <w:r w:rsidR="00516340">
          <w:rPr>
            <w:noProof/>
            <w:webHidden/>
          </w:rPr>
          <w:instrText xml:space="preserve"> PAGEREF _Toc369604897 \h </w:instrText>
        </w:r>
        <w:r w:rsidR="00516340">
          <w:rPr>
            <w:noProof/>
            <w:webHidden/>
          </w:rPr>
        </w:r>
        <w:r w:rsidR="00516340">
          <w:rPr>
            <w:noProof/>
            <w:webHidden/>
          </w:rPr>
          <w:fldChar w:fldCharType="separate"/>
        </w:r>
        <w:r w:rsidR="00516340">
          <w:rPr>
            <w:noProof/>
            <w:webHidden/>
          </w:rPr>
          <w:t>1</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898" w:history="1">
        <w:r w:rsidR="00516340" w:rsidRPr="00CF7B90">
          <w:rPr>
            <w:rStyle w:val="Hyperlink"/>
            <w:b/>
            <w:noProof/>
            <w:lang w:val="es-ES_tradnl"/>
          </w:rPr>
          <w:t>Introducción</w:t>
        </w:r>
        <w:r w:rsidR="00516340">
          <w:rPr>
            <w:noProof/>
            <w:webHidden/>
          </w:rPr>
          <w:tab/>
        </w:r>
        <w:r w:rsidR="00516340">
          <w:rPr>
            <w:noProof/>
            <w:webHidden/>
          </w:rPr>
          <w:fldChar w:fldCharType="begin"/>
        </w:r>
        <w:r w:rsidR="00516340">
          <w:rPr>
            <w:noProof/>
            <w:webHidden/>
          </w:rPr>
          <w:instrText xml:space="preserve"> PAGEREF _Toc369604898 \h </w:instrText>
        </w:r>
        <w:r w:rsidR="00516340">
          <w:rPr>
            <w:noProof/>
            <w:webHidden/>
          </w:rPr>
        </w:r>
        <w:r w:rsidR="00516340">
          <w:rPr>
            <w:noProof/>
            <w:webHidden/>
          </w:rPr>
          <w:fldChar w:fldCharType="separate"/>
        </w:r>
        <w:r w:rsidR="00516340">
          <w:rPr>
            <w:noProof/>
            <w:webHidden/>
          </w:rPr>
          <w:t>4</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899" w:history="1">
        <w:r w:rsidR="00516340" w:rsidRPr="00CF7B90">
          <w:rPr>
            <w:rStyle w:val="Hyperlink"/>
            <w:noProof/>
            <w:lang w:val="es-ES_tradnl"/>
          </w:rPr>
          <w:t>¿Qué es el Sector Privado para el Desarrollo?</w:t>
        </w:r>
        <w:r w:rsidR="00516340">
          <w:rPr>
            <w:noProof/>
            <w:webHidden/>
          </w:rPr>
          <w:tab/>
        </w:r>
        <w:r w:rsidR="00516340">
          <w:rPr>
            <w:noProof/>
            <w:webHidden/>
          </w:rPr>
          <w:fldChar w:fldCharType="begin"/>
        </w:r>
        <w:r w:rsidR="00516340">
          <w:rPr>
            <w:noProof/>
            <w:webHidden/>
          </w:rPr>
          <w:instrText xml:space="preserve"> PAGEREF _Toc369604899 \h </w:instrText>
        </w:r>
        <w:r w:rsidR="00516340">
          <w:rPr>
            <w:noProof/>
            <w:webHidden/>
          </w:rPr>
        </w:r>
        <w:r w:rsidR="00516340">
          <w:rPr>
            <w:noProof/>
            <w:webHidden/>
          </w:rPr>
          <w:fldChar w:fldCharType="separate"/>
        </w:r>
        <w:r w:rsidR="00516340">
          <w:rPr>
            <w:noProof/>
            <w:webHidden/>
          </w:rPr>
          <w:t>5</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0" w:history="1">
        <w:r w:rsidR="00516340" w:rsidRPr="00CF7B90">
          <w:rPr>
            <w:rStyle w:val="Hyperlink"/>
            <w:noProof/>
            <w:lang w:val="es-ES_tradnl"/>
          </w:rPr>
          <w:t>Asignar una cifra a las iniciativas del sector privado</w:t>
        </w:r>
        <w:r w:rsidR="00516340">
          <w:rPr>
            <w:noProof/>
            <w:webHidden/>
          </w:rPr>
          <w:tab/>
        </w:r>
        <w:r w:rsidR="00516340">
          <w:rPr>
            <w:noProof/>
            <w:webHidden/>
          </w:rPr>
          <w:fldChar w:fldCharType="begin"/>
        </w:r>
        <w:r w:rsidR="00516340">
          <w:rPr>
            <w:noProof/>
            <w:webHidden/>
          </w:rPr>
          <w:instrText xml:space="preserve"> PAGEREF _Toc369604900 \h </w:instrText>
        </w:r>
        <w:r w:rsidR="00516340">
          <w:rPr>
            <w:noProof/>
            <w:webHidden/>
          </w:rPr>
        </w:r>
        <w:r w:rsidR="00516340">
          <w:rPr>
            <w:noProof/>
            <w:webHidden/>
          </w:rPr>
          <w:fldChar w:fldCharType="separate"/>
        </w:r>
        <w:r w:rsidR="00516340">
          <w:rPr>
            <w:noProof/>
            <w:webHidden/>
          </w:rPr>
          <w:t>5</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901" w:history="1">
        <w:r w:rsidR="00516340" w:rsidRPr="00CF7B90">
          <w:rPr>
            <w:rStyle w:val="Hyperlink"/>
            <w:b/>
            <w:noProof/>
            <w:lang w:val="es-ES_tradnl"/>
          </w:rPr>
          <w:t>Tipología</w:t>
        </w:r>
        <w:r w:rsidR="00516340">
          <w:rPr>
            <w:noProof/>
            <w:webHidden/>
          </w:rPr>
          <w:tab/>
        </w:r>
        <w:r w:rsidR="00516340">
          <w:rPr>
            <w:noProof/>
            <w:webHidden/>
          </w:rPr>
          <w:fldChar w:fldCharType="begin"/>
        </w:r>
        <w:r w:rsidR="00516340">
          <w:rPr>
            <w:noProof/>
            <w:webHidden/>
          </w:rPr>
          <w:instrText xml:space="preserve"> PAGEREF _Toc369604901 \h </w:instrText>
        </w:r>
        <w:r w:rsidR="00516340">
          <w:rPr>
            <w:noProof/>
            <w:webHidden/>
          </w:rPr>
        </w:r>
        <w:r w:rsidR="00516340">
          <w:rPr>
            <w:noProof/>
            <w:webHidden/>
          </w:rPr>
          <w:fldChar w:fldCharType="separate"/>
        </w:r>
        <w:r w:rsidR="00516340">
          <w:rPr>
            <w:noProof/>
            <w:webHidden/>
          </w:rPr>
          <w:t>7</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02" w:history="1">
        <w:r w:rsidR="00516340" w:rsidRPr="00CF7B90">
          <w:rPr>
            <w:rStyle w:val="Hyperlink"/>
            <w:noProof/>
            <w:lang w:val="es-ES_tradnl"/>
          </w:rPr>
          <w:t>Clasificaciones actuales</w:t>
        </w:r>
        <w:r w:rsidR="00516340">
          <w:rPr>
            <w:noProof/>
            <w:webHidden/>
          </w:rPr>
          <w:tab/>
        </w:r>
        <w:r w:rsidR="00516340">
          <w:rPr>
            <w:noProof/>
            <w:webHidden/>
          </w:rPr>
          <w:fldChar w:fldCharType="begin"/>
        </w:r>
        <w:r w:rsidR="00516340">
          <w:rPr>
            <w:noProof/>
            <w:webHidden/>
          </w:rPr>
          <w:instrText xml:space="preserve"> PAGEREF _Toc369604902 \h </w:instrText>
        </w:r>
        <w:r w:rsidR="00516340">
          <w:rPr>
            <w:noProof/>
            <w:webHidden/>
          </w:rPr>
        </w:r>
        <w:r w:rsidR="00516340">
          <w:rPr>
            <w:noProof/>
            <w:webHidden/>
          </w:rPr>
          <w:fldChar w:fldCharType="separate"/>
        </w:r>
        <w:r w:rsidR="00516340">
          <w:rPr>
            <w:noProof/>
            <w:webHidden/>
          </w:rPr>
          <w:t>7</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03" w:history="1">
        <w:r w:rsidR="00516340" w:rsidRPr="00CF7B90">
          <w:rPr>
            <w:rStyle w:val="Hyperlink"/>
            <w:noProof/>
            <w:lang w:val="es-ES_tradnl"/>
          </w:rPr>
          <w:t>Relaciones comerciales</w:t>
        </w:r>
        <w:r w:rsidR="00516340">
          <w:rPr>
            <w:noProof/>
            <w:webHidden/>
          </w:rPr>
          <w:tab/>
        </w:r>
        <w:r w:rsidR="00516340">
          <w:rPr>
            <w:noProof/>
            <w:webHidden/>
          </w:rPr>
          <w:fldChar w:fldCharType="begin"/>
        </w:r>
        <w:r w:rsidR="00516340">
          <w:rPr>
            <w:noProof/>
            <w:webHidden/>
          </w:rPr>
          <w:instrText xml:space="preserve"> PAGEREF _Toc369604903 \h </w:instrText>
        </w:r>
        <w:r w:rsidR="00516340">
          <w:rPr>
            <w:noProof/>
            <w:webHidden/>
          </w:rPr>
        </w:r>
        <w:r w:rsidR="00516340">
          <w:rPr>
            <w:noProof/>
            <w:webHidden/>
          </w:rPr>
          <w:fldChar w:fldCharType="separate"/>
        </w:r>
        <w:r w:rsidR="00516340">
          <w:rPr>
            <w:noProof/>
            <w:webHidden/>
          </w:rPr>
          <w:t>9</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4" w:history="1">
        <w:r w:rsidR="00516340" w:rsidRPr="00CF7B90">
          <w:rPr>
            <w:rStyle w:val="Hyperlink"/>
            <w:noProof/>
            <w:lang w:val="es-ES_tradnl"/>
          </w:rPr>
          <w:t>Asistencia financiera e inversiones</w:t>
        </w:r>
        <w:r w:rsidR="00516340">
          <w:rPr>
            <w:noProof/>
            <w:webHidden/>
          </w:rPr>
          <w:tab/>
        </w:r>
        <w:r w:rsidR="00516340">
          <w:rPr>
            <w:noProof/>
            <w:webHidden/>
          </w:rPr>
          <w:fldChar w:fldCharType="begin"/>
        </w:r>
        <w:r w:rsidR="00516340">
          <w:rPr>
            <w:noProof/>
            <w:webHidden/>
          </w:rPr>
          <w:instrText xml:space="preserve"> PAGEREF _Toc369604904 \h </w:instrText>
        </w:r>
        <w:r w:rsidR="00516340">
          <w:rPr>
            <w:noProof/>
            <w:webHidden/>
          </w:rPr>
        </w:r>
        <w:r w:rsidR="00516340">
          <w:rPr>
            <w:noProof/>
            <w:webHidden/>
          </w:rPr>
          <w:fldChar w:fldCharType="separate"/>
        </w:r>
        <w:r w:rsidR="00516340">
          <w:rPr>
            <w:noProof/>
            <w:webHidden/>
          </w:rPr>
          <w:t>9</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5" w:history="1">
        <w:r w:rsidR="00516340" w:rsidRPr="00CF7B90">
          <w:rPr>
            <w:rStyle w:val="Hyperlink"/>
            <w:noProof/>
            <w:lang w:val="es-ES_tradnl"/>
          </w:rPr>
          <w:t>La contratación pública y las APP</w:t>
        </w:r>
        <w:r w:rsidR="00516340">
          <w:rPr>
            <w:noProof/>
            <w:webHidden/>
          </w:rPr>
          <w:tab/>
        </w:r>
        <w:r w:rsidR="00516340">
          <w:rPr>
            <w:noProof/>
            <w:webHidden/>
          </w:rPr>
          <w:fldChar w:fldCharType="begin"/>
        </w:r>
        <w:r w:rsidR="00516340">
          <w:rPr>
            <w:noProof/>
            <w:webHidden/>
          </w:rPr>
          <w:instrText xml:space="preserve"> PAGEREF _Toc369604905 \h </w:instrText>
        </w:r>
        <w:r w:rsidR="00516340">
          <w:rPr>
            <w:noProof/>
            <w:webHidden/>
          </w:rPr>
        </w:r>
        <w:r w:rsidR="00516340">
          <w:rPr>
            <w:noProof/>
            <w:webHidden/>
          </w:rPr>
          <w:fldChar w:fldCharType="separate"/>
        </w:r>
        <w:r w:rsidR="00516340">
          <w:rPr>
            <w:noProof/>
            <w:webHidden/>
          </w:rPr>
          <w:t>10</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06" w:history="1">
        <w:r w:rsidR="00516340" w:rsidRPr="00CF7B90">
          <w:rPr>
            <w:rStyle w:val="Hyperlink"/>
            <w:noProof/>
            <w:lang w:val="es-ES_tradnl"/>
          </w:rPr>
          <w:t>Establecimiento de redes y promoción de políticas</w:t>
        </w:r>
        <w:r w:rsidR="00516340">
          <w:rPr>
            <w:noProof/>
            <w:webHidden/>
          </w:rPr>
          <w:tab/>
        </w:r>
        <w:r w:rsidR="00516340">
          <w:rPr>
            <w:noProof/>
            <w:webHidden/>
          </w:rPr>
          <w:fldChar w:fldCharType="begin"/>
        </w:r>
        <w:r w:rsidR="00516340">
          <w:rPr>
            <w:noProof/>
            <w:webHidden/>
          </w:rPr>
          <w:instrText xml:space="preserve"> PAGEREF _Toc369604906 \h </w:instrText>
        </w:r>
        <w:r w:rsidR="00516340">
          <w:rPr>
            <w:noProof/>
            <w:webHidden/>
          </w:rPr>
        </w:r>
        <w:r w:rsidR="00516340">
          <w:rPr>
            <w:noProof/>
            <w:webHidden/>
          </w:rPr>
          <w:fldChar w:fldCharType="separate"/>
        </w:r>
        <w:r w:rsidR="00516340">
          <w:rPr>
            <w:noProof/>
            <w:webHidden/>
          </w:rPr>
          <w:t>10</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7" w:history="1">
        <w:r w:rsidR="00516340" w:rsidRPr="00CF7B90">
          <w:rPr>
            <w:rStyle w:val="Hyperlink"/>
            <w:noProof/>
            <w:lang w:val="es-ES_tradnl"/>
          </w:rPr>
          <w:t>Cofinanciación de asociados locales y establecimiento de redes</w:t>
        </w:r>
        <w:r w:rsidR="00516340">
          <w:rPr>
            <w:noProof/>
            <w:webHidden/>
          </w:rPr>
          <w:tab/>
        </w:r>
        <w:r w:rsidR="00516340">
          <w:rPr>
            <w:noProof/>
            <w:webHidden/>
          </w:rPr>
          <w:fldChar w:fldCharType="begin"/>
        </w:r>
        <w:r w:rsidR="00516340">
          <w:rPr>
            <w:noProof/>
            <w:webHidden/>
          </w:rPr>
          <w:instrText xml:space="preserve"> PAGEREF _Toc369604907 \h </w:instrText>
        </w:r>
        <w:r w:rsidR="00516340">
          <w:rPr>
            <w:noProof/>
            <w:webHidden/>
          </w:rPr>
        </w:r>
        <w:r w:rsidR="00516340">
          <w:rPr>
            <w:noProof/>
            <w:webHidden/>
          </w:rPr>
          <w:fldChar w:fldCharType="separate"/>
        </w:r>
        <w:r w:rsidR="00516340">
          <w:rPr>
            <w:noProof/>
            <w:webHidden/>
          </w:rPr>
          <w:t>10</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8" w:history="1">
        <w:r w:rsidR="00516340" w:rsidRPr="00CF7B90">
          <w:rPr>
            <w:rStyle w:val="Hyperlink"/>
            <w:noProof/>
            <w:lang w:val="es-ES_tradnl"/>
          </w:rPr>
          <w:t>Servicios de asesoramiento y programas de desarrollo de capacidades</w:t>
        </w:r>
        <w:r w:rsidR="00516340">
          <w:rPr>
            <w:noProof/>
            <w:webHidden/>
          </w:rPr>
          <w:tab/>
        </w:r>
        <w:r w:rsidR="00516340">
          <w:rPr>
            <w:noProof/>
            <w:webHidden/>
          </w:rPr>
          <w:fldChar w:fldCharType="begin"/>
        </w:r>
        <w:r w:rsidR="00516340">
          <w:rPr>
            <w:noProof/>
            <w:webHidden/>
          </w:rPr>
          <w:instrText xml:space="preserve"> PAGEREF _Toc369604908 \h </w:instrText>
        </w:r>
        <w:r w:rsidR="00516340">
          <w:rPr>
            <w:noProof/>
            <w:webHidden/>
          </w:rPr>
        </w:r>
        <w:r w:rsidR="00516340">
          <w:rPr>
            <w:noProof/>
            <w:webHidden/>
          </w:rPr>
          <w:fldChar w:fldCharType="separate"/>
        </w:r>
        <w:r w:rsidR="00516340">
          <w:rPr>
            <w:noProof/>
            <w:webHidden/>
          </w:rPr>
          <w:t>11</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09" w:history="1">
        <w:r w:rsidR="00516340" w:rsidRPr="00CF7B90">
          <w:rPr>
            <w:rStyle w:val="Hyperlink"/>
            <w:noProof/>
            <w:lang w:val="es-ES_tradnl"/>
          </w:rPr>
          <w:t>Establecimiento de normas y promoción de políticas</w:t>
        </w:r>
        <w:r w:rsidR="00516340">
          <w:rPr>
            <w:noProof/>
            <w:webHidden/>
          </w:rPr>
          <w:tab/>
        </w:r>
        <w:r w:rsidR="00516340">
          <w:rPr>
            <w:noProof/>
            <w:webHidden/>
          </w:rPr>
          <w:fldChar w:fldCharType="begin"/>
        </w:r>
        <w:r w:rsidR="00516340">
          <w:rPr>
            <w:noProof/>
            <w:webHidden/>
          </w:rPr>
          <w:instrText xml:space="preserve"> PAGEREF _Toc369604909 \h </w:instrText>
        </w:r>
        <w:r w:rsidR="00516340">
          <w:rPr>
            <w:noProof/>
            <w:webHidden/>
          </w:rPr>
        </w:r>
        <w:r w:rsidR="00516340">
          <w:rPr>
            <w:noProof/>
            <w:webHidden/>
          </w:rPr>
          <w:fldChar w:fldCharType="separate"/>
        </w:r>
        <w:r w:rsidR="00516340">
          <w:rPr>
            <w:noProof/>
            <w:webHidden/>
          </w:rPr>
          <w:t>11</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910" w:history="1">
        <w:r w:rsidR="00516340" w:rsidRPr="00CF7B90">
          <w:rPr>
            <w:rStyle w:val="Hyperlink"/>
            <w:b/>
            <w:noProof/>
            <w:spacing w:val="20"/>
            <w:lang w:val="es-ES_tradnl"/>
          </w:rPr>
          <w:t>La Pujante Agenda Internacional</w:t>
        </w:r>
        <w:r w:rsidR="00516340">
          <w:rPr>
            <w:noProof/>
            <w:webHidden/>
          </w:rPr>
          <w:tab/>
        </w:r>
        <w:r w:rsidR="00516340">
          <w:rPr>
            <w:noProof/>
            <w:webHidden/>
          </w:rPr>
          <w:fldChar w:fldCharType="begin"/>
        </w:r>
        <w:r w:rsidR="00516340">
          <w:rPr>
            <w:noProof/>
            <w:webHidden/>
          </w:rPr>
          <w:instrText xml:space="preserve"> PAGEREF _Toc369604910 \h </w:instrText>
        </w:r>
        <w:r w:rsidR="00516340">
          <w:rPr>
            <w:noProof/>
            <w:webHidden/>
          </w:rPr>
        </w:r>
        <w:r w:rsidR="00516340">
          <w:rPr>
            <w:noProof/>
            <w:webHidden/>
          </w:rPr>
          <w:fldChar w:fldCharType="separate"/>
        </w:r>
        <w:r w:rsidR="00516340">
          <w:rPr>
            <w:noProof/>
            <w:webHidden/>
          </w:rPr>
          <w:t>12</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11" w:history="1">
        <w:r w:rsidR="00516340" w:rsidRPr="00CF7B90">
          <w:rPr>
            <w:rStyle w:val="Hyperlink"/>
            <w:noProof/>
            <w:lang w:val="es-ES_tradnl"/>
          </w:rPr>
          <w:t>La Alianza de Busan para una Cooperación al Desarrollo Eficaz</w:t>
        </w:r>
        <w:r w:rsidR="00516340">
          <w:rPr>
            <w:noProof/>
            <w:webHidden/>
          </w:rPr>
          <w:tab/>
        </w:r>
        <w:r w:rsidR="00516340">
          <w:rPr>
            <w:noProof/>
            <w:webHidden/>
          </w:rPr>
          <w:fldChar w:fldCharType="begin"/>
        </w:r>
        <w:r w:rsidR="00516340">
          <w:rPr>
            <w:noProof/>
            <w:webHidden/>
          </w:rPr>
          <w:instrText xml:space="preserve"> PAGEREF _Toc369604911 \h </w:instrText>
        </w:r>
        <w:r w:rsidR="00516340">
          <w:rPr>
            <w:noProof/>
            <w:webHidden/>
          </w:rPr>
        </w:r>
        <w:r w:rsidR="00516340">
          <w:rPr>
            <w:noProof/>
            <w:webHidden/>
          </w:rPr>
          <w:fldChar w:fldCharType="separate"/>
        </w:r>
        <w:r w:rsidR="00516340">
          <w:rPr>
            <w:noProof/>
            <w:webHidden/>
          </w:rPr>
          <w:t>13</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2" w:history="1">
        <w:r w:rsidR="00516340" w:rsidRPr="00CF7B90">
          <w:rPr>
            <w:rStyle w:val="Hyperlink"/>
            <w:noProof/>
            <w:lang w:val="es-ES_tradnl"/>
          </w:rPr>
          <w:t>La declaración conjunta</w:t>
        </w:r>
        <w:r w:rsidR="00516340">
          <w:rPr>
            <w:noProof/>
            <w:webHidden/>
          </w:rPr>
          <w:tab/>
        </w:r>
        <w:r w:rsidR="00516340">
          <w:rPr>
            <w:noProof/>
            <w:webHidden/>
          </w:rPr>
          <w:fldChar w:fldCharType="begin"/>
        </w:r>
        <w:r w:rsidR="00516340">
          <w:rPr>
            <w:noProof/>
            <w:webHidden/>
          </w:rPr>
          <w:instrText xml:space="preserve"> PAGEREF _Toc369604912 \h </w:instrText>
        </w:r>
        <w:r w:rsidR="00516340">
          <w:rPr>
            <w:noProof/>
            <w:webHidden/>
          </w:rPr>
        </w:r>
        <w:r w:rsidR="00516340">
          <w:rPr>
            <w:noProof/>
            <w:webHidden/>
          </w:rPr>
          <w:fldChar w:fldCharType="separate"/>
        </w:r>
        <w:r w:rsidR="00516340">
          <w:rPr>
            <w:noProof/>
            <w:webHidden/>
          </w:rPr>
          <w:t>13</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3" w:history="1">
        <w:r w:rsidR="00516340" w:rsidRPr="00CF7B90">
          <w:rPr>
            <w:rStyle w:val="Hyperlink"/>
            <w:noProof/>
            <w:lang w:val="es-ES_tradnl"/>
          </w:rPr>
          <w:t>“Asociados en igualdad de condiciones”</w:t>
        </w:r>
        <w:r w:rsidR="00516340">
          <w:rPr>
            <w:noProof/>
            <w:webHidden/>
          </w:rPr>
          <w:tab/>
        </w:r>
        <w:r w:rsidR="00516340">
          <w:rPr>
            <w:noProof/>
            <w:webHidden/>
          </w:rPr>
          <w:fldChar w:fldCharType="begin"/>
        </w:r>
        <w:r w:rsidR="00516340">
          <w:rPr>
            <w:noProof/>
            <w:webHidden/>
          </w:rPr>
          <w:instrText xml:space="preserve"> PAGEREF _Toc369604913 \h </w:instrText>
        </w:r>
        <w:r w:rsidR="00516340">
          <w:rPr>
            <w:noProof/>
            <w:webHidden/>
          </w:rPr>
        </w:r>
        <w:r w:rsidR="00516340">
          <w:rPr>
            <w:noProof/>
            <w:webHidden/>
          </w:rPr>
          <w:fldChar w:fldCharType="separate"/>
        </w:r>
        <w:r w:rsidR="00516340">
          <w:rPr>
            <w:noProof/>
            <w:webHidden/>
          </w:rPr>
          <w:t>14</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14" w:history="1">
        <w:r w:rsidR="00516340" w:rsidRPr="00CF7B90">
          <w:rPr>
            <w:rStyle w:val="Hyperlink"/>
            <w:noProof/>
            <w:lang w:val="es-ES_tradnl"/>
          </w:rPr>
          <w:t>El Proceso del G20</w:t>
        </w:r>
        <w:r w:rsidR="00516340">
          <w:rPr>
            <w:noProof/>
            <w:webHidden/>
          </w:rPr>
          <w:tab/>
        </w:r>
        <w:r w:rsidR="00516340">
          <w:rPr>
            <w:noProof/>
            <w:webHidden/>
          </w:rPr>
          <w:fldChar w:fldCharType="begin"/>
        </w:r>
        <w:r w:rsidR="00516340">
          <w:rPr>
            <w:noProof/>
            <w:webHidden/>
          </w:rPr>
          <w:instrText xml:space="preserve"> PAGEREF _Toc369604914 \h </w:instrText>
        </w:r>
        <w:r w:rsidR="00516340">
          <w:rPr>
            <w:noProof/>
            <w:webHidden/>
          </w:rPr>
        </w:r>
        <w:r w:rsidR="00516340">
          <w:rPr>
            <w:noProof/>
            <w:webHidden/>
          </w:rPr>
          <w:fldChar w:fldCharType="separate"/>
        </w:r>
        <w:r w:rsidR="00516340">
          <w:rPr>
            <w:noProof/>
            <w:webHidden/>
          </w:rPr>
          <w:t>15</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5" w:history="1">
        <w:r w:rsidR="00516340" w:rsidRPr="00CF7B90">
          <w:rPr>
            <w:rStyle w:val="Hyperlink"/>
            <w:noProof/>
            <w:lang w:val="es-ES_tradnl"/>
          </w:rPr>
          <w:t>Infraestructura bajo el sol de las APP</w:t>
        </w:r>
        <w:r w:rsidR="00516340">
          <w:rPr>
            <w:noProof/>
            <w:webHidden/>
          </w:rPr>
          <w:tab/>
        </w:r>
        <w:r w:rsidR="00516340">
          <w:rPr>
            <w:noProof/>
            <w:webHidden/>
          </w:rPr>
          <w:fldChar w:fldCharType="begin"/>
        </w:r>
        <w:r w:rsidR="00516340">
          <w:rPr>
            <w:noProof/>
            <w:webHidden/>
          </w:rPr>
          <w:instrText xml:space="preserve"> PAGEREF _Toc369604915 \h </w:instrText>
        </w:r>
        <w:r w:rsidR="00516340">
          <w:rPr>
            <w:noProof/>
            <w:webHidden/>
          </w:rPr>
        </w:r>
        <w:r w:rsidR="00516340">
          <w:rPr>
            <w:noProof/>
            <w:webHidden/>
          </w:rPr>
          <w:fldChar w:fldCharType="separate"/>
        </w:r>
        <w:r w:rsidR="00516340">
          <w:rPr>
            <w:noProof/>
            <w:webHidden/>
          </w:rPr>
          <w:t>15</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6" w:history="1">
        <w:r w:rsidR="00516340" w:rsidRPr="00CF7B90">
          <w:rPr>
            <w:rStyle w:val="Hyperlink"/>
            <w:noProof/>
            <w:lang w:val="es-ES_tradnl"/>
          </w:rPr>
          <w:t>Cambiar el “modelo empresarial” de los BMD</w:t>
        </w:r>
        <w:r w:rsidR="00516340">
          <w:rPr>
            <w:noProof/>
            <w:webHidden/>
          </w:rPr>
          <w:tab/>
        </w:r>
        <w:r w:rsidR="00516340">
          <w:rPr>
            <w:noProof/>
            <w:webHidden/>
          </w:rPr>
          <w:fldChar w:fldCharType="begin"/>
        </w:r>
        <w:r w:rsidR="00516340">
          <w:rPr>
            <w:noProof/>
            <w:webHidden/>
          </w:rPr>
          <w:instrText xml:space="preserve"> PAGEREF _Toc369604916 \h </w:instrText>
        </w:r>
        <w:r w:rsidR="00516340">
          <w:rPr>
            <w:noProof/>
            <w:webHidden/>
          </w:rPr>
        </w:r>
        <w:r w:rsidR="00516340">
          <w:rPr>
            <w:noProof/>
            <w:webHidden/>
          </w:rPr>
          <w:fldChar w:fldCharType="separate"/>
        </w:r>
        <w:r w:rsidR="00516340">
          <w:rPr>
            <w:noProof/>
            <w:webHidden/>
          </w:rPr>
          <w:t>16</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7" w:history="1">
        <w:r w:rsidR="00516340" w:rsidRPr="00CF7B90">
          <w:rPr>
            <w:rStyle w:val="Hyperlink"/>
            <w:noProof/>
            <w:lang w:val="es-ES_tradnl"/>
          </w:rPr>
          <w:t>Inversión privada y creación de empleo</w:t>
        </w:r>
        <w:r w:rsidR="00516340">
          <w:rPr>
            <w:noProof/>
            <w:webHidden/>
          </w:rPr>
          <w:tab/>
        </w:r>
        <w:r w:rsidR="00516340">
          <w:rPr>
            <w:noProof/>
            <w:webHidden/>
          </w:rPr>
          <w:fldChar w:fldCharType="begin"/>
        </w:r>
        <w:r w:rsidR="00516340">
          <w:rPr>
            <w:noProof/>
            <w:webHidden/>
          </w:rPr>
          <w:instrText xml:space="preserve"> PAGEREF _Toc369604917 \h </w:instrText>
        </w:r>
        <w:r w:rsidR="00516340">
          <w:rPr>
            <w:noProof/>
            <w:webHidden/>
          </w:rPr>
        </w:r>
        <w:r w:rsidR="00516340">
          <w:rPr>
            <w:noProof/>
            <w:webHidden/>
          </w:rPr>
          <w:fldChar w:fldCharType="separate"/>
        </w:r>
        <w:r w:rsidR="00516340">
          <w:rPr>
            <w:noProof/>
            <w:webHidden/>
          </w:rPr>
          <w:t>17</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8" w:history="1">
        <w:r w:rsidR="00516340" w:rsidRPr="00CF7B90">
          <w:rPr>
            <w:rStyle w:val="Hyperlink"/>
            <w:noProof/>
            <w:lang w:val="es-ES_tradnl"/>
          </w:rPr>
          <w:t>Indicadores sobre el valor económico añadido y la creación de empleo</w:t>
        </w:r>
        <w:r w:rsidR="00516340">
          <w:rPr>
            <w:noProof/>
            <w:webHidden/>
          </w:rPr>
          <w:tab/>
        </w:r>
        <w:r w:rsidR="00516340">
          <w:rPr>
            <w:noProof/>
            <w:webHidden/>
          </w:rPr>
          <w:fldChar w:fldCharType="begin"/>
        </w:r>
        <w:r w:rsidR="00516340">
          <w:rPr>
            <w:noProof/>
            <w:webHidden/>
          </w:rPr>
          <w:instrText xml:space="preserve"> PAGEREF _Toc369604918 \h </w:instrText>
        </w:r>
        <w:r w:rsidR="00516340">
          <w:rPr>
            <w:noProof/>
            <w:webHidden/>
          </w:rPr>
        </w:r>
        <w:r w:rsidR="00516340">
          <w:rPr>
            <w:noProof/>
            <w:webHidden/>
          </w:rPr>
          <w:fldChar w:fldCharType="separate"/>
        </w:r>
        <w:r w:rsidR="00516340">
          <w:rPr>
            <w:noProof/>
            <w:webHidden/>
          </w:rPr>
          <w:t>18</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19" w:history="1">
        <w:r w:rsidR="00516340" w:rsidRPr="00CF7B90">
          <w:rPr>
            <w:rStyle w:val="Hyperlink"/>
            <w:noProof/>
            <w:lang w:val="es-ES_tradnl"/>
          </w:rPr>
          <w:t>Transparencia tributaria</w:t>
        </w:r>
        <w:r w:rsidR="00516340">
          <w:rPr>
            <w:noProof/>
            <w:webHidden/>
          </w:rPr>
          <w:tab/>
        </w:r>
        <w:r w:rsidR="00516340">
          <w:rPr>
            <w:noProof/>
            <w:webHidden/>
          </w:rPr>
          <w:fldChar w:fldCharType="begin"/>
        </w:r>
        <w:r w:rsidR="00516340">
          <w:rPr>
            <w:noProof/>
            <w:webHidden/>
          </w:rPr>
          <w:instrText xml:space="preserve"> PAGEREF _Toc369604919 \h </w:instrText>
        </w:r>
        <w:r w:rsidR="00516340">
          <w:rPr>
            <w:noProof/>
            <w:webHidden/>
          </w:rPr>
        </w:r>
        <w:r w:rsidR="00516340">
          <w:rPr>
            <w:noProof/>
            <w:webHidden/>
          </w:rPr>
          <w:fldChar w:fldCharType="separate"/>
        </w:r>
        <w:r w:rsidR="00516340">
          <w:rPr>
            <w:noProof/>
            <w:webHidden/>
          </w:rPr>
          <w:t>19</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920" w:history="1">
        <w:r w:rsidR="00516340" w:rsidRPr="00CF7B90">
          <w:rPr>
            <w:rStyle w:val="Hyperlink"/>
            <w:b/>
            <w:noProof/>
            <w:lang w:val="es-ES_tradnl"/>
          </w:rPr>
          <w:t>Moldear la Política de los Donantes – ¿Con qué propulsores?</w:t>
        </w:r>
        <w:r w:rsidR="00516340">
          <w:rPr>
            <w:noProof/>
            <w:webHidden/>
          </w:rPr>
          <w:tab/>
        </w:r>
        <w:r w:rsidR="00516340">
          <w:rPr>
            <w:noProof/>
            <w:webHidden/>
          </w:rPr>
          <w:fldChar w:fldCharType="begin"/>
        </w:r>
        <w:r w:rsidR="00516340">
          <w:rPr>
            <w:noProof/>
            <w:webHidden/>
          </w:rPr>
          <w:instrText xml:space="preserve"> PAGEREF _Toc369604920 \h </w:instrText>
        </w:r>
        <w:r w:rsidR="00516340">
          <w:rPr>
            <w:noProof/>
            <w:webHidden/>
          </w:rPr>
        </w:r>
        <w:r w:rsidR="00516340">
          <w:rPr>
            <w:noProof/>
            <w:webHidden/>
          </w:rPr>
          <w:fldChar w:fldCharType="separate"/>
        </w:r>
        <w:r w:rsidR="00516340">
          <w:rPr>
            <w:noProof/>
            <w:webHidden/>
          </w:rPr>
          <w:t>20</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21" w:history="1">
        <w:r w:rsidR="00516340" w:rsidRPr="00CF7B90">
          <w:rPr>
            <w:rStyle w:val="Hyperlink"/>
            <w:noProof/>
            <w:lang w:val="es-ES_tradnl"/>
          </w:rPr>
          <w:t>Propulsores de los Gobiernos</w:t>
        </w:r>
        <w:r w:rsidR="00516340">
          <w:rPr>
            <w:noProof/>
            <w:webHidden/>
          </w:rPr>
          <w:tab/>
        </w:r>
        <w:r w:rsidR="00516340">
          <w:rPr>
            <w:noProof/>
            <w:webHidden/>
          </w:rPr>
          <w:fldChar w:fldCharType="begin"/>
        </w:r>
        <w:r w:rsidR="00516340">
          <w:rPr>
            <w:noProof/>
            <w:webHidden/>
          </w:rPr>
          <w:instrText xml:space="preserve"> PAGEREF _Toc369604921 \h </w:instrText>
        </w:r>
        <w:r w:rsidR="00516340">
          <w:rPr>
            <w:noProof/>
            <w:webHidden/>
          </w:rPr>
        </w:r>
        <w:r w:rsidR="00516340">
          <w:rPr>
            <w:noProof/>
            <w:webHidden/>
          </w:rPr>
          <w:fldChar w:fldCharType="separate"/>
        </w:r>
        <w:r w:rsidR="00516340">
          <w:rPr>
            <w:noProof/>
            <w:webHidden/>
          </w:rPr>
          <w:t>20</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2" w:history="1">
        <w:r w:rsidR="00516340" w:rsidRPr="00CF7B90">
          <w:rPr>
            <w:rStyle w:val="Hyperlink"/>
            <w:noProof/>
            <w:lang w:val="es-ES_tradnl"/>
          </w:rPr>
          <w:t>Ayuda condicionada</w:t>
        </w:r>
        <w:r w:rsidR="00516340">
          <w:rPr>
            <w:noProof/>
            <w:webHidden/>
          </w:rPr>
          <w:tab/>
        </w:r>
        <w:r w:rsidR="00516340">
          <w:rPr>
            <w:noProof/>
            <w:webHidden/>
          </w:rPr>
          <w:fldChar w:fldCharType="begin"/>
        </w:r>
        <w:r w:rsidR="00516340">
          <w:rPr>
            <w:noProof/>
            <w:webHidden/>
          </w:rPr>
          <w:instrText xml:space="preserve"> PAGEREF _Toc369604922 \h </w:instrText>
        </w:r>
        <w:r w:rsidR="00516340">
          <w:rPr>
            <w:noProof/>
            <w:webHidden/>
          </w:rPr>
        </w:r>
        <w:r w:rsidR="00516340">
          <w:rPr>
            <w:noProof/>
            <w:webHidden/>
          </w:rPr>
          <w:fldChar w:fldCharType="separate"/>
        </w:r>
        <w:r w:rsidR="00516340">
          <w:rPr>
            <w:noProof/>
            <w:webHidden/>
          </w:rPr>
          <w:t>20</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3" w:history="1">
        <w:r w:rsidR="00516340" w:rsidRPr="00CF7B90">
          <w:rPr>
            <w:rStyle w:val="Hyperlink"/>
            <w:noProof/>
            <w:lang w:val="es-ES_tradnl"/>
          </w:rPr>
          <w:t>La brecha de las finanzas públicas</w:t>
        </w:r>
        <w:r w:rsidR="00516340">
          <w:rPr>
            <w:noProof/>
            <w:webHidden/>
          </w:rPr>
          <w:tab/>
        </w:r>
        <w:r w:rsidR="00516340">
          <w:rPr>
            <w:noProof/>
            <w:webHidden/>
          </w:rPr>
          <w:fldChar w:fldCharType="begin"/>
        </w:r>
        <w:r w:rsidR="00516340">
          <w:rPr>
            <w:noProof/>
            <w:webHidden/>
          </w:rPr>
          <w:instrText xml:space="preserve"> PAGEREF _Toc369604923 \h </w:instrText>
        </w:r>
        <w:r w:rsidR="00516340">
          <w:rPr>
            <w:noProof/>
            <w:webHidden/>
          </w:rPr>
        </w:r>
        <w:r w:rsidR="00516340">
          <w:rPr>
            <w:noProof/>
            <w:webHidden/>
          </w:rPr>
          <w:fldChar w:fldCharType="separate"/>
        </w:r>
        <w:r w:rsidR="00516340">
          <w:rPr>
            <w:noProof/>
            <w:webHidden/>
          </w:rPr>
          <w:t>20</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4" w:history="1">
        <w:r w:rsidR="00516340" w:rsidRPr="00CF7B90">
          <w:rPr>
            <w:rStyle w:val="Hyperlink"/>
            <w:noProof/>
            <w:lang w:val="es-ES_tradnl"/>
          </w:rPr>
          <w:t>Promover un clima favorable a los negocios</w:t>
        </w:r>
        <w:r w:rsidR="00516340">
          <w:rPr>
            <w:noProof/>
            <w:webHidden/>
          </w:rPr>
          <w:tab/>
        </w:r>
        <w:r w:rsidR="00516340">
          <w:rPr>
            <w:noProof/>
            <w:webHidden/>
          </w:rPr>
          <w:fldChar w:fldCharType="begin"/>
        </w:r>
        <w:r w:rsidR="00516340">
          <w:rPr>
            <w:noProof/>
            <w:webHidden/>
          </w:rPr>
          <w:instrText xml:space="preserve"> PAGEREF _Toc369604924 \h </w:instrText>
        </w:r>
        <w:r w:rsidR="00516340">
          <w:rPr>
            <w:noProof/>
            <w:webHidden/>
          </w:rPr>
        </w:r>
        <w:r w:rsidR="00516340">
          <w:rPr>
            <w:noProof/>
            <w:webHidden/>
          </w:rPr>
          <w:fldChar w:fldCharType="separate"/>
        </w:r>
        <w:r w:rsidR="00516340">
          <w:rPr>
            <w:noProof/>
            <w:webHidden/>
          </w:rPr>
          <w:t>21</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25" w:history="1">
        <w:r w:rsidR="00516340" w:rsidRPr="00CF7B90">
          <w:rPr>
            <w:rStyle w:val="Hyperlink"/>
            <w:noProof/>
            <w:lang w:val="es-ES_tradnl"/>
          </w:rPr>
          <w:t>Propulsores del sector privado</w:t>
        </w:r>
        <w:r w:rsidR="00516340">
          <w:rPr>
            <w:noProof/>
            <w:webHidden/>
          </w:rPr>
          <w:tab/>
        </w:r>
        <w:r w:rsidR="00516340">
          <w:rPr>
            <w:noProof/>
            <w:webHidden/>
          </w:rPr>
          <w:fldChar w:fldCharType="begin"/>
        </w:r>
        <w:r w:rsidR="00516340">
          <w:rPr>
            <w:noProof/>
            <w:webHidden/>
          </w:rPr>
          <w:instrText xml:space="preserve"> PAGEREF _Toc369604925 \h </w:instrText>
        </w:r>
        <w:r w:rsidR="00516340">
          <w:rPr>
            <w:noProof/>
            <w:webHidden/>
          </w:rPr>
        </w:r>
        <w:r w:rsidR="00516340">
          <w:rPr>
            <w:noProof/>
            <w:webHidden/>
          </w:rPr>
          <w:fldChar w:fldCharType="separate"/>
        </w:r>
        <w:r w:rsidR="00516340">
          <w:rPr>
            <w:noProof/>
            <w:webHidden/>
          </w:rPr>
          <w:t>22</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6" w:history="1">
        <w:r w:rsidR="00516340" w:rsidRPr="00CF7B90">
          <w:rPr>
            <w:rStyle w:val="Hyperlink"/>
            <w:noProof/>
            <w:lang w:val="es-ES_tradnl"/>
          </w:rPr>
          <w:t>Acceso a mercados y a responsables políticos</w:t>
        </w:r>
        <w:r w:rsidR="00516340">
          <w:rPr>
            <w:noProof/>
            <w:webHidden/>
          </w:rPr>
          <w:tab/>
        </w:r>
        <w:r w:rsidR="00516340">
          <w:rPr>
            <w:noProof/>
            <w:webHidden/>
          </w:rPr>
          <w:fldChar w:fldCharType="begin"/>
        </w:r>
        <w:r w:rsidR="00516340">
          <w:rPr>
            <w:noProof/>
            <w:webHidden/>
          </w:rPr>
          <w:instrText xml:space="preserve"> PAGEREF _Toc369604926 \h </w:instrText>
        </w:r>
        <w:r w:rsidR="00516340">
          <w:rPr>
            <w:noProof/>
            <w:webHidden/>
          </w:rPr>
        </w:r>
        <w:r w:rsidR="00516340">
          <w:rPr>
            <w:noProof/>
            <w:webHidden/>
          </w:rPr>
          <w:fldChar w:fldCharType="separate"/>
        </w:r>
        <w:r w:rsidR="00516340">
          <w:rPr>
            <w:noProof/>
            <w:webHidden/>
          </w:rPr>
          <w:t>22</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7" w:history="1">
        <w:r w:rsidR="00516340" w:rsidRPr="00CF7B90">
          <w:rPr>
            <w:rStyle w:val="Hyperlink"/>
            <w:noProof/>
            <w:lang w:val="es-ES_tradnl"/>
          </w:rPr>
          <w:t>El negocio exclusivo</w:t>
        </w:r>
        <w:r w:rsidR="00516340">
          <w:rPr>
            <w:noProof/>
            <w:webHidden/>
          </w:rPr>
          <w:tab/>
        </w:r>
        <w:r w:rsidR="00516340">
          <w:rPr>
            <w:noProof/>
            <w:webHidden/>
          </w:rPr>
          <w:fldChar w:fldCharType="begin"/>
        </w:r>
        <w:r w:rsidR="00516340">
          <w:rPr>
            <w:noProof/>
            <w:webHidden/>
          </w:rPr>
          <w:instrText xml:space="preserve"> PAGEREF _Toc369604927 \h </w:instrText>
        </w:r>
        <w:r w:rsidR="00516340">
          <w:rPr>
            <w:noProof/>
            <w:webHidden/>
          </w:rPr>
        </w:r>
        <w:r w:rsidR="00516340">
          <w:rPr>
            <w:noProof/>
            <w:webHidden/>
          </w:rPr>
          <w:fldChar w:fldCharType="separate"/>
        </w:r>
        <w:r w:rsidR="00516340">
          <w:rPr>
            <w:noProof/>
            <w:webHidden/>
          </w:rPr>
          <w:t>22</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28" w:history="1">
        <w:r w:rsidR="00516340" w:rsidRPr="00CF7B90">
          <w:rPr>
            <w:rStyle w:val="Hyperlink"/>
            <w:noProof/>
            <w:lang w:val="es-ES_tradnl"/>
          </w:rPr>
          <w:t>Impacto en los objetivos de desarrollo</w:t>
        </w:r>
        <w:r w:rsidR="00516340">
          <w:rPr>
            <w:noProof/>
            <w:webHidden/>
          </w:rPr>
          <w:tab/>
        </w:r>
        <w:r w:rsidR="00516340">
          <w:rPr>
            <w:noProof/>
            <w:webHidden/>
          </w:rPr>
          <w:fldChar w:fldCharType="begin"/>
        </w:r>
        <w:r w:rsidR="00516340">
          <w:rPr>
            <w:noProof/>
            <w:webHidden/>
          </w:rPr>
          <w:instrText xml:space="preserve"> PAGEREF _Toc369604928 \h </w:instrText>
        </w:r>
        <w:r w:rsidR="00516340">
          <w:rPr>
            <w:noProof/>
            <w:webHidden/>
          </w:rPr>
        </w:r>
        <w:r w:rsidR="00516340">
          <w:rPr>
            <w:noProof/>
            <w:webHidden/>
          </w:rPr>
          <w:fldChar w:fldCharType="separate"/>
        </w:r>
        <w:r w:rsidR="00516340">
          <w:rPr>
            <w:noProof/>
            <w:webHidden/>
          </w:rPr>
          <w:t>24</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29" w:history="1">
        <w:r w:rsidR="00516340" w:rsidRPr="00CF7B90">
          <w:rPr>
            <w:rStyle w:val="Hyperlink"/>
            <w:noProof/>
            <w:lang w:val="es-ES_tradnl"/>
          </w:rPr>
          <w:t>Falta de diligencia</w:t>
        </w:r>
        <w:r w:rsidR="00516340">
          <w:rPr>
            <w:noProof/>
            <w:webHidden/>
          </w:rPr>
          <w:tab/>
        </w:r>
        <w:r w:rsidR="00516340">
          <w:rPr>
            <w:noProof/>
            <w:webHidden/>
          </w:rPr>
          <w:fldChar w:fldCharType="begin"/>
        </w:r>
        <w:r w:rsidR="00516340">
          <w:rPr>
            <w:noProof/>
            <w:webHidden/>
          </w:rPr>
          <w:instrText xml:space="preserve"> PAGEREF _Toc369604929 \h </w:instrText>
        </w:r>
        <w:r w:rsidR="00516340">
          <w:rPr>
            <w:noProof/>
            <w:webHidden/>
          </w:rPr>
        </w:r>
        <w:r w:rsidR="00516340">
          <w:rPr>
            <w:noProof/>
            <w:webHidden/>
          </w:rPr>
          <w:fldChar w:fldCharType="separate"/>
        </w:r>
        <w:r w:rsidR="00516340">
          <w:rPr>
            <w:noProof/>
            <w:webHidden/>
          </w:rPr>
          <w:t>24</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0" w:history="1">
        <w:r w:rsidR="00516340" w:rsidRPr="00CF7B90">
          <w:rPr>
            <w:rStyle w:val="Hyperlink"/>
            <w:noProof/>
            <w:lang w:val="es-ES_tradnl"/>
          </w:rPr>
          <w:t>¿Luchar contra la pobreza?</w:t>
        </w:r>
        <w:r w:rsidR="00516340">
          <w:rPr>
            <w:noProof/>
            <w:webHidden/>
          </w:rPr>
          <w:tab/>
        </w:r>
        <w:r w:rsidR="00516340">
          <w:rPr>
            <w:noProof/>
            <w:webHidden/>
          </w:rPr>
          <w:fldChar w:fldCharType="begin"/>
        </w:r>
        <w:r w:rsidR="00516340">
          <w:rPr>
            <w:noProof/>
            <w:webHidden/>
          </w:rPr>
          <w:instrText xml:space="preserve"> PAGEREF _Toc369604930 \h </w:instrText>
        </w:r>
        <w:r w:rsidR="00516340">
          <w:rPr>
            <w:noProof/>
            <w:webHidden/>
          </w:rPr>
        </w:r>
        <w:r w:rsidR="00516340">
          <w:rPr>
            <w:noProof/>
            <w:webHidden/>
          </w:rPr>
          <w:fldChar w:fldCharType="separate"/>
        </w:r>
        <w:r w:rsidR="00516340">
          <w:rPr>
            <w:noProof/>
            <w:webHidden/>
          </w:rPr>
          <w:t>25</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1" w:history="1">
        <w:r w:rsidR="00516340" w:rsidRPr="00CF7B90">
          <w:rPr>
            <w:rStyle w:val="Hyperlink"/>
            <w:noProof/>
            <w:lang w:val="es-ES_tradnl"/>
          </w:rPr>
          <w:t>¿Un enfoque para el desarrollo basado en los derechos?</w:t>
        </w:r>
        <w:r w:rsidR="00516340">
          <w:rPr>
            <w:noProof/>
            <w:webHidden/>
          </w:rPr>
          <w:tab/>
        </w:r>
        <w:r w:rsidR="00516340">
          <w:rPr>
            <w:noProof/>
            <w:webHidden/>
          </w:rPr>
          <w:fldChar w:fldCharType="begin"/>
        </w:r>
        <w:r w:rsidR="00516340">
          <w:rPr>
            <w:noProof/>
            <w:webHidden/>
          </w:rPr>
          <w:instrText xml:space="preserve"> PAGEREF _Toc369604931 \h </w:instrText>
        </w:r>
        <w:r w:rsidR="00516340">
          <w:rPr>
            <w:noProof/>
            <w:webHidden/>
          </w:rPr>
        </w:r>
        <w:r w:rsidR="00516340">
          <w:rPr>
            <w:noProof/>
            <w:webHidden/>
          </w:rPr>
          <w:fldChar w:fldCharType="separate"/>
        </w:r>
        <w:r w:rsidR="00516340">
          <w:rPr>
            <w:noProof/>
            <w:webHidden/>
          </w:rPr>
          <w:t>25</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932" w:history="1">
        <w:r w:rsidR="00516340" w:rsidRPr="00CF7B90">
          <w:rPr>
            <w:rStyle w:val="Hyperlink"/>
            <w:b/>
            <w:noProof/>
            <w:lang w:val="es-ES_tradnl"/>
          </w:rPr>
          <w:t>Una Perspectiva Sindical</w:t>
        </w:r>
        <w:r w:rsidR="00516340">
          <w:rPr>
            <w:noProof/>
            <w:webHidden/>
          </w:rPr>
          <w:tab/>
        </w:r>
        <w:r w:rsidR="00516340">
          <w:rPr>
            <w:noProof/>
            <w:webHidden/>
          </w:rPr>
          <w:fldChar w:fldCharType="begin"/>
        </w:r>
        <w:r w:rsidR="00516340">
          <w:rPr>
            <w:noProof/>
            <w:webHidden/>
          </w:rPr>
          <w:instrText xml:space="preserve"> PAGEREF _Toc369604932 \h </w:instrText>
        </w:r>
        <w:r w:rsidR="00516340">
          <w:rPr>
            <w:noProof/>
            <w:webHidden/>
          </w:rPr>
        </w:r>
        <w:r w:rsidR="00516340">
          <w:rPr>
            <w:noProof/>
            <w:webHidden/>
          </w:rPr>
          <w:fldChar w:fldCharType="separate"/>
        </w:r>
        <w:r w:rsidR="00516340">
          <w:rPr>
            <w:noProof/>
            <w:webHidden/>
          </w:rPr>
          <w:t>27</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33" w:history="1">
        <w:r w:rsidR="00516340" w:rsidRPr="00CF7B90">
          <w:rPr>
            <w:rStyle w:val="Hyperlink"/>
            <w:noProof/>
            <w:lang w:val="es-ES_tradnl"/>
          </w:rPr>
          <w:t>Dar prioridad a la protección social y a los servicios públicos</w:t>
        </w:r>
        <w:r w:rsidR="00516340">
          <w:rPr>
            <w:noProof/>
            <w:webHidden/>
          </w:rPr>
          <w:tab/>
        </w:r>
        <w:r w:rsidR="00516340">
          <w:rPr>
            <w:noProof/>
            <w:webHidden/>
          </w:rPr>
          <w:fldChar w:fldCharType="begin"/>
        </w:r>
        <w:r w:rsidR="00516340">
          <w:rPr>
            <w:noProof/>
            <w:webHidden/>
          </w:rPr>
          <w:instrText xml:space="preserve"> PAGEREF _Toc369604933 \h </w:instrText>
        </w:r>
        <w:r w:rsidR="00516340">
          <w:rPr>
            <w:noProof/>
            <w:webHidden/>
          </w:rPr>
        </w:r>
        <w:r w:rsidR="00516340">
          <w:rPr>
            <w:noProof/>
            <w:webHidden/>
          </w:rPr>
          <w:fldChar w:fldCharType="separate"/>
        </w:r>
        <w:r w:rsidR="00516340">
          <w:rPr>
            <w:noProof/>
            <w:webHidden/>
          </w:rPr>
          <w:t>27</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4" w:history="1">
        <w:r w:rsidR="00516340" w:rsidRPr="00CF7B90">
          <w:rPr>
            <w:rStyle w:val="Hyperlink"/>
            <w:noProof/>
            <w:lang w:val="es-ES_tradnl"/>
          </w:rPr>
          <w:t>Amparar la protección social y el objetivo de reducción de la pobreza en la ayuda al desarrollo</w:t>
        </w:r>
        <w:r w:rsidR="00516340">
          <w:rPr>
            <w:noProof/>
            <w:webHidden/>
          </w:rPr>
          <w:tab/>
        </w:r>
        <w:r w:rsidR="00516340">
          <w:rPr>
            <w:noProof/>
            <w:webHidden/>
          </w:rPr>
          <w:fldChar w:fldCharType="begin"/>
        </w:r>
        <w:r w:rsidR="00516340">
          <w:rPr>
            <w:noProof/>
            <w:webHidden/>
          </w:rPr>
          <w:instrText xml:space="preserve"> PAGEREF _Toc369604934 \h </w:instrText>
        </w:r>
        <w:r w:rsidR="00516340">
          <w:rPr>
            <w:noProof/>
            <w:webHidden/>
          </w:rPr>
        </w:r>
        <w:r w:rsidR="00516340">
          <w:rPr>
            <w:noProof/>
            <w:webHidden/>
          </w:rPr>
          <w:fldChar w:fldCharType="separate"/>
        </w:r>
        <w:r w:rsidR="00516340">
          <w:rPr>
            <w:noProof/>
            <w:webHidden/>
          </w:rPr>
          <w:t>27</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5" w:history="1">
        <w:r w:rsidR="00516340" w:rsidRPr="00CF7B90">
          <w:rPr>
            <w:rStyle w:val="Hyperlink"/>
            <w:noProof/>
            <w:lang w:val="es-ES_tradnl"/>
          </w:rPr>
          <w:t>Apropiación nacional y servicios públicos</w:t>
        </w:r>
        <w:r w:rsidR="00516340">
          <w:rPr>
            <w:noProof/>
            <w:webHidden/>
          </w:rPr>
          <w:tab/>
        </w:r>
        <w:r w:rsidR="00516340">
          <w:rPr>
            <w:noProof/>
            <w:webHidden/>
          </w:rPr>
          <w:fldChar w:fldCharType="begin"/>
        </w:r>
        <w:r w:rsidR="00516340">
          <w:rPr>
            <w:noProof/>
            <w:webHidden/>
          </w:rPr>
          <w:instrText xml:space="preserve"> PAGEREF _Toc369604935 \h </w:instrText>
        </w:r>
        <w:r w:rsidR="00516340">
          <w:rPr>
            <w:noProof/>
            <w:webHidden/>
          </w:rPr>
        </w:r>
        <w:r w:rsidR="00516340">
          <w:rPr>
            <w:noProof/>
            <w:webHidden/>
          </w:rPr>
          <w:fldChar w:fldCharType="separate"/>
        </w:r>
        <w:r w:rsidR="00516340">
          <w:rPr>
            <w:noProof/>
            <w:webHidden/>
          </w:rPr>
          <w:t>28</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6" w:history="1">
        <w:r w:rsidR="00516340" w:rsidRPr="00CF7B90">
          <w:rPr>
            <w:rStyle w:val="Hyperlink"/>
            <w:noProof/>
            <w:lang w:val="es-ES_tradnl"/>
          </w:rPr>
          <w:t>Coherencia política</w:t>
        </w:r>
        <w:r w:rsidR="00516340">
          <w:rPr>
            <w:noProof/>
            <w:webHidden/>
          </w:rPr>
          <w:tab/>
        </w:r>
        <w:r w:rsidR="00516340">
          <w:rPr>
            <w:noProof/>
            <w:webHidden/>
          </w:rPr>
          <w:fldChar w:fldCharType="begin"/>
        </w:r>
        <w:r w:rsidR="00516340">
          <w:rPr>
            <w:noProof/>
            <w:webHidden/>
          </w:rPr>
          <w:instrText xml:space="preserve"> PAGEREF _Toc369604936 \h </w:instrText>
        </w:r>
        <w:r w:rsidR="00516340">
          <w:rPr>
            <w:noProof/>
            <w:webHidden/>
          </w:rPr>
        </w:r>
        <w:r w:rsidR="00516340">
          <w:rPr>
            <w:noProof/>
            <w:webHidden/>
          </w:rPr>
          <w:fldChar w:fldCharType="separate"/>
        </w:r>
        <w:r w:rsidR="00516340">
          <w:rPr>
            <w:noProof/>
            <w:webHidden/>
          </w:rPr>
          <w:t>28</w:t>
        </w:r>
        <w:r w:rsidR="00516340">
          <w:rPr>
            <w:noProof/>
            <w:webHidden/>
          </w:rPr>
          <w:fldChar w:fldCharType="end"/>
        </w:r>
      </w:hyperlink>
    </w:p>
    <w:p w:rsidR="00516340" w:rsidRDefault="00AD6F10">
      <w:pPr>
        <w:pStyle w:val="TOC2"/>
        <w:tabs>
          <w:tab w:val="right" w:leader="dot" w:pos="9016"/>
        </w:tabs>
        <w:rPr>
          <w:rFonts w:asciiTheme="minorHAnsi" w:eastAsiaTheme="minorEastAsia" w:hAnsiTheme="minorHAnsi" w:cstheme="minorBidi"/>
          <w:noProof/>
          <w:sz w:val="22"/>
          <w:szCs w:val="22"/>
          <w:lang w:val="en-US" w:eastAsia="en-US"/>
        </w:rPr>
      </w:pPr>
      <w:hyperlink w:anchor="_Toc369604937" w:history="1">
        <w:r w:rsidR="00516340" w:rsidRPr="00CF7B90">
          <w:rPr>
            <w:rStyle w:val="Hyperlink"/>
            <w:noProof/>
            <w:lang w:val="es-ES_tradnl"/>
          </w:rPr>
          <w:t>Establecer condicionalidad al SPD</w:t>
        </w:r>
        <w:r w:rsidR="00516340">
          <w:rPr>
            <w:noProof/>
            <w:webHidden/>
          </w:rPr>
          <w:tab/>
        </w:r>
        <w:r w:rsidR="00516340">
          <w:rPr>
            <w:noProof/>
            <w:webHidden/>
          </w:rPr>
          <w:fldChar w:fldCharType="begin"/>
        </w:r>
        <w:r w:rsidR="00516340">
          <w:rPr>
            <w:noProof/>
            <w:webHidden/>
          </w:rPr>
          <w:instrText xml:space="preserve"> PAGEREF _Toc369604937 \h </w:instrText>
        </w:r>
        <w:r w:rsidR="00516340">
          <w:rPr>
            <w:noProof/>
            <w:webHidden/>
          </w:rPr>
        </w:r>
        <w:r w:rsidR="00516340">
          <w:rPr>
            <w:noProof/>
            <w:webHidden/>
          </w:rPr>
          <w:fldChar w:fldCharType="separate"/>
        </w:r>
        <w:r w:rsidR="00516340">
          <w:rPr>
            <w:noProof/>
            <w:webHidden/>
          </w:rPr>
          <w:t>28</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8" w:history="1">
        <w:r w:rsidR="00516340" w:rsidRPr="00CF7B90">
          <w:rPr>
            <w:rStyle w:val="Hyperlink"/>
            <w:noProof/>
            <w:lang w:val="es-ES_tradnl"/>
          </w:rPr>
          <w:t>Normas de la OIT y Programa de trabajo decente</w:t>
        </w:r>
        <w:r w:rsidR="00516340">
          <w:rPr>
            <w:noProof/>
            <w:webHidden/>
          </w:rPr>
          <w:tab/>
        </w:r>
        <w:r w:rsidR="00516340">
          <w:rPr>
            <w:noProof/>
            <w:webHidden/>
          </w:rPr>
          <w:fldChar w:fldCharType="begin"/>
        </w:r>
        <w:r w:rsidR="00516340">
          <w:rPr>
            <w:noProof/>
            <w:webHidden/>
          </w:rPr>
          <w:instrText xml:space="preserve"> PAGEREF _Toc369604938 \h </w:instrText>
        </w:r>
        <w:r w:rsidR="00516340">
          <w:rPr>
            <w:noProof/>
            <w:webHidden/>
          </w:rPr>
        </w:r>
        <w:r w:rsidR="00516340">
          <w:rPr>
            <w:noProof/>
            <w:webHidden/>
          </w:rPr>
          <w:fldChar w:fldCharType="separate"/>
        </w:r>
        <w:r w:rsidR="00516340">
          <w:rPr>
            <w:noProof/>
            <w:webHidden/>
          </w:rPr>
          <w:t>29</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39" w:history="1">
        <w:r w:rsidR="00516340" w:rsidRPr="00CF7B90">
          <w:rPr>
            <w:rStyle w:val="Hyperlink"/>
            <w:noProof/>
            <w:lang w:val="es-ES_tradnl"/>
          </w:rPr>
          <w:t>Diálogo social como base para la inclusividad</w:t>
        </w:r>
        <w:r w:rsidR="00516340">
          <w:rPr>
            <w:noProof/>
            <w:webHidden/>
          </w:rPr>
          <w:tab/>
        </w:r>
        <w:r w:rsidR="00516340">
          <w:rPr>
            <w:noProof/>
            <w:webHidden/>
          </w:rPr>
          <w:fldChar w:fldCharType="begin"/>
        </w:r>
        <w:r w:rsidR="00516340">
          <w:rPr>
            <w:noProof/>
            <w:webHidden/>
          </w:rPr>
          <w:instrText xml:space="preserve"> PAGEREF _Toc369604939 \h </w:instrText>
        </w:r>
        <w:r w:rsidR="00516340">
          <w:rPr>
            <w:noProof/>
            <w:webHidden/>
          </w:rPr>
        </w:r>
        <w:r w:rsidR="00516340">
          <w:rPr>
            <w:noProof/>
            <w:webHidden/>
          </w:rPr>
          <w:fldChar w:fldCharType="separate"/>
        </w:r>
        <w:r w:rsidR="00516340">
          <w:rPr>
            <w:noProof/>
            <w:webHidden/>
          </w:rPr>
          <w:t>29</w:t>
        </w:r>
        <w:r w:rsidR="00516340">
          <w:rPr>
            <w:noProof/>
            <w:webHidden/>
          </w:rPr>
          <w:fldChar w:fldCharType="end"/>
        </w:r>
      </w:hyperlink>
    </w:p>
    <w:p w:rsidR="00516340" w:rsidRDefault="00AD6F10">
      <w:pPr>
        <w:pStyle w:val="TOC3"/>
        <w:tabs>
          <w:tab w:val="right" w:leader="dot" w:pos="9016"/>
        </w:tabs>
        <w:rPr>
          <w:rFonts w:asciiTheme="minorHAnsi" w:eastAsiaTheme="minorEastAsia" w:hAnsiTheme="minorHAnsi" w:cstheme="minorBidi"/>
          <w:i w:val="0"/>
          <w:noProof/>
          <w:sz w:val="22"/>
          <w:szCs w:val="22"/>
          <w:lang w:val="en-US" w:eastAsia="en-US"/>
        </w:rPr>
      </w:pPr>
      <w:hyperlink w:anchor="_Toc369604940" w:history="1">
        <w:r w:rsidR="00516340" w:rsidRPr="00CF7B90">
          <w:rPr>
            <w:rStyle w:val="Hyperlink"/>
            <w:noProof/>
            <w:lang w:val="es-ES_tradnl"/>
          </w:rPr>
          <w:t>Responsabilidad corporativa y transparencia</w:t>
        </w:r>
        <w:r w:rsidR="00516340">
          <w:rPr>
            <w:noProof/>
            <w:webHidden/>
          </w:rPr>
          <w:tab/>
        </w:r>
        <w:r w:rsidR="00516340">
          <w:rPr>
            <w:noProof/>
            <w:webHidden/>
          </w:rPr>
          <w:fldChar w:fldCharType="begin"/>
        </w:r>
        <w:r w:rsidR="00516340">
          <w:rPr>
            <w:noProof/>
            <w:webHidden/>
          </w:rPr>
          <w:instrText xml:space="preserve"> PAGEREF _Toc369604940 \h </w:instrText>
        </w:r>
        <w:r w:rsidR="00516340">
          <w:rPr>
            <w:noProof/>
            <w:webHidden/>
          </w:rPr>
        </w:r>
        <w:r w:rsidR="00516340">
          <w:rPr>
            <w:noProof/>
            <w:webHidden/>
          </w:rPr>
          <w:fldChar w:fldCharType="separate"/>
        </w:r>
        <w:r w:rsidR="00516340">
          <w:rPr>
            <w:noProof/>
            <w:webHidden/>
          </w:rPr>
          <w:t>30</w:t>
        </w:r>
        <w:r w:rsidR="00516340">
          <w:rPr>
            <w:noProof/>
            <w:webHidden/>
          </w:rPr>
          <w:fldChar w:fldCharType="end"/>
        </w:r>
      </w:hyperlink>
    </w:p>
    <w:p w:rsidR="00516340" w:rsidRDefault="00AD6F10">
      <w:pPr>
        <w:pStyle w:val="TOC1"/>
        <w:tabs>
          <w:tab w:val="right" w:leader="dot" w:pos="9016"/>
        </w:tabs>
        <w:rPr>
          <w:rFonts w:asciiTheme="minorHAnsi" w:eastAsiaTheme="minorEastAsia" w:hAnsiTheme="minorHAnsi" w:cstheme="minorBidi"/>
          <w:noProof/>
          <w:sz w:val="22"/>
          <w:szCs w:val="22"/>
          <w:lang w:val="en-US" w:eastAsia="en-US"/>
        </w:rPr>
      </w:pPr>
      <w:hyperlink w:anchor="_Toc369604941" w:history="1">
        <w:r w:rsidR="00516340" w:rsidRPr="00CF7B90">
          <w:rPr>
            <w:rStyle w:val="Hyperlink"/>
            <w:b/>
            <w:noProof/>
            <w:lang w:val="es-ES_tradnl"/>
          </w:rPr>
          <w:t>Fuentes</w:t>
        </w:r>
        <w:r w:rsidR="00516340">
          <w:rPr>
            <w:noProof/>
            <w:webHidden/>
          </w:rPr>
          <w:tab/>
        </w:r>
        <w:r w:rsidR="00516340">
          <w:rPr>
            <w:noProof/>
            <w:webHidden/>
          </w:rPr>
          <w:fldChar w:fldCharType="begin"/>
        </w:r>
        <w:r w:rsidR="00516340">
          <w:rPr>
            <w:noProof/>
            <w:webHidden/>
          </w:rPr>
          <w:instrText xml:space="preserve"> PAGEREF _Toc369604941 \h </w:instrText>
        </w:r>
        <w:r w:rsidR="00516340">
          <w:rPr>
            <w:noProof/>
            <w:webHidden/>
          </w:rPr>
        </w:r>
        <w:r w:rsidR="00516340">
          <w:rPr>
            <w:noProof/>
            <w:webHidden/>
          </w:rPr>
          <w:fldChar w:fldCharType="separate"/>
        </w:r>
        <w:r w:rsidR="00516340">
          <w:rPr>
            <w:noProof/>
            <w:webHidden/>
          </w:rPr>
          <w:t>31</w:t>
        </w:r>
        <w:r w:rsidR="00516340">
          <w:rPr>
            <w:noProof/>
            <w:webHidden/>
          </w:rPr>
          <w:fldChar w:fldCharType="end"/>
        </w:r>
      </w:hyperlink>
    </w:p>
    <w:p w:rsidR="00C31BC3" w:rsidRPr="00153074" w:rsidRDefault="007F547E" w:rsidP="00C31BC3">
      <w:pPr>
        <w:jc w:val="both"/>
        <w:rPr>
          <w:lang w:val="es-ES_tradnl"/>
        </w:rPr>
      </w:pPr>
      <w:r w:rsidRPr="00153074">
        <w:rPr>
          <w:bCs/>
          <w:smallCaps/>
          <w:lang w:val="es-ES_tradnl"/>
        </w:rPr>
        <w:fldChar w:fldCharType="end"/>
      </w:r>
      <w:bookmarkStart w:id="4" w:name="_Toc357787296"/>
      <w:r w:rsidR="008C5F1D" w:rsidRPr="00153074">
        <w:rPr>
          <w:lang w:val="es-ES_tradnl"/>
        </w:rPr>
        <w:br w:type="page"/>
      </w:r>
      <w:bookmarkStart w:id="5" w:name="_Toc359331963"/>
    </w:p>
    <w:p w:rsidR="00B1268C" w:rsidRPr="00153074" w:rsidRDefault="00B1268C" w:rsidP="00DD60E4">
      <w:pPr>
        <w:pStyle w:val="Heading1"/>
        <w:shd w:val="clear" w:color="auto" w:fill="C2D69B"/>
        <w:spacing w:before="0" w:after="0"/>
        <w:rPr>
          <w:b/>
          <w:sz w:val="36"/>
          <w:u w:val="single"/>
          <w:lang w:val="es-ES_tradnl"/>
        </w:rPr>
      </w:pPr>
      <w:bookmarkStart w:id="6" w:name="_Toc369604898"/>
      <w:r w:rsidRPr="00153074">
        <w:rPr>
          <w:b/>
          <w:sz w:val="36"/>
          <w:u w:val="single"/>
          <w:lang w:val="es-ES_tradnl"/>
        </w:rPr>
        <w:lastRenderedPageBreak/>
        <w:t>Introduc</w:t>
      </w:r>
      <w:r w:rsidR="00132EAC" w:rsidRPr="00153074">
        <w:rPr>
          <w:b/>
          <w:sz w:val="36"/>
          <w:u w:val="single"/>
          <w:lang w:val="es-ES_tradnl"/>
        </w:rPr>
        <w:t>ción</w:t>
      </w:r>
      <w:bookmarkEnd w:id="3"/>
      <w:bookmarkEnd w:id="4"/>
      <w:bookmarkEnd w:id="5"/>
      <w:bookmarkEnd w:id="6"/>
    </w:p>
    <w:p w:rsidR="00B1268C" w:rsidRPr="00153074" w:rsidRDefault="00B1268C" w:rsidP="007462FA">
      <w:pPr>
        <w:jc w:val="both"/>
        <w:rPr>
          <w:lang w:val="es-ES_tradnl"/>
        </w:rPr>
      </w:pPr>
    </w:p>
    <w:p w:rsidR="009E691D" w:rsidRPr="00153074" w:rsidRDefault="00663E4C" w:rsidP="007462FA">
      <w:pPr>
        <w:jc w:val="both"/>
        <w:rPr>
          <w:lang w:val="es-ES_tradnl"/>
        </w:rPr>
      </w:pPr>
      <w:r w:rsidRPr="00153074">
        <w:rPr>
          <w:lang w:val="es-ES_tradnl"/>
        </w:rPr>
        <w:t xml:space="preserve">El papel del sector privado en el desarrollo se ha ido convirtiendo </w:t>
      </w:r>
      <w:r w:rsidR="00F2445E" w:rsidRPr="00153074">
        <w:rPr>
          <w:lang w:val="es-ES_tradnl"/>
        </w:rPr>
        <w:t>últimamente</w:t>
      </w:r>
      <w:r w:rsidR="001523C0" w:rsidRPr="00153074">
        <w:rPr>
          <w:lang w:val="es-ES_tradnl"/>
        </w:rPr>
        <w:t xml:space="preserve"> </w:t>
      </w:r>
      <w:r w:rsidRPr="00153074">
        <w:rPr>
          <w:lang w:val="es-ES_tradnl"/>
        </w:rPr>
        <w:t xml:space="preserve">en un importante </w:t>
      </w:r>
      <w:r w:rsidR="001523C0" w:rsidRPr="00153074">
        <w:rPr>
          <w:lang w:val="es-ES_tradnl"/>
        </w:rPr>
        <w:t xml:space="preserve">tema de </w:t>
      </w:r>
      <w:r w:rsidRPr="00153074">
        <w:rPr>
          <w:lang w:val="es-ES_tradnl"/>
        </w:rPr>
        <w:t>debate</w:t>
      </w:r>
      <w:r w:rsidR="009E691D" w:rsidRPr="00153074">
        <w:rPr>
          <w:lang w:val="es-ES_tradnl"/>
        </w:rPr>
        <w:t xml:space="preserve">. </w:t>
      </w:r>
      <w:r w:rsidR="001523C0" w:rsidRPr="00153074">
        <w:rPr>
          <w:lang w:val="es-ES_tradnl"/>
        </w:rPr>
        <w:t>Aunque</w:t>
      </w:r>
      <w:r w:rsidR="009E691D" w:rsidRPr="00153074">
        <w:rPr>
          <w:lang w:val="es-ES_tradnl"/>
        </w:rPr>
        <w:t xml:space="preserve"> </w:t>
      </w:r>
      <w:r w:rsidR="003342A0" w:rsidRPr="00153074">
        <w:rPr>
          <w:lang w:val="es-ES_tradnl"/>
        </w:rPr>
        <w:t xml:space="preserve">por lo general </w:t>
      </w:r>
      <w:r w:rsidR="001523C0" w:rsidRPr="00153074">
        <w:rPr>
          <w:lang w:val="es-ES_tradnl"/>
        </w:rPr>
        <w:t xml:space="preserve">no se trata de un tema </w:t>
      </w:r>
      <w:r w:rsidR="009E691D" w:rsidRPr="00153074">
        <w:rPr>
          <w:lang w:val="es-ES_tradnl"/>
        </w:rPr>
        <w:t xml:space="preserve">completamente nuevo, ha </w:t>
      </w:r>
      <w:r w:rsidR="00F2445E" w:rsidRPr="00153074">
        <w:rPr>
          <w:lang w:val="es-ES_tradnl"/>
        </w:rPr>
        <w:t xml:space="preserve">venido </w:t>
      </w:r>
      <w:r w:rsidR="001523C0" w:rsidRPr="00153074">
        <w:rPr>
          <w:lang w:val="es-ES_tradnl"/>
        </w:rPr>
        <w:t>gana</w:t>
      </w:r>
      <w:r w:rsidR="00F2445E" w:rsidRPr="00153074">
        <w:rPr>
          <w:lang w:val="es-ES_tradnl"/>
        </w:rPr>
        <w:t>n</w:t>
      </w:r>
      <w:r w:rsidR="001523C0" w:rsidRPr="00153074">
        <w:rPr>
          <w:lang w:val="es-ES_tradnl"/>
        </w:rPr>
        <w:t>do</w:t>
      </w:r>
      <w:r w:rsidR="00010A42" w:rsidRPr="00153074">
        <w:rPr>
          <w:lang w:val="es-ES_tradnl"/>
        </w:rPr>
        <w:t xml:space="preserve"> nuevos terrenos</w:t>
      </w:r>
      <w:r w:rsidR="001523C0" w:rsidRPr="00153074">
        <w:rPr>
          <w:lang w:val="es-ES_tradnl"/>
        </w:rPr>
        <w:t xml:space="preserve">, </w:t>
      </w:r>
      <w:r w:rsidR="0012757A" w:rsidRPr="00153074">
        <w:rPr>
          <w:lang w:val="es-ES_tradnl"/>
        </w:rPr>
        <w:t>y eso</w:t>
      </w:r>
      <w:r w:rsidR="001523C0" w:rsidRPr="00153074">
        <w:rPr>
          <w:lang w:val="es-ES_tradnl"/>
        </w:rPr>
        <w:t xml:space="preserve"> </w:t>
      </w:r>
      <w:r w:rsidR="003342A0" w:rsidRPr="00153074">
        <w:rPr>
          <w:lang w:val="es-ES_tradnl"/>
        </w:rPr>
        <w:t>ha</w:t>
      </w:r>
      <w:r w:rsidR="00080039" w:rsidRPr="00153074">
        <w:rPr>
          <w:lang w:val="es-ES_tradnl"/>
        </w:rPr>
        <w:t xml:space="preserve"> influido </w:t>
      </w:r>
      <w:r w:rsidR="00F2445E" w:rsidRPr="00153074">
        <w:rPr>
          <w:lang w:val="es-ES_tradnl"/>
        </w:rPr>
        <w:t xml:space="preserve">a su vez </w:t>
      </w:r>
      <w:r w:rsidR="00080039" w:rsidRPr="00153074">
        <w:rPr>
          <w:lang w:val="es-ES_tradnl"/>
        </w:rPr>
        <w:t xml:space="preserve">en </w:t>
      </w:r>
      <w:r w:rsidR="009275AC" w:rsidRPr="00153074">
        <w:rPr>
          <w:lang w:val="es-ES_tradnl"/>
        </w:rPr>
        <w:t xml:space="preserve">la obtención de </w:t>
      </w:r>
      <w:r w:rsidR="001523C0" w:rsidRPr="00153074">
        <w:rPr>
          <w:lang w:val="es-ES_tradnl"/>
        </w:rPr>
        <w:t>nuevos resultados</w:t>
      </w:r>
      <w:r w:rsidR="00080039" w:rsidRPr="00153074">
        <w:rPr>
          <w:lang w:val="es-ES_tradnl"/>
        </w:rPr>
        <w:t xml:space="preserve"> con implicaciones variables para</w:t>
      </w:r>
      <w:r w:rsidR="00943613" w:rsidRPr="00153074">
        <w:rPr>
          <w:lang w:val="es-ES_tradnl"/>
        </w:rPr>
        <w:t xml:space="preserve"> determinados compromisos mantenidos </w:t>
      </w:r>
      <w:r w:rsidR="001523C0" w:rsidRPr="00153074">
        <w:rPr>
          <w:lang w:val="es-ES_tradnl"/>
        </w:rPr>
        <w:t>durante</w:t>
      </w:r>
      <w:r w:rsidR="00943613" w:rsidRPr="00153074">
        <w:rPr>
          <w:lang w:val="es-ES_tradnl"/>
        </w:rPr>
        <w:t xml:space="preserve"> mucho tiempo con el desarrollo y la cooperación al desarrollo.</w:t>
      </w:r>
    </w:p>
    <w:p w:rsidR="001A57F9" w:rsidRPr="00153074" w:rsidRDefault="001A57F9" w:rsidP="001A57F9">
      <w:pPr>
        <w:rPr>
          <w:lang w:val="es-ES_tradnl"/>
        </w:rPr>
      </w:pPr>
    </w:p>
    <w:p w:rsidR="00510E06" w:rsidRPr="00153074" w:rsidRDefault="00303C9F" w:rsidP="007462FA">
      <w:pPr>
        <w:jc w:val="both"/>
        <w:rPr>
          <w:lang w:val="es-ES_tradnl"/>
        </w:rPr>
      </w:pPr>
      <w:r w:rsidRPr="00153074">
        <w:rPr>
          <w:lang w:val="es-ES_tradnl"/>
        </w:rPr>
        <w:t>Un creciente coro de voces en el seno de diversas instituciones multilaterales y organismos donantes de ayuda está abogando por el papel del sector privado en el desarrollo en una época en que, seguramente no por casualidad, los presupuestos de la AOD disminuyen y la fecha límite de 2015 de los Objetivos de Desarrollo del Milenio se va acercando rápidamente.</w:t>
      </w:r>
      <w:r w:rsidR="005B5619" w:rsidRPr="00153074">
        <w:rPr>
          <w:lang w:val="es-ES_tradnl"/>
        </w:rPr>
        <w:t xml:space="preserve"> </w:t>
      </w:r>
      <w:r w:rsidR="005C73F9" w:rsidRPr="00153074">
        <w:rPr>
          <w:lang w:val="es-ES_tradnl"/>
        </w:rPr>
        <w:t xml:space="preserve">Así pues, </w:t>
      </w:r>
      <w:r w:rsidR="00943613" w:rsidRPr="00153074">
        <w:rPr>
          <w:lang w:val="es-ES_tradnl"/>
        </w:rPr>
        <w:t xml:space="preserve">el origen de esta reciente atracción </w:t>
      </w:r>
      <w:r w:rsidR="005B5619" w:rsidRPr="00153074">
        <w:rPr>
          <w:lang w:val="es-ES_tradnl"/>
        </w:rPr>
        <w:t>por</w:t>
      </w:r>
      <w:r w:rsidR="00943613" w:rsidRPr="00153074">
        <w:rPr>
          <w:lang w:val="es-ES_tradnl"/>
        </w:rPr>
        <w:t xml:space="preserve"> el sector privado en el desarrollo, sobre todo entre los proveedores de ayuda,</w:t>
      </w:r>
      <w:r w:rsidR="003503A6" w:rsidRPr="00153074">
        <w:rPr>
          <w:lang w:val="es-ES_tradnl"/>
        </w:rPr>
        <w:t xml:space="preserve"> parece estar dirigid</w:t>
      </w:r>
      <w:r w:rsidR="005C73F9" w:rsidRPr="00153074">
        <w:rPr>
          <w:lang w:val="es-ES_tradnl"/>
        </w:rPr>
        <w:t>o,</w:t>
      </w:r>
      <w:r w:rsidR="00CD2088" w:rsidRPr="00153074">
        <w:rPr>
          <w:lang w:val="es-ES_tradnl"/>
        </w:rPr>
        <w:t xml:space="preserve"> </w:t>
      </w:r>
      <w:r w:rsidR="005C73F9" w:rsidRPr="00153074">
        <w:rPr>
          <w:lang w:val="es-ES_tradnl"/>
        </w:rPr>
        <w:t xml:space="preserve">por una parte, </w:t>
      </w:r>
      <w:r w:rsidR="00CD2088" w:rsidRPr="00153074">
        <w:rPr>
          <w:lang w:val="es-ES_tradnl"/>
        </w:rPr>
        <w:t xml:space="preserve">a apoyar las deficiencias de la AOD, mientras que, por otra, parece reflejar cierta necesidad de encontrar un </w:t>
      </w:r>
      <w:r w:rsidR="002A7792" w:rsidRPr="00153074">
        <w:rPr>
          <w:lang w:val="es-ES_tradnl"/>
        </w:rPr>
        <w:t>“</w:t>
      </w:r>
      <w:r w:rsidR="00CD2088" w:rsidRPr="00153074">
        <w:rPr>
          <w:lang w:val="es-ES_tradnl"/>
        </w:rPr>
        <w:t>cambio de juego</w:t>
      </w:r>
      <w:r w:rsidR="002A7792" w:rsidRPr="00153074">
        <w:rPr>
          <w:lang w:val="es-ES_tradnl"/>
        </w:rPr>
        <w:t>”</w:t>
      </w:r>
      <w:r w:rsidR="00CD2088" w:rsidRPr="00153074">
        <w:rPr>
          <w:lang w:val="es-ES_tradnl"/>
        </w:rPr>
        <w:t xml:space="preserve"> que nos </w:t>
      </w:r>
      <w:r w:rsidR="00B32F21" w:rsidRPr="00153074">
        <w:rPr>
          <w:lang w:val="es-ES_tradnl"/>
        </w:rPr>
        <w:t>sitúe</w:t>
      </w:r>
      <w:r w:rsidR="00CD2088" w:rsidRPr="00153074">
        <w:rPr>
          <w:lang w:val="es-ES_tradnl"/>
        </w:rPr>
        <w:t xml:space="preserve"> en la vía </w:t>
      </w:r>
      <w:r w:rsidR="00F02265" w:rsidRPr="00153074">
        <w:rPr>
          <w:lang w:val="es-ES_tradnl"/>
        </w:rPr>
        <w:t>que conduzca al cumplimiento de</w:t>
      </w:r>
      <w:r w:rsidR="00CD2088" w:rsidRPr="00153074">
        <w:rPr>
          <w:lang w:val="es-ES_tradnl"/>
        </w:rPr>
        <w:t xml:space="preserve"> los ODM. Muchos </w:t>
      </w:r>
      <w:r w:rsidR="00B32F21" w:rsidRPr="00153074">
        <w:rPr>
          <w:lang w:val="es-ES_tradnl"/>
        </w:rPr>
        <w:t>rincones</w:t>
      </w:r>
      <w:r w:rsidR="00CD2088" w:rsidRPr="00153074">
        <w:rPr>
          <w:lang w:val="es-ES_tradnl"/>
        </w:rPr>
        <w:t xml:space="preserve"> de la comunidad internacional de desarrollo, en especial los proveedores de la AOD, parecen haberse asentado </w:t>
      </w:r>
      <w:r w:rsidR="00F02265" w:rsidRPr="00153074">
        <w:rPr>
          <w:lang w:val="es-ES_tradnl"/>
        </w:rPr>
        <w:t>en</w:t>
      </w:r>
      <w:r w:rsidR="00CD2088" w:rsidRPr="00153074">
        <w:rPr>
          <w:lang w:val="es-ES_tradnl"/>
        </w:rPr>
        <w:t xml:space="preserve"> un nuevo tema prioritario</w:t>
      </w:r>
      <w:r w:rsidR="00510E06" w:rsidRPr="00153074">
        <w:rPr>
          <w:lang w:val="es-ES_tradnl"/>
        </w:rPr>
        <w:t xml:space="preserve"> que probablemente sell</w:t>
      </w:r>
      <w:r w:rsidR="00B32F21" w:rsidRPr="00153074">
        <w:rPr>
          <w:lang w:val="es-ES_tradnl"/>
        </w:rPr>
        <w:t>e</w:t>
      </w:r>
      <w:r w:rsidR="00510E06" w:rsidRPr="00153074">
        <w:rPr>
          <w:lang w:val="es-ES_tradnl"/>
        </w:rPr>
        <w:t xml:space="preserve"> la recta final hasta el </w:t>
      </w:r>
      <w:r w:rsidR="00AB2E15" w:rsidRPr="00153074">
        <w:rPr>
          <w:lang w:val="es-ES_tradnl"/>
        </w:rPr>
        <w:t>horizonte</w:t>
      </w:r>
      <w:r w:rsidR="00510E06" w:rsidRPr="00153074">
        <w:rPr>
          <w:lang w:val="es-ES_tradnl"/>
        </w:rPr>
        <w:t xml:space="preserve"> de los ODM de 2015: el sector privado para el desarrollo.</w:t>
      </w:r>
    </w:p>
    <w:p w:rsidR="00943613" w:rsidRPr="00153074" w:rsidRDefault="00943613" w:rsidP="007462FA">
      <w:pPr>
        <w:jc w:val="both"/>
        <w:rPr>
          <w:lang w:val="es-ES_tradnl"/>
        </w:rPr>
      </w:pPr>
    </w:p>
    <w:p w:rsidR="00BA6F89" w:rsidRPr="00153074" w:rsidRDefault="00BA6F89" w:rsidP="007462FA">
      <w:pPr>
        <w:jc w:val="both"/>
        <w:rPr>
          <w:lang w:val="es-ES_tradnl"/>
        </w:rPr>
      </w:pPr>
      <w:r w:rsidRPr="00153074">
        <w:rPr>
          <w:lang w:val="es-ES_tradnl"/>
        </w:rPr>
        <w:t>No obstante, a pesar</w:t>
      </w:r>
      <w:r w:rsidR="00292EA5" w:rsidRPr="00153074">
        <w:rPr>
          <w:lang w:val="es-ES_tradnl"/>
        </w:rPr>
        <w:t xml:space="preserve"> de la desbandada hacia el sector privado, </w:t>
      </w:r>
      <w:r w:rsidR="00F02265" w:rsidRPr="00153074">
        <w:rPr>
          <w:lang w:val="es-ES_tradnl"/>
        </w:rPr>
        <w:t xml:space="preserve">hay una </w:t>
      </w:r>
      <w:r w:rsidR="00292EA5" w:rsidRPr="00153074">
        <w:rPr>
          <w:lang w:val="es-ES_tradnl"/>
        </w:rPr>
        <w:t>falta</w:t>
      </w:r>
      <w:r w:rsidR="00AB2E15" w:rsidRPr="00153074">
        <w:rPr>
          <w:lang w:val="es-ES_tradnl"/>
        </w:rPr>
        <w:t xml:space="preserve"> de</w:t>
      </w:r>
      <w:r w:rsidR="00292EA5" w:rsidRPr="00153074">
        <w:rPr>
          <w:lang w:val="es-ES_tradnl"/>
        </w:rPr>
        <w:t xml:space="preserve"> claridad </w:t>
      </w:r>
      <w:r w:rsidR="00F02265" w:rsidRPr="00153074">
        <w:rPr>
          <w:lang w:val="es-ES_tradnl"/>
        </w:rPr>
        <w:t>en cuanto a</w:t>
      </w:r>
      <w:r w:rsidR="00292EA5" w:rsidRPr="00153074">
        <w:rPr>
          <w:lang w:val="es-ES_tradnl"/>
        </w:rPr>
        <w:t xml:space="preserve"> </w:t>
      </w:r>
      <w:r w:rsidR="00AB2E15" w:rsidRPr="00153074">
        <w:rPr>
          <w:lang w:val="es-ES_tradnl"/>
        </w:rPr>
        <w:t>la manera de abordar esta</w:t>
      </w:r>
      <w:r w:rsidR="00292EA5" w:rsidRPr="00153074">
        <w:rPr>
          <w:lang w:val="es-ES_tradnl"/>
        </w:rPr>
        <w:t xml:space="preserve"> cuestión en la práctica</w:t>
      </w:r>
      <w:r w:rsidR="00AB2E15" w:rsidRPr="00153074">
        <w:rPr>
          <w:lang w:val="es-ES_tradnl"/>
        </w:rPr>
        <w:t xml:space="preserve">, y ello </w:t>
      </w:r>
      <w:r w:rsidR="00292EA5" w:rsidRPr="00153074">
        <w:rPr>
          <w:lang w:val="es-ES_tradnl"/>
        </w:rPr>
        <w:t>se debe a la compleja naturaleza del propio sector privado, a las agendas divergentes con relación al papel que el sector privado debería desempeñar, y a si el sector privado debería estar recibiendo recursos públicos para empezar.</w:t>
      </w:r>
    </w:p>
    <w:p w:rsidR="00B1268C" w:rsidRPr="00153074" w:rsidRDefault="00B1268C" w:rsidP="007462FA">
      <w:pPr>
        <w:jc w:val="both"/>
        <w:rPr>
          <w:rFonts w:ascii="Arial" w:hAnsi="Arial" w:cs="Arial"/>
          <w:sz w:val="20"/>
          <w:szCs w:val="20"/>
          <w:lang w:val="es-ES_tradnl"/>
        </w:rPr>
      </w:pPr>
    </w:p>
    <w:p w:rsidR="007B4563" w:rsidRPr="00153074" w:rsidRDefault="007B4563" w:rsidP="007462FA">
      <w:pPr>
        <w:jc w:val="both"/>
        <w:rPr>
          <w:lang w:val="es-ES_tradnl"/>
        </w:rPr>
      </w:pPr>
      <w:r w:rsidRPr="00153074">
        <w:rPr>
          <w:lang w:val="es-ES_tradnl"/>
        </w:rPr>
        <w:t xml:space="preserve">El riesgo de precipitarse </w:t>
      </w:r>
      <w:r w:rsidR="00E46A76" w:rsidRPr="00153074">
        <w:rPr>
          <w:lang w:val="es-ES_tradnl"/>
        </w:rPr>
        <w:t>de cualquier manera</w:t>
      </w:r>
      <w:r w:rsidRPr="00153074">
        <w:rPr>
          <w:lang w:val="es-ES_tradnl"/>
        </w:rPr>
        <w:t xml:space="preserve"> en este programa</w:t>
      </w:r>
      <w:r w:rsidR="00E46A76" w:rsidRPr="00153074">
        <w:rPr>
          <w:lang w:val="es-ES_tradnl"/>
        </w:rPr>
        <w:t>,</w:t>
      </w:r>
      <w:r w:rsidRPr="00153074">
        <w:rPr>
          <w:lang w:val="es-ES_tradnl"/>
        </w:rPr>
        <w:t xml:space="preserve"> si</w:t>
      </w:r>
      <w:r w:rsidR="00E46A76" w:rsidRPr="00153074">
        <w:rPr>
          <w:lang w:val="es-ES_tradnl"/>
        </w:rPr>
        <w:t>n realizar</w:t>
      </w:r>
      <w:r w:rsidR="007E24FB" w:rsidRPr="00153074">
        <w:rPr>
          <w:lang w:val="es-ES_tradnl"/>
        </w:rPr>
        <w:t xml:space="preserve"> previamente</w:t>
      </w:r>
      <w:r w:rsidRPr="00153074">
        <w:rPr>
          <w:lang w:val="es-ES_tradnl"/>
        </w:rPr>
        <w:t xml:space="preserve"> una evaluación seria de los </w:t>
      </w:r>
      <w:r w:rsidR="007E24FB" w:rsidRPr="00153074">
        <w:rPr>
          <w:lang w:val="es-ES_tradnl"/>
        </w:rPr>
        <w:t xml:space="preserve">aspectos positivos y negativos que representa </w:t>
      </w:r>
      <w:r w:rsidRPr="00153074">
        <w:rPr>
          <w:lang w:val="es-ES_tradnl"/>
        </w:rPr>
        <w:t>el papel del sector privado</w:t>
      </w:r>
      <w:r w:rsidR="007E24FB" w:rsidRPr="00153074">
        <w:rPr>
          <w:lang w:val="es-ES_tradnl"/>
        </w:rPr>
        <w:t xml:space="preserve"> en</w:t>
      </w:r>
      <w:r w:rsidRPr="00153074">
        <w:rPr>
          <w:lang w:val="es-ES_tradnl"/>
        </w:rPr>
        <w:t xml:space="preserve"> el desarrollo</w:t>
      </w:r>
      <w:r w:rsidR="00E46A76" w:rsidRPr="00153074">
        <w:rPr>
          <w:lang w:val="es-ES_tradnl"/>
        </w:rPr>
        <w:t>,</w:t>
      </w:r>
      <w:r w:rsidRPr="00153074">
        <w:rPr>
          <w:lang w:val="es-ES_tradnl"/>
        </w:rPr>
        <w:t xml:space="preserve"> es </w:t>
      </w:r>
      <w:r w:rsidR="007E24FB" w:rsidRPr="00153074">
        <w:rPr>
          <w:lang w:val="es-ES_tradnl"/>
        </w:rPr>
        <w:t>considerable</w:t>
      </w:r>
      <w:r w:rsidRPr="00153074">
        <w:rPr>
          <w:lang w:val="es-ES_tradnl"/>
        </w:rPr>
        <w:t>.</w:t>
      </w:r>
      <w:r w:rsidR="00413B5E" w:rsidRPr="00153074">
        <w:rPr>
          <w:lang w:val="es-ES_tradnl"/>
        </w:rPr>
        <w:t xml:space="preserve"> La inclusión del sector privado en el desarrollo es bienvenida y necesaria, pero no podemos </w:t>
      </w:r>
      <w:r w:rsidR="00BE696B" w:rsidRPr="00153074">
        <w:rPr>
          <w:lang w:val="es-ES_tradnl"/>
        </w:rPr>
        <w:t>asumir</w:t>
      </w:r>
      <w:r w:rsidR="00413B5E" w:rsidRPr="00153074">
        <w:rPr>
          <w:lang w:val="es-ES_tradnl"/>
        </w:rPr>
        <w:t xml:space="preserve"> que vaya a ser una panacea para todos los </w:t>
      </w:r>
      <w:r w:rsidR="00BA2E7F" w:rsidRPr="00153074">
        <w:rPr>
          <w:lang w:val="es-ES_tradnl"/>
        </w:rPr>
        <w:t>desafíos</w:t>
      </w:r>
      <w:r w:rsidR="00413B5E" w:rsidRPr="00153074">
        <w:rPr>
          <w:lang w:val="es-ES_tradnl"/>
        </w:rPr>
        <w:t xml:space="preserve"> que presenta</w:t>
      </w:r>
      <w:r w:rsidR="00E46A76" w:rsidRPr="00153074">
        <w:rPr>
          <w:lang w:val="es-ES_tradnl"/>
        </w:rPr>
        <w:t xml:space="preserve"> </w:t>
      </w:r>
      <w:r w:rsidR="00BA2E7F" w:rsidRPr="00153074">
        <w:rPr>
          <w:lang w:val="es-ES_tradnl"/>
        </w:rPr>
        <w:t>en estos momentos</w:t>
      </w:r>
      <w:r w:rsidR="00BE696B" w:rsidRPr="00153074">
        <w:rPr>
          <w:lang w:val="es-ES_tradnl"/>
        </w:rPr>
        <w:t xml:space="preserve"> </w:t>
      </w:r>
      <w:r w:rsidR="00E46A76" w:rsidRPr="00153074">
        <w:rPr>
          <w:lang w:val="es-ES_tradnl"/>
        </w:rPr>
        <w:t>el</w:t>
      </w:r>
      <w:r w:rsidR="00413B5E" w:rsidRPr="00153074">
        <w:rPr>
          <w:lang w:val="es-ES_tradnl"/>
        </w:rPr>
        <w:t xml:space="preserve"> desarrollo. Los </w:t>
      </w:r>
      <w:r w:rsidR="00BE696B" w:rsidRPr="00153074">
        <w:rPr>
          <w:lang w:val="es-ES_tradnl"/>
        </w:rPr>
        <w:t>diversos</w:t>
      </w:r>
      <w:r w:rsidR="00413B5E" w:rsidRPr="00153074">
        <w:rPr>
          <w:lang w:val="es-ES_tradnl"/>
        </w:rPr>
        <w:t xml:space="preserve"> </w:t>
      </w:r>
      <w:r w:rsidR="00413B5E" w:rsidRPr="00153074">
        <w:rPr>
          <w:i/>
          <w:lang w:val="es-ES_tradnl"/>
        </w:rPr>
        <w:t xml:space="preserve">instrumentos </w:t>
      </w:r>
      <w:r w:rsidR="00413B5E" w:rsidRPr="00153074">
        <w:rPr>
          <w:lang w:val="es-ES_tradnl"/>
        </w:rPr>
        <w:t xml:space="preserve">del sector privado para el desarrollo </w:t>
      </w:r>
      <w:r w:rsidR="00E46A76" w:rsidRPr="00153074">
        <w:rPr>
          <w:lang w:val="es-ES_tradnl"/>
        </w:rPr>
        <w:t>que</w:t>
      </w:r>
      <w:r w:rsidR="00413B5E" w:rsidRPr="00153074">
        <w:rPr>
          <w:lang w:val="es-ES_tradnl"/>
        </w:rPr>
        <w:t xml:space="preserve"> </w:t>
      </w:r>
      <w:r w:rsidR="00E46A76" w:rsidRPr="00153074">
        <w:rPr>
          <w:lang w:val="es-ES_tradnl"/>
        </w:rPr>
        <w:t xml:space="preserve">se </w:t>
      </w:r>
      <w:r w:rsidR="00413B5E" w:rsidRPr="00153074">
        <w:rPr>
          <w:lang w:val="es-ES_tradnl"/>
        </w:rPr>
        <w:t xml:space="preserve">están discutiendo </w:t>
      </w:r>
      <w:r w:rsidR="00BA2E7F" w:rsidRPr="00153074">
        <w:rPr>
          <w:lang w:val="es-ES_tradnl"/>
        </w:rPr>
        <w:t>en</w:t>
      </w:r>
      <w:r w:rsidR="00413B5E" w:rsidRPr="00153074">
        <w:rPr>
          <w:lang w:val="es-ES_tradnl"/>
        </w:rPr>
        <w:t xml:space="preserve"> </w:t>
      </w:r>
      <w:r w:rsidR="00BE696B" w:rsidRPr="00153074">
        <w:rPr>
          <w:lang w:val="es-ES_tradnl"/>
        </w:rPr>
        <w:t>diferentes</w:t>
      </w:r>
      <w:r w:rsidR="00413B5E" w:rsidRPr="00153074">
        <w:rPr>
          <w:lang w:val="es-ES_tradnl"/>
        </w:rPr>
        <w:t xml:space="preserve"> foros requieren</w:t>
      </w:r>
      <w:r w:rsidR="00BE696B" w:rsidRPr="00153074">
        <w:rPr>
          <w:lang w:val="es-ES_tradnl"/>
        </w:rPr>
        <w:t xml:space="preserve"> un</w:t>
      </w:r>
      <w:r w:rsidR="00413B5E" w:rsidRPr="00153074">
        <w:rPr>
          <w:lang w:val="es-ES_tradnl"/>
        </w:rPr>
        <w:t xml:space="preserve"> cierto escrutinio </w:t>
      </w:r>
      <w:r w:rsidR="00BE696B" w:rsidRPr="00153074">
        <w:rPr>
          <w:lang w:val="es-ES_tradnl"/>
        </w:rPr>
        <w:t>para</w:t>
      </w:r>
      <w:r w:rsidR="00413B5E" w:rsidRPr="00153074">
        <w:rPr>
          <w:lang w:val="es-ES_tradnl"/>
        </w:rPr>
        <w:t xml:space="preserve"> garantizar </w:t>
      </w:r>
      <w:r w:rsidR="00BA2E7F" w:rsidRPr="00153074">
        <w:rPr>
          <w:lang w:val="es-ES_tradnl"/>
        </w:rPr>
        <w:t>su buen funcionamiento</w:t>
      </w:r>
      <w:r w:rsidR="00413B5E" w:rsidRPr="00153074">
        <w:rPr>
          <w:lang w:val="es-ES_tradnl"/>
        </w:rPr>
        <w:t xml:space="preserve"> en </w:t>
      </w:r>
      <w:r w:rsidR="006C7A9E" w:rsidRPr="00153074">
        <w:rPr>
          <w:lang w:val="es-ES_tradnl"/>
        </w:rPr>
        <w:t>aras</w:t>
      </w:r>
      <w:r w:rsidR="00413B5E" w:rsidRPr="00153074">
        <w:rPr>
          <w:lang w:val="es-ES_tradnl"/>
        </w:rPr>
        <w:t xml:space="preserve"> del desarrollo.</w:t>
      </w:r>
    </w:p>
    <w:p w:rsidR="00B1268C" w:rsidRPr="00153074" w:rsidRDefault="00B1268C" w:rsidP="007462FA">
      <w:pPr>
        <w:jc w:val="both"/>
        <w:rPr>
          <w:rFonts w:ascii="Arial" w:hAnsi="Arial" w:cs="Arial"/>
          <w:sz w:val="20"/>
          <w:szCs w:val="20"/>
          <w:lang w:val="es-ES_tradnl"/>
        </w:rPr>
      </w:pPr>
    </w:p>
    <w:p w:rsidR="00413B5E" w:rsidRPr="00153074" w:rsidRDefault="00413B5E" w:rsidP="007462FA">
      <w:pPr>
        <w:jc w:val="both"/>
        <w:rPr>
          <w:lang w:val="es-ES_tradnl"/>
        </w:rPr>
      </w:pPr>
      <w:r w:rsidRPr="00153074">
        <w:rPr>
          <w:lang w:val="es-ES_tradnl"/>
        </w:rPr>
        <w:t>El debate sobre el papel del sector privado en el desarrollo no es de ninguna manera un concepto nuevo –</w:t>
      </w:r>
      <w:r w:rsidR="00CC1480" w:rsidRPr="00153074">
        <w:rPr>
          <w:lang w:val="es-ES_tradnl"/>
        </w:rPr>
        <w:t xml:space="preserve"> </w:t>
      </w:r>
      <w:r w:rsidR="002A6D3C" w:rsidRPr="00153074">
        <w:rPr>
          <w:lang w:val="es-ES_tradnl"/>
        </w:rPr>
        <w:t xml:space="preserve">expertos, responsables políticos y profesionales del desarrollo por igual </w:t>
      </w:r>
      <w:r w:rsidR="00182D08" w:rsidRPr="00153074">
        <w:rPr>
          <w:lang w:val="es-ES_tradnl"/>
        </w:rPr>
        <w:t xml:space="preserve">han estado </w:t>
      </w:r>
      <w:r w:rsidR="00295D16" w:rsidRPr="00153074">
        <w:rPr>
          <w:lang w:val="es-ES_tradnl"/>
        </w:rPr>
        <w:t>estudiando</w:t>
      </w:r>
      <w:r w:rsidR="00182D08" w:rsidRPr="00153074">
        <w:rPr>
          <w:lang w:val="es-ES_tradnl"/>
        </w:rPr>
        <w:t xml:space="preserve"> y defendiendo </w:t>
      </w:r>
      <w:r w:rsidR="00507419" w:rsidRPr="00153074">
        <w:rPr>
          <w:lang w:val="es-ES_tradnl"/>
        </w:rPr>
        <w:t xml:space="preserve">durante décadas </w:t>
      </w:r>
      <w:r w:rsidR="00182D08" w:rsidRPr="00153074">
        <w:rPr>
          <w:lang w:val="es-ES_tradnl"/>
        </w:rPr>
        <w:t xml:space="preserve">el papel del sector privado en el desarrollo. La diferencia </w:t>
      </w:r>
      <w:r w:rsidR="00CC1480" w:rsidRPr="00153074">
        <w:rPr>
          <w:lang w:val="es-ES_tradnl"/>
        </w:rPr>
        <w:t>en el período posterior a</w:t>
      </w:r>
      <w:r w:rsidR="00182D08" w:rsidRPr="00153074">
        <w:rPr>
          <w:lang w:val="es-ES_tradnl"/>
        </w:rPr>
        <w:t xml:space="preserve"> la crisis de 2008 parece se</w:t>
      </w:r>
      <w:r w:rsidR="00295D16" w:rsidRPr="00153074">
        <w:rPr>
          <w:lang w:val="es-ES_tradnl"/>
        </w:rPr>
        <w:t>r</w:t>
      </w:r>
      <w:r w:rsidR="00182D08" w:rsidRPr="00153074">
        <w:rPr>
          <w:lang w:val="es-ES_tradnl"/>
        </w:rPr>
        <w:t xml:space="preserve"> que la cuestión ha </w:t>
      </w:r>
      <w:r w:rsidR="00D20F00" w:rsidRPr="00153074">
        <w:rPr>
          <w:lang w:val="es-ES_tradnl"/>
        </w:rPr>
        <w:t xml:space="preserve">ascendido </w:t>
      </w:r>
      <w:r w:rsidR="00507419" w:rsidRPr="00153074">
        <w:rPr>
          <w:lang w:val="es-ES_tradnl"/>
        </w:rPr>
        <w:t xml:space="preserve">hace </w:t>
      </w:r>
      <w:r w:rsidR="001356D2" w:rsidRPr="00153074">
        <w:rPr>
          <w:lang w:val="es-ES_tradnl"/>
        </w:rPr>
        <w:t>relativamente</w:t>
      </w:r>
      <w:r w:rsidR="00507419" w:rsidRPr="00153074">
        <w:rPr>
          <w:lang w:val="es-ES_tradnl"/>
        </w:rPr>
        <w:t xml:space="preserve"> poco </w:t>
      </w:r>
      <w:r w:rsidR="00D20F00" w:rsidRPr="00153074">
        <w:rPr>
          <w:lang w:val="es-ES_tradnl"/>
        </w:rPr>
        <w:t xml:space="preserve">el tótem político para convertirse en una prioridad </w:t>
      </w:r>
      <w:r w:rsidR="00867691" w:rsidRPr="00153074">
        <w:rPr>
          <w:lang w:val="es-ES_tradnl"/>
        </w:rPr>
        <w:t>de las máximas esferas política</w:t>
      </w:r>
      <w:r w:rsidR="00507419" w:rsidRPr="00153074">
        <w:rPr>
          <w:lang w:val="es-ES_tradnl"/>
        </w:rPr>
        <w:t>s</w:t>
      </w:r>
      <w:r w:rsidR="00D20F00" w:rsidRPr="00153074">
        <w:rPr>
          <w:lang w:val="es-ES_tradnl"/>
        </w:rPr>
        <w:t xml:space="preserve">. </w:t>
      </w:r>
      <w:r w:rsidR="00507419" w:rsidRPr="00153074">
        <w:rPr>
          <w:lang w:val="es-ES_tradnl"/>
        </w:rPr>
        <w:t>L</w:t>
      </w:r>
      <w:r w:rsidR="00D20F00" w:rsidRPr="00153074">
        <w:rPr>
          <w:lang w:val="es-ES_tradnl"/>
        </w:rPr>
        <w:t xml:space="preserve">os resultados </w:t>
      </w:r>
      <w:r w:rsidR="00295D16" w:rsidRPr="00153074">
        <w:rPr>
          <w:lang w:val="es-ES_tradnl"/>
        </w:rPr>
        <w:t>d</w:t>
      </w:r>
      <w:r w:rsidR="00D20F00" w:rsidRPr="00153074">
        <w:rPr>
          <w:lang w:val="es-ES_tradnl"/>
        </w:rPr>
        <w:t xml:space="preserve">el </w:t>
      </w:r>
      <w:r w:rsidR="00DC7C30" w:rsidRPr="00153074">
        <w:rPr>
          <w:lang w:val="es-ES_tradnl"/>
        </w:rPr>
        <w:t>IV</w:t>
      </w:r>
      <w:r w:rsidR="00D20F00" w:rsidRPr="00153074">
        <w:rPr>
          <w:lang w:val="es-ES_tradnl"/>
        </w:rPr>
        <w:t xml:space="preserve"> Foro de Alto Nivel sobre la Eficacia de la Ayuda en Busan</w:t>
      </w:r>
      <w:r w:rsidR="00295D16" w:rsidRPr="00153074">
        <w:rPr>
          <w:lang w:val="es-ES_tradnl"/>
        </w:rPr>
        <w:t xml:space="preserve"> (</w:t>
      </w:r>
      <w:r w:rsidR="00D20F00" w:rsidRPr="00153074">
        <w:rPr>
          <w:lang w:val="es-ES_tradnl"/>
        </w:rPr>
        <w:t>Corea</w:t>
      </w:r>
      <w:r w:rsidR="00295D16" w:rsidRPr="00153074">
        <w:rPr>
          <w:lang w:val="es-ES_tradnl"/>
        </w:rPr>
        <w:t>)</w:t>
      </w:r>
      <w:r w:rsidR="00D20F00" w:rsidRPr="00153074">
        <w:rPr>
          <w:lang w:val="es-ES_tradnl"/>
        </w:rPr>
        <w:t xml:space="preserve"> y </w:t>
      </w:r>
      <w:r w:rsidR="00867691" w:rsidRPr="00153074">
        <w:rPr>
          <w:lang w:val="es-ES_tradnl"/>
        </w:rPr>
        <w:t xml:space="preserve">las </w:t>
      </w:r>
      <w:r w:rsidR="00D20F00" w:rsidRPr="00153074">
        <w:rPr>
          <w:lang w:val="es-ES_tradnl"/>
        </w:rPr>
        <w:t>recientes declaraciones del G20</w:t>
      </w:r>
      <w:r w:rsidR="00507419" w:rsidRPr="00153074">
        <w:rPr>
          <w:lang w:val="es-ES_tradnl"/>
        </w:rPr>
        <w:t xml:space="preserve"> </w:t>
      </w:r>
      <w:r w:rsidR="00DC7C30" w:rsidRPr="00153074">
        <w:rPr>
          <w:lang w:val="es-ES_tradnl"/>
        </w:rPr>
        <w:t>lo corroboran</w:t>
      </w:r>
      <w:r w:rsidR="00507419" w:rsidRPr="00153074">
        <w:rPr>
          <w:lang w:val="es-ES_tradnl"/>
        </w:rPr>
        <w:t>. Y</w:t>
      </w:r>
      <w:r w:rsidR="00D20F00" w:rsidRPr="00153074">
        <w:rPr>
          <w:lang w:val="es-ES_tradnl"/>
        </w:rPr>
        <w:t xml:space="preserve"> las declaraciones políticas </w:t>
      </w:r>
      <w:r w:rsidR="00AA1ECB" w:rsidRPr="00153074">
        <w:rPr>
          <w:lang w:val="es-ES_tradnl"/>
        </w:rPr>
        <w:t xml:space="preserve">están modelando rápidamente la política de </w:t>
      </w:r>
      <w:r w:rsidR="00295D16" w:rsidRPr="00153074">
        <w:rPr>
          <w:lang w:val="es-ES_tradnl"/>
        </w:rPr>
        <w:t xml:space="preserve">los </w:t>
      </w:r>
      <w:r w:rsidR="00AA1ECB" w:rsidRPr="00153074">
        <w:rPr>
          <w:lang w:val="es-ES_tradnl"/>
        </w:rPr>
        <w:t>donantes, por ejemplo en el plano de la UE y en un número</w:t>
      </w:r>
      <w:r w:rsidR="00295D16" w:rsidRPr="00153074">
        <w:rPr>
          <w:lang w:val="es-ES_tradnl"/>
        </w:rPr>
        <w:t xml:space="preserve"> cada vez mayor</w:t>
      </w:r>
      <w:r w:rsidR="00AA1ECB" w:rsidRPr="00153074">
        <w:rPr>
          <w:lang w:val="es-ES_tradnl"/>
        </w:rPr>
        <w:t xml:space="preserve"> de entidades donantes.</w:t>
      </w:r>
      <w:r w:rsidR="00283BD6" w:rsidRPr="00153074">
        <w:rPr>
          <w:lang w:val="es-ES_tradnl"/>
        </w:rPr>
        <w:t xml:space="preserve"> </w:t>
      </w:r>
    </w:p>
    <w:p w:rsidR="00AA1ECB" w:rsidRPr="00153074" w:rsidRDefault="00AA1ECB" w:rsidP="007462FA">
      <w:pPr>
        <w:jc w:val="both"/>
        <w:rPr>
          <w:lang w:val="es-ES_tradnl"/>
        </w:rPr>
      </w:pPr>
    </w:p>
    <w:p w:rsidR="006A60D6" w:rsidRPr="00153074" w:rsidRDefault="004B066E" w:rsidP="007462FA">
      <w:pPr>
        <w:jc w:val="both"/>
        <w:rPr>
          <w:rFonts w:cs="Arial"/>
          <w:szCs w:val="22"/>
          <w:lang w:val="es-ES_tradnl"/>
        </w:rPr>
      </w:pPr>
      <w:r w:rsidRPr="00153074">
        <w:rPr>
          <w:rFonts w:cs="Arial"/>
          <w:szCs w:val="22"/>
          <w:lang w:val="es-ES_tradnl"/>
        </w:rPr>
        <w:t xml:space="preserve">El presente documento </w:t>
      </w:r>
      <w:r w:rsidR="00DC7C30" w:rsidRPr="00153074">
        <w:rPr>
          <w:rFonts w:cs="Arial"/>
          <w:szCs w:val="22"/>
          <w:lang w:val="es-ES_tradnl"/>
        </w:rPr>
        <w:t>está dividido</w:t>
      </w:r>
      <w:r w:rsidRPr="00153074">
        <w:rPr>
          <w:rFonts w:cs="Arial"/>
          <w:szCs w:val="22"/>
          <w:lang w:val="es-ES_tradnl"/>
        </w:rPr>
        <w:t xml:space="preserve"> en cuatro </w:t>
      </w:r>
      <w:r w:rsidR="00DC7C30" w:rsidRPr="00153074">
        <w:rPr>
          <w:rFonts w:cs="Arial"/>
          <w:szCs w:val="22"/>
          <w:lang w:val="es-ES_tradnl"/>
        </w:rPr>
        <w:t>secciones</w:t>
      </w:r>
      <w:r w:rsidRPr="00153074">
        <w:rPr>
          <w:rFonts w:cs="Arial"/>
          <w:szCs w:val="22"/>
          <w:lang w:val="es-ES_tradnl"/>
        </w:rPr>
        <w:t xml:space="preserve">. En primer lugar </w:t>
      </w:r>
      <w:r w:rsidR="00507419" w:rsidRPr="00153074">
        <w:rPr>
          <w:rFonts w:cs="Arial"/>
          <w:szCs w:val="22"/>
          <w:lang w:val="es-ES_tradnl"/>
        </w:rPr>
        <w:t xml:space="preserve">se </w:t>
      </w:r>
      <w:r w:rsidRPr="00153074">
        <w:rPr>
          <w:rFonts w:cs="Arial"/>
          <w:szCs w:val="22"/>
          <w:lang w:val="es-ES_tradnl"/>
        </w:rPr>
        <w:t>examina</w:t>
      </w:r>
      <w:r w:rsidR="00507419" w:rsidRPr="00153074">
        <w:rPr>
          <w:rFonts w:cs="Arial"/>
          <w:szCs w:val="22"/>
          <w:lang w:val="es-ES_tradnl"/>
        </w:rPr>
        <w:t>n</w:t>
      </w:r>
      <w:r w:rsidRPr="00153074">
        <w:rPr>
          <w:rFonts w:cs="Arial"/>
          <w:szCs w:val="22"/>
          <w:lang w:val="es-ES_tradnl"/>
        </w:rPr>
        <w:t xml:space="preserve"> las tipologías actuales del sector privado para la iniciativa del desarrollo y </w:t>
      </w:r>
      <w:r w:rsidR="00507419" w:rsidRPr="00153074">
        <w:rPr>
          <w:rFonts w:cs="Arial"/>
          <w:szCs w:val="22"/>
          <w:lang w:val="es-ES_tradnl"/>
        </w:rPr>
        <w:t xml:space="preserve">se </w:t>
      </w:r>
      <w:r w:rsidRPr="00153074">
        <w:rPr>
          <w:rFonts w:cs="Arial"/>
          <w:szCs w:val="22"/>
          <w:lang w:val="es-ES_tradnl"/>
        </w:rPr>
        <w:t>propone una clasificación independiente</w:t>
      </w:r>
      <w:r w:rsidR="00867691" w:rsidRPr="00153074">
        <w:rPr>
          <w:rFonts w:cs="Arial"/>
          <w:szCs w:val="22"/>
          <w:lang w:val="es-ES_tradnl"/>
        </w:rPr>
        <w:t>,</w:t>
      </w:r>
      <w:r w:rsidRPr="00153074">
        <w:rPr>
          <w:rFonts w:cs="Arial"/>
          <w:szCs w:val="22"/>
          <w:lang w:val="es-ES_tradnl"/>
        </w:rPr>
        <w:t xml:space="preserve"> con un énfasis en el tipo de relación que vincula la entidad privada y la pública – </w:t>
      </w:r>
      <w:r w:rsidR="00DC7C30" w:rsidRPr="00153074">
        <w:rPr>
          <w:rFonts w:cs="Arial"/>
          <w:szCs w:val="22"/>
          <w:lang w:val="es-ES_tradnl"/>
        </w:rPr>
        <w:t>lo cual</w:t>
      </w:r>
      <w:r w:rsidRPr="00153074">
        <w:rPr>
          <w:rFonts w:cs="Arial"/>
          <w:szCs w:val="22"/>
          <w:lang w:val="es-ES_tradnl"/>
        </w:rPr>
        <w:t xml:space="preserve"> </w:t>
      </w:r>
      <w:r w:rsidR="00012830" w:rsidRPr="00153074">
        <w:rPr>
          <w:rFonts w:cs="Arial"/>
          <w:szCs w:val="22"/>
          <w:lang w:val="es-ES_tradnl"/>
        </w:rPr>
        <w:t>puede</w:t>
      </w:r>
      <w:r w:rsidRPr="00153074">
        <w:rPr>
          <w:rFonts w:cs="Arial"/>
          <w:szCs w:val="22"/>
          <w:lang w:val="es-ES_tradnl"/>
        </w:rPr>
        <w:t xml:space="preserve"> ser </w:t>
      </w:r>
      <w:r w:rsidR="00867691" w:rsidRPr="00153074">
        <w:rPr>
          <w:rFonts w:cs="Arial"/>
          <w:szCs w:val="22"/>
          <w:lang w:val="es-ES_tradnl"/>
        </w:rPr>
        <w:t>especialmente relevante</w:t>
      </w:r>
      <w:r w:rsidRPr="00153074">
        <w:rPr>
          <w:rFonts w:cs="Arial"/>
          <w:szCs w:val="22"/>
          <w:lang w:val="es-ES_tradnl"/>
        </w:rPr>
        <w:t xml:space="preserve"> </w:t>
      </w:r>
      <w:r w:rsidR="00012830" w:rsidRPr="00153074">
        <w:rPr>
          <w:rFonts w:cs="Arial"/>
          <w:szCs w:val="22"/>
          <w:lang w:val="es-ES_tradnl"/>
        </w:rPr>
        <w:t>para establecer</w:t>
      </w:r>
      <w:r w:rsidR="00F918AC" w:rsidRPr="00153074">
        <w:rPr>
          <w:rFonts w:cs="Arial"/>
          <w:szCs w:val="22"/>
          <w:lang w:val="es-ES_tradnl"/>
        </w:rPr>
        <w:t xml:space="preserve"> la trayectoria de</w:t>
      </w:r>
      <w:r w:rsidRPr="00153074">
        <w:rPr>
          <w:rFonts w:cs="Arial"/>
          <w:szCs w:val="22"/>
          <w:lang w:val="es-ES_tradnl"/>
        </w:rPr>
        <w:t xml:space="preserve"> la relación del empleador </w:t>
      </w:r>
      <w:r w:rsidR="00EC1585" w:rsidRPr="00153074">
        <w:rPr>
          <w:rFonts w:cs="Arial"/>
          <w:szCs w:val="22"/>
          <w:lang w:val="es-ES_tradnl"/>
        </w:rPr>
        <w:t>desde</w:t>
      </w:r>
      <w:r w:rsidR="00F918AC" w:rsidRPr="00153074">
        <w:rPr>
          <w:rFonts w:cs="Arial"/>
          <w:szCs w:val="22"/>
          <w:lang w:val="es-ES_tradnl"/>
        </w:rPr>
        <w:t xml:space="preserve"> una perspectiva sindical</w:t>
      </w:r>
      <w:r w:rsidR="00852D8D" w:rsidRPr="00153074">
        <w:rPr>
          <w:rFonts w:cs="Arial"/>
          <w:szCs w:val="22"/>
          <w:lang w:val="es-ES_tradnl"/>
        </w:rPr>
        <w:t xml:space="preserve">. </w:t>
      </w:r>
      <w:r w:rsidR="00C82F32" w:rsidRPr="00153074">
        <w:rPr>
          <w:rFonts w:cs="Arial"/>
          <w:szCs w:val="22"/>
          <w:lang w:val="es-ES_tradnl"/>
        </w:rPr>
        <w:t xml:space="preserve">El documento </w:t>
      </w:r>
      <w:r w:rsidR="00E14D4B" w:rsidRPr="00153074">
        <w:rPr>
          <w:rFonts w:cs="Arial"/>
          <w:szCs w:val="22"/>
          <w:lang w:val="es-ES_tradnl"/>
        </w:rPr>
        <w:t>analiza a continuación los dos principales for</w:t>
      </w:r>
      <w:r w:rsidR="004132C9" w:rsidRPr="00153074">
        <w:rPr>
          <w:rFonts w:cs="Arial"/>
          <w:szCs w:val="22"/>
          <w:lang w:val="es-ES_tradnl"/>
        </w:rPr>
        <w:t>os mundiales que abordan el SPD</w:t>
      </w:r>
      <w:r w:rsidR="00DC7C30" w:rsidRPr="00153074">
        <w:rPr>
          <w:rFonts w:cs="Arial"/>
          <w:szCs w:val="22"/>
          <w:lang w:val="es-ES_tradnl"/>
        </w:rPr>
        <w:t>,</w:t>
      </w:r>
      <w:r w:rsidR="00E14D4B" w:rsidRPr="00153074">
        <w:rPr>
          <w:rFonts w:cs="Arial"/>
          <w:szCs w:val="22"/>
          <w:lang w:val="es-ES_tradnl"/>
        </w:rPr>
        <w:t xml:space="preserve"> l</w:t>
      </w:r>
      <w:r w:rsidR="00EE7019" w:rsidRPr="00153074">
        <w:rPr>
          <w:rFonts w:cs="Arial"/>
          <w:szCs w:val="22"/>
          <w:lang w:val="es-ES_tradnl"/>
        </w:rPr>
        <w:t>a</w:t>
      </w:r>
      <w:r w:rsidR="0066229A" w:rsidRPr="00153074">
        <w:rPr>
          <w:rFonts w:cs="Arial"/>
          <w:szCs w:val="22"/>
          <w:lang w:val="es-ES_tradnl"/>
        </w:rPr>
        <w:t xml:space="preserve"> </w:t>
      </w:r>
      <w:r w:rsidR="00EE7019" w:rsidRPr="00153074">
        <w:rPr>
          <w:rFonts w:cs="Arial"/>
          <w:szCs w:val="22"/>
          <w:lang w:val="es-ES_tradnl"/>
        </w:rPr>
        <w:t>Alianza de Busan</w:t>
      </w:r>
      <w:r w:rsidR="00743EA9" w:rsidRPr="00153074">
        <w:rPr>
          <w:rFonts w:cs="Arial"/>
          <w:szCs w:val="22"/>
          <w:lang w:val="es-ES_tradnl"/>
        </w:rPr>
        <w:t xml:space="preserve"> </w:t>
      </w:r>
      <w:r w:rsidR="00E14D4B" w:rsidRPr="00153074">
        <w:rPr>
          <w:rFonts w:cs="Arial"/>
          <w:szCs w:val="22"/>
          <w:lang w:val="es-ES_tradnl"/>
        </w:rPr>
        <w:t>y e</w:t>
      </w:r>
      <w:r w:rsidR="00EE7019" w:rsidRPr="00153074">
        <w:rPr>
          <w:rFonts w:cs="Arial"/>
          <w:szCs w:val="22"/>
          <w:lang w:val="es-ES_tradnl"/>
        </w:rPr>
        <w:t>l Proceso del G20</w:t>
      </w:r>
      <w:r w:rsidR="0066229A" w:rsidRPr="00153074">
        <w:rPr>
          <w:rFonts w:cs="Arial"/>
          <w:szCs w:val="22"/>
          <w:lang w:val="es-ES_tradnl"/>
        </w:rPr>
        <w:t>,</w:t>
      </w:r>
      <w:r w:rsidR="00393884" w:rsidRPr="00153074">
        <w:rPr>
          <w:rFonts w:cs="Arial"/>
          <w:szCs w:val="22"/>
          <w:lang w:val="es-ES_tradnl"/>
        </w:rPr>
        <w:t xml:space="preserve"> </w:t>
      </w:r>
      <w:r w:rsidR="0066229A" w:rsidRPr="00153074">
        <w:rPr>
          <w:rFonts w:cs="Arial"/>
          <w:szCs w:val="22"/>
          <w:lang w:val="es-ES_tradnl"/>
        </w:rPr>
        <w:t xml:space="preserve">cuyas </w:t>
      </w:r>
      <w:r w:rsidR="001356D2" w:rsidRPr="00153074">
        <w:rPr>
          <w:rFonts w:cs="Arial"/>
          <w:szCs w:val="22"/>
          <w:lang w:val="es-ES_tradnl"/>
        </w:rPr>
        <w:t xml:space="preserve">respectivas </w:t>
      </w:r>
      <w:r w:rsidR="00A92DBD" w:rsidRPr="00153074">
        <w:rPr>
          <w:rFonts w:cs="Arial"/>
          <w:szCs w:val="22"/>
          <w:lang w:val="es-ES_tradnl"/>
        </w:rPr>
        <w:t xml:space="preserve">recomendaciones </w:t>
      </w:r>
      <w:r w:rsidR="0066229A" w:rsidRPr="00153074">
        <w:rPr>
          <w:rFonts w:cs="Arial"/>
          <w:szCs w:val="22"/>
          <w:lang w:val="es-ES_tradnl"/>
        </w:rPr>
        <w:t xml:space="preserve">se inclinan </w:t>
      </w:r>
      <w:r w:rsidR="00EC1585" w:rsidRPr="00153074">
        <w:rPr>
          <w:rFonts w:cs="Arial"/>
          <w:szCs w:val="22"/>
          <w:lang w:val="es-ES_tradnl"/>
        </w:rPr>
        <w:t>a favor de las empresas</w:t>
      </w:r>
      <w:r w:rsidR="00824199" w:rsidRPr="00153074">
        <w:rPr>
          <w:rFonts w:cs="Arial"/>
          <w:szCs w:val="22"/>
          <w:lang w:val="es-ES_tradnl"/>
        </w:rPr>
        <w:t xml:space="preserve">. </w:t>
      </w:r>
      <w:r w:rsidR="00487057" w:rsidRPr="00153074">
        <w:rPr>
          <w:rFonts w:cs="Arial"/>
          <w:szCs w:val="22"/>
          <w:lang w:val="es-ES_tradnl"/>
        </w:rPr>
        <w:t xml:space="preserve">Seguidamente se </w:t>
      </w:r>
      <w:r w:rsidR="0066229A" w:rsidRPr="00153074">
        <w:rPr>
          <w:rFonts w:cs="Arial"/>
          <w:szCs w:val="22"/>
          <w:lang w:val="es-ES_tradnl"/>
        </w:rPr>
        <w:t>analizan</w:t>
      </w:r>
      <w:r w:rsidR="00487057" w:rsidRPr="00153074">
        <w:rPr>
          <w:rFonts w:cs="Arial"/>
          <w:szCs w:val="22"/>
          <w:lang w:val="es-ES_tradnl"/>
        </w:rPr>
        <w:t xml:space="preserve"> los </w:t>
      </w:r>
      <w:r w:rsidR="00EC1585" w:rsidRPr="00153074">
        <w:rPr>
          <w:rFonts w:cs="Arial"/>
          <w:szCs w:val="22"/>
          <w:lang w:val="es-ES_tradnl"/>
        </w:rPr>
        <w:t>propulsores</w:t>
      </w:r>
      <w:r w:rsidR="00487057" w:rsidRPr="00153074">
        <w:rPr>
          <w:rFonts w:cs="Arial"/>
          <w:szCs w:val="22"/>
          <w:lang w:val="es-ES_tradnl"/>
        </w:rPr>
        <w:t xml:space="preserve"> del Gobierno y del sector privado para el </w:t>
      </w:r>
      <w:r w:rsidR="0066229A" w:rsidRPr="00153074">
        <w:rPr>
          <w:rFonts w:cs="Arial"/>
          <w:szCs w:val="22"/>
          <w:lang w:val="es-ES_tradnl"/>
        </w:rPr>
        <w:t>progreso</w:t>
      </w:r>
      <w:r w:rsidR="00487057" w:rsidRPr="00153074">
        <w:rPr>
          <w:rFonts w:cs="Arial"/>
          <w:szCs w:val="22"/>
          <w:lang w:val="es-ES_tradnl"/>
        </w:rPr>
        <w:t xml:space="preserve"> del SPD. Y por último </w:t>
      </w:r>
      <w:r w:rsidR="00393884" w:rsidRPr="00153074">
        <w:rPr>
          <w:rFonts w:cs="Arial"/>
          <w:szCs w:val="22"/>
          <w:lang w:val="es-ES_tradnl"/>
        </w:rPr>
        <w:t xml:space="preserve">se </w:t>
      </w:r>
      <w:r w:rsidR="0055460B" w:rsidRPr="00153074">
        <w:rPr>
          <w:rFonts w:cs="Arial"/>
          <w:szCs w:val="22"/>
          <w:lang w:val="es-ES_tradnl"/>
        </w:rPr>
        <w:t>concluye sobre una serie de prioridades sindicales fundamentales.</w:t>
      </w:r>
    </w:p>
    <w:p w:rsidR="0066229A" w:rsidRPr="00153074" w:rsidRDefault="0066229A" w:rsidP="007462FA">
      <w:pPr>
        <w:jc w:val="both"/>
        <w:rPr>
          <w:rFonts w:cs="Arial"/>
          <w:szCs w:val="22"/>
          <w:lang w:val="es-ES_tradnl"/>
        </w:rPr>
      </w:pPr>
    </w:p>
    <w:p w:rsidR="004F00A6" w:rsidRPr="00153074" w:rsidRDefault="00292EA5" w:rsidP="00C90AC0">
      <w:pPr>
        <w:pStyle w:val="Heading2"/>
        <w:rPr>
          <w:lang w:val="es-ES_tradnl"/>
        </w:rPr>
      </w:pPr>
      <w:bookmarkStart w:id="7" w:name="_Toc369604899"/>
      <w:bookmarkStart w:id="8" w:name="_Toc348354520"/>
      <w:r w:rsidRPr="00153074">
        <w:rPr>
          <w:lang w:val="es-ES_tradnl"/>
        </w:rPr>
        <w:lastRenderedPageBreak/>
        <w:t xml:space="preserve">¿Qué es el </w:t>
      </w:r>
      <w:r w:rsidR="006C7013" w:rsidRPr="00153074">
        <w:rPr>
          <w:lang w:val="es-ES_tradnl"/>
        </w:rPr>
        <w:t>S</w:t>
      </w:r>
      <w:r w:rsidRPr="00153074">
        <w:rPr>
          <w:lang w:val="es-ES_tradnl"/>
        </w:rPr>
        <w:t xml:space="preserve">ector </w:t>
      </w:r>
      <w:r w:rsidR="006C7013" w:rsidRPr="00153074">
        <w:rPr>
          <w:lang w:val="es-ES_tradnl"/>
        </w:rPr>
        <w:t>P</w:t>
      </w:r>
      <w:r w:rsidRPr="00153074">
        <w:rPr>
          <w:lang w:val="es-ES_tradnl"/>
        </w:rPr>
        <w:t xml:space="preserve">rivado para el </w:t>
      </w:r>
      <w:r w:rsidR="006C7013" w:rsidRPr="00153074">
        <w:rPr>
          <w:lang w:val="es-ES_tradnl"/>
        </w:rPr>
        <w:t>D</w:t>
      </w:r>
      <w:r w:rsidRPr="00153074">
        <w:rPr>
          <w:lang w:val="es-ES_tradnl"/>
        </w:rPr>
        <w:t>esarrollo</w:t>
      </w:r>
      <w:r w:rsidR="004F00A6" w:rsidRPr="00153074">
        <w:rPr>
          <w:lang w:val="es-ES_tradnl"/>
        </w:rPr>
        <w:t>?</w:t>
      </w:r>
      <w:bookmarkEnd w:id="7"/>
    </w:p>
    <w:p w:rsidR="00B1268C" w:rsidRPr="00153074" w:rsidRDefault="00B1268C" w:rsidP="007462FA">
      <w:pPr>
        <w:jc w:val="both"/>
        <w:rPr>
          <w:lang w:val="es-ES_tradnl"/>
        </w:rPr>
      </w:pPr>
    </w:p>
    <w:bookmarkEnd w:id="8"/>
    <w:p w:rsidR="00B1268C" w:rsidRPr="00153074" w:rsidRDefault="0055460B" w:rsidP="007462FA">
      <w:pPr>
        <w:jc w:val="both"/>
        <w:rPr>
          <w:lang w:val="es-ES_tradnl"/>
        </w:rPr>
      </w:pPr>
      <w:r w:rsidRPr="00153074">
        <w:rPr>
          <w:lang w:val="es-ES_tradnl"/>
        </w:rPr>
        <w:t xml:space="preserve">A pesar de toda la atención que se está dirigiendo al rol del sector privado en el desarrollo, el establecimiento de un programa claro y coherente para un área de trabajo tan extensa es </w:t>
      </w:r>
      <w:r w:rsidR="00393884" w:rsidRPr="00153074">
        <w:rPr>
          <w:lang w:val="es-ES_tradnl"/>
        </w:rPr>
        <w:t>una labor</w:t>
      </w:r>
      <w:r w:rsidRPr="00153074">
        <w:rPr>
          <w:lang w:val="es-ES_tradnl"/>
        </w:rPr>
        <w:t xml:space="preserve"> de lo más desafiante. Para empezar, es muy fácil </w:t>
      </w:r>
      <w:r w:rsidR="00393884" w:rsidRPr="00153074">
        <w:rPr>
          <w:lang w:val="es-ES_tradnl"/>
        </w:rPr>
        <w:t>caer</w:t>
      </w:r>
      <w:r w:rsidRPr="00153074">
        <w:rPr>
          <w:lang w:val="es-ES_tradnl"/>
        </w:rPr>
        <w:t xml:space="preserve"> en un ejercicio </w:t>
      </w:r>
      <w:r w:rsidR="0047183C" w:rsidRPr="00153074">
        <w:rPr>
          <w:lang w:val="es-ES_tradnl"/>
        </w:rPr>
        <w:t xml:space="preserve">de </w:t>
      </w:r>
      <w:r w:rsidRPr="00153074">
        <w:rPr>
          <w:lang w:val="es-ES_tradnl"/>
        </w:rPr>
        <w:t>retóric</w:t>
      </w:r>
      <w:r w:rsidR="0047183C" w:rsidRPr="00153074">
        <w:rPr>
          <w:lang w:val="es-ES_tradnl"/>
        </w:rPr>
        <w:t>a</w:t>
      </w:r>
      <w:r w:rsidRPr="00153074">
        <w:rPr>
          <w:lang w:val="es-ES_tradnl"/>
        </w:rPr>
        <w:t xml:space="preserve"> sobre las </w:t>
      </w:r>
      <w:r w:rsidR="0047183C" w:rsidRPr="00153074">
        <w:rPr>
          <w:lang w:val="es-ES_tradnl"/>
        </w:rPr>
        <w:t>distinciones</w:t>
      </w:r>
      <w:r w:rsidRPr="00153074">
        <w:rPr>
          <w:lang w:val="es-ES_tradnl"/>
        </w:rPr>
        <w:t xml:space="preserve"> entre el sector privado </w:t>
      </w:r>
      <w:r w:rsidRPr="00153074">
        <w:rPr>
          <w:i/>
          <w:lang w:val="es-ES_tradnl"/>
        </w:rPr>
        <w:t xml:space="preserve">en </w:t>
      </w:r>
      <w:r w:rsidRPr="00153074">
        <w:rPr>
          <w:lang w:val="es-ES_tradnl"/>
        </w:rPr>
        <w:t>el desarrollo</w:t>
      </w:r>
      <w:r w:rsidR="0047183C" w:rsidRPr="00153074">
        <w:rPr>
          <w:lang w:val="es-ES_tradnl"/>
        </w:rPr>
        <w:t>,</w:t>
      </w:r>
      <w:r w:rsidR="00171D21" w:rsidRPr="00153074">
        <w:rPr>
          <w:lang w:val="es-ES_tradnl"/>
        </w:rPr>
        <w:t xml:space="preserve"> el</w:t>
      </w:r>
      <w:r w:rsidRPr="00153074">
        <w:rPr>
          <w:lang w:val="es-ES_tradnl"/>
        </w:rPr>
        <w:t xml:space="preserve"> sector privado </w:t>
      </w:r>
      <w:r w:rsidRPr="00153074">
        <w:rPr>
          <w:i/>
          <w:lang w:val="es-ES_tradnl"/>
        </w:rPr>
        <w:t xml:space="preserve">para </w:t>
      </w:r>
      <w:r w:rsidRPr="00153074">
        <w:rPr>
          <w:lang w:val="es-ES_tradnl"/>
        </w:rPr>
        <w:t>el desarrollo</w:t>
      </w:r>
      <w:r w:rsidR="0047183C" w:rsidRPr="00153074">
        <w:rPr>
          <w:lang w:val="es-ES_tradnl"/>
        </w:rPr>
        <w:t>,</w:t>
      </w:r>
      <w:r w:rsidR="00171D21" w:rsidRPr="00153074">
        <w:rPr>
          <w:lang w:val="es-ES_tradnl"/>
        </w:rPr>
        <w:t xml:space="preserve"> el sector privado </w:t>
      </w:r>
      <w:r w:rsidR="00171D21" w:rsidRPr="00153074">
        <w:rPr>
          <w:i/>
          <w:lang w:val="es-ES_tradnl"/>
        </w:rPr>
        <w:t xml:space="preserve">y </w:t>
      </w:r>
      <w:r w:rsidR="00171D21" w:rsidRPr="00153074">
        <w:rPr>
          <w:lang w:val="es-ES_tradnl"/>
        </w:rPr>
        <w:t>el desarrollo</w:t>
      </w:r>
      <w:r w:rsidR="0047183C" w:rsidRPr="00153074">
        <w:rPr>
          <w:lang w:val="es-ES_tradnl"/>
        </w:rPr>
        <w:t xml:space="preserve">, </w:t>
      </w:r>
      <w:r w:rsidR="00171D21" w:rsidRPr="00153074">
        <w:rPr>
          <w:lang w:val="es-ES_tradnl"/>
        </w:rPr>
        <w:t>el desarrollo del sector privado</w:t>
      </w:r>
      <w:r w:rsidR="0047183C" w:rsidRPr="00153074">
        <w:rPr>
          <w:lang w:val="es-ES_tradnl"/>
        </w:rPr>
        <w:t>,</w:t>
      </w:r>
      <w:r w:rsidR="00171D21" w:rsidRPr="00153074">
        <w:rPr>
          <w:lang w:val="es-ES_tradnl"/>
        </w:rPr>
        <w:t xml:space="preserve"> </w:t>
      </w:r>
      <w:r w:rsidR="00393884" w:rsidRPr="00153074">
        <w:rPr>
          <w:lang w:val="es-ES_tradnl"/>
        </w:rPr>
        <w:t>y</w:t>
      </w:r>
      <w:r w:rsidR="00171D21" w:rsidRPr="00153074">
        <w:rPr>
          <w:lang w:val="es-ES_tradnl"/>
        </w:rPr>
        <w:t xml:space="preserve"> </w:t>
      </w:r>
      <w:r w:rsidR="0047183C" w:rsidRPr="00153074">
        <w:rPr>
          <w:lang w:val="es-ES_tradnl"/>
        </w:rPr>
        <w:t>todos sus</w:t>
      </w:r>
      <w:r w:rsidR="00171D21" w:rsidRPr="00153074">
        <w:rPr>
          <w:lang w:val="es-ES_tradnl"/>
        </w:rPr>
        <w:t xml:space="preserve"> </w:t>
      </w:r>
      <w:r w:rsidR="006B2B87" w:rsidRPr="00153074">
        <w:rPr>
          <w:lang w:val="es-ES_tradnl"/>
        </w:rPr>
        <w:t>correspondientes</w:t>
      </w:r>
      <w:r w:rsidR="0091688E" w:rsidRPr="00153074">
        <w:rPr>
          <w:lang w:val="es-ES_tradnl"/>
        </w:rPr>
        <w:t xml:space="preserve"> </w:t>
      </w:r>
      <w:r w:rsidR="00171D21" w:rsidRPr="00153074">
        <w:rPr>
          <w:lang w:val="es-ES_tradnl"/>
        </w:rPr>
        <w:t>matices</w:t>
      </w:r>
      <w:r w:rsidR="00B1268C" w:rsidRPr="00153074">
        <w:rPr>
          <w:lang w:val="es-ES_tradnl"/>
        </w:rPr>
        <w:t>.</w:t>
      </w:r>
      <w:r w:rsidR="009203BF" w:rsidRPr="00153074">
        <w:rPr>
          <w:lang w:val="es-ES_tradnl"/>
        </w:rPr>
        <w:t xml:space="preserve"> </w:t>
      </w:r>
      <w:r w:rsidR="0091688E" w:rsidRPr="00153074">
        <w:rPr>
          <w:lang w:val="es-ES_tradnl"/>
        </w:rPr>
        <w:t>Por ejemplo, e</w:t>
      </w:r>
      <w:r w:rsidR="00175328" w:rsidRPr="00153074">
        <w:rPr>
          <w:lang w:val="es-ES_tradnl"/>
        </w:rPr>
        <w:t>l</w:t>
      </w:r>
      <w:r w:rsidR="009203BF" w:rsidRPr="00153074">
        <w:rPr>
          <w:lang w:val="es-ES_tradnl"/>
        </w:rPr>
        <w:t xml:space="preserve"> </w:t>
      </w:r>
      <w:r w:rsidR="0091688E" w:rsidRPr="00153074">
        <w:rPr>
          <w:lang w:val="es-ES_tradnl"/>
        </w:rPr>
        <w:t>Centro Europeo de Gestión de las Políticas de Desarrollo (</w:t>
      </w:r>
      <w:r w:rsidR="00B1268C" w:rsidRPr="00153074">
        <w:rPr>
          <w:lang w:val="es-ES_tradnl"/>
        </w:rPr>
        <w:t>ECDPM</w:t>
      </w:r>
      <w:r w:rsidR="0091688E" w:rsidRPr="00153074">
        <w:rPr>
          <w:lang w:val="es-ES_tradnl"/>
        </w:rPr>
        <w:t>, por sus siglas en inglés)</w:t>
      </w:r>
      <w:r w:rsidR="00175328" w:rsidRPr="00153074">
        <w:rPr>
          <w:lang w:val="es-ES_tradnl"/>
        </w:rPr>
        <w:t xml:space="preserve"> hace una distinción </w:t>
      </w:r>
      <w:r w:rsidR="0091688E" w:rsidRPr="00153074">
        <w:rPr>
          <w:lang w:val="es-ES_tradnl"/>
        </w:rPr>
        <w:t>acertada</w:t>
      </w:r>
      <w:r w:rsidR="00175328" w:rsidRPr="00153074">
        <w:rPr>
          <w:lang w:val="es-ES_tradnl"/>
        </w:rPr>
        <w:t xml:space="preserve"> entre </w:t>
      </w:r>
      <w:r w:rsidR="002A7792" w:rsidRPr="00153074">
        <w:rPr>
          <w:lang w:val="es-ES_tradnl"/>
        </w:rPr>
        <w:t>“</w:t>
      </w:r>
      <w:r w:rsidR="0091688E" w:rsidRPr="00153074">
        <w:rPr>
          <w:lang w:val="es-ES_tradnl"/>
        </w:rPr>
        <w:t xml:space="preserve">el </w:t>
      </w:r>
      <w:r w:rsidR="00175328" w:rsidRPr="00153074">
        <w:rPr>
          <w:lang w:val="es-ES_tradnl"/>
        </w:rPr>
        <w:t>desarrollo del sector privado</w:t>
      </w:r>
      <w:r w:rsidR="002A7792" w:rsidRPr="00153074">
        <w:rPr>
          <w:lang w:val="es-ES_tradnl"/>
        </w:rPr>
        <w:t>”</w:t>
      </w:r>
      <w:r w:rsidR="00175328" w:rsidRPr="00153074">
        <w:rPr>
          <w:lang w:val="es-ES_tradnl"/>
        </w:rPr>
        <w:t xml:space="preserve"> y </w:t>
      </w:r>
      <w:r w:rsidR="002A7792" w:rsidRPr="00153074">
        <w:rPr>
          <w:lang w:val="es-ES_tradnl"/>
        </w:rPr>
        <w:t>“</w:t>
      </w:r>
      <w:r w:rsidR="00175328" w:rsidRPr="00153074">
        <w:rPr>
          <w:lang w:val="es-ES_tradnl"/>
        </w:rPr>
        <w:t>el sector privado para el desarrollo</w:t>
      </w:r>
      <w:r w:rsidR="002A7792" w:rsidRPr="00153074">
        <w:rPr>
          <w:lang w:val="es-ES_tradnl"/>
        </w:rPr>
        <w:t>”</w:t>
      </w:r>
      <w:r w:rsidR="00B1268C" w:rsidRPr="00153074">
        <w:rPr>
          <w:lang w:val="es-ES_tradnl"/>
        </w:rPr>
        <w:t xml:space="preserve"> (</w:t>
      </w:r>
      <w:r w:rsidR="00B1268C" w:rsidRPr="00153074">
        <w:rPr>
          <w:color w:val="222222"/>
          <w:lang w:val="es-ES_tradnl"/>
        </w:rPr>
        <w:t>ECDPM 2012)</w:t>
      </w:r>
      <w:r w:rsidR="009203BF" w:rsidRPr="00153074">
        <w:rPr>
          <w:color w:val="222222"/>
          <w:lang w:val="es-ES_tradnl"/>
        </w:rPr>
        <w:t>.</w:t>
      </w:r>
    </w:p>
    <w:p w:rsidR="00B1268C" w:rsidRPr="00153074" w:rsidRDefault="00B1268C" w:rsidP="007462FA">
      <w:pPr>
        <w:jc w:val="both"/>
        <w:rPr>
          <w:rFonts w:ascii="Arial" w:hAnsi="Arial" w:cs="Arial"/>
          <w:i/>
          <w:sz w:val="20"/>
          <w:szCs w:val="20"/>
          <w:lang w:val="es-ES_tradnl"/>
        </w:rPr>
      </w:pPr>
    </w:p>
    <w:p w:rsidR="00B1268C" w:rsidRPr="00153074" w:rsidRDefault="00175328" w:rsidP="007462FA">
      <w:pPr>
        <w:jc w:val="both"/>
        <w:rPr>
          <w:lang w:val="es-ES_tradnl"/>
        </w:rPr>
      </w:pPr>
      <w:r w:rsidRPr="00153074">
        <w:rPr>
          <w:i/>
          <w:lang w:val="es-ES_tradnl"/>
        </w:rPr>
        <w:t xml:space="preserve">El desarrollo del sector privado </w:t>
      </w:r>
      <w:r w:rsidRPr="00153074">
        <w:rPr>
          <w:lang w:val="es-ES_tradnl"/>
        </w:rPr>
        <w:t>forma parte de los instrumentos políticos tradicionales de los donantes</w:t>
      </w:r>
      <w:r w:rsidR="0047183C" w:rsidRPr="00153074">
        <w:rPr>
          <w:lang w:val="es-ES_tradnl"/>
        </w:rPr>
        <w:t>,</w:t>
      </w:r>
      <w:r w:rsidRPr="00153074">
        <w:rPr>
          <w:lang w:val="es-ES_tradnl"/>
        </w:rPr>
        <w:t xml:space="preserve"> </w:t>
      </w:r>
      <w:r w:rsidR="0047183C" w:rsidRPr="00153074">
        <w:rPr>
          <w:lang w:val="es-ES_tradnl"/>
        </w:rPr>
        <w:t>destinados a</w:t>
      </w:r>
      <w:r w:rsidRPr="00153074">
        <w:rPr>
          <w:lang w:val="es-ES_tradnl"/>
        </w:rPr>
        <w:t xml:space="preserve"> ayudar a promover el crecimiento econó</w:t>
      </w:r>
      <w:r w:rsidR="00632619" w:rsidRPr="00153074">
        <w:rPr>
          <w:lang w:val="es-ES_tradnl"/>
        </w:rPr>
        <w:t xml:space="preserve">mico basado en el mercado </w:t>
      </w:r>
      <w:r w:rsidR="004F3CC8" w:rsidRPr="00153074">
        <w:rPr>
          <w:lang w:val="es-ES_tradnl"/>
        </w:rPr>
        <w:t>de</w:t>
      </w:r>
      <w:r w:rsidR="00632619" w:rsidRPr="00153074">
        <w:rPr>
          <w:lang w:val="es-ES_tradnl"/>
        </w:rPr>
        <w:t xml:space="preserve"> los países </w:t>
      </w:r>
      <w:r w:rsidRPr="00153074">
        <w:rPr>
          <w:lang w:val="es-ES_tradnl"/>
        </w:rPr>
        <w:t>en desarrollo</w:t>
      </w:r>
      <w:r w:rsidR="00B1268C" w:rsidRPr="00153074">
        <w:rPr>
          <w:lang w:val="es-ES_tradnl"/>
        </w:rPr>
        <w:t xml:space="preserve">. </w:t>
      </w:r>
      <w:r w:rsidR="00333102" w:rsidRPr="00153074">
        <w:rPr>
          <w:lang w:val="es-ES_tradnl"/>
        </w:rPr>
        <w:t xml:space="preserve">El acento </w:t>
      </w:r>
      <w:r w:rsidR="004F3CC8" w:rsidRPr="00153074">
        <w:rPr>
          <w:lang w:val="es-ES_tradnl"/>
        </w:rPr>
        <w:t>se sitúa</w:t>
      </w:r>
      <w:r w:rsidR="00D377E8" w:rsidRPr="00153074">
        <w:rPr>
          <w:lang w:val="es-ES_tradnl"/>
        </w:rPr>
        <w:t xml:space="preserve"> </w:t>
      </w:r>
      <w:r w:rsidRPr="00153074">
        <w:rPr>
          <w:lang w:val="es-ES_tradnl"/>
        </w:rPr>
        <w:t>en las reformas</w:t>
      </w:r>
      <w:r w:rsidR="00822565" w:rsidRPr="00153074">
        <w:rPr>
          <w:lang w:val="es-ES_tradnl"/>
        </w:rPr>
        <w:t xml:space="preserve"> </w:t>
      </w:r>
      <w:r w:rsidR="00E04479" w:rsidRPr="00153074">
        <w:rPr>
          <w:lang w:val="es-ES_tradnl"/>
        </w:rPr>
        <w:t>reguladoras</w:t>
      </w:r>
      <w:r w:rsidR="00822565" w:rsidRPr="00153074">
        <w:rPr>
          <w:lang w:val="es-ES_tradnl"/>
        </w:rPr>
        <w:t xml:space="preserve"> </w:t>
      </w:r>
      <w:r w:rsidRPr="00153074">
        <w:rPr>
          <w:lang w:val="es-ES_tradnl"/>
        </w:rPr>
        <w:t>p</w:t>
      </w:r>
      <w:r w:rsidR="00B1268C" w:rsidRPr="00153074">
        <w:rPr>
          <w:lang w:val="es-ES_tradnl"/>
        </w:rPr>
        <w:t>ro</w:t>
      </w:r>
      <w:r w:rsidR="00230D4C" w:rsidRPr="00153074">
        <w:rPr>
          <w:lang w:val="es-ES_tradnl"/>
        </w:rPr>
        <w:t>-</w:t>
      </w:r>
      <w:r w:rsidR="00822565" w:rsidRPr="00153074">
        <w:rPr>
          <w:lang w:val="es-ES_tradnl"/>
        </w:rPr>
        <w:t>empresariales en el terreno nacional, como por ejemplo la facilitación del comercio, el desarrollo de</w:t>
      </w:r>
      <w:r w:rsidR="00230D4C" w:rsidRPr="00153074">
        <w:rPr>
          <w:lang w:val="es-ES_tradnl"/>
        </w:rPr>
        <w:t>l</w:t>
      </w:r>
      <w:r w:rsidR="00822565" w:rsidRPr="00153074">
        <w:rPr>
          <w:lang w:val="es-ES_tradnl"/>
        </w:rPr>
        <w:t xml:space="preserve"> crédito local y </w:t>
      </w:r>
      <w:r w:rsidR="00230D4C" w:rsidRPr="00153074">
        <w:rPr>
          <w:lang w:val="es-ES_tradnl"/>
        </w:rPr>
        <w:t xml:space="preserve">de los </w:t>
      </w:r>
      <w:r w:rsidR="00822565" w:rsidRPr="00153074">
        <w:rPr>
          <w:lang w:val="es-ES_tradnl"/>
        </w:rPr>
        <w:t>mercados de capitale</w:t>
      </w:r>
      <w:r w:rsidR="00230D4C" w:rsidRPr="00153074">
        <w:rPr>
          <w:lang w:val="es-ES_tradnl"/>
        </w:rPr>
        <w:t xml:space="preserve">s, así como una </w:t>
      </w:r>
      <w:r w:rsidR="002A7792" w:rsidRPr="00153074">
        <w:rPr>
          <w:lang w:val="es-ES_tradnl"/>
        </w:rPr>
        <w:t>“</w:t>
      </w:r>
      <w:r w:rsidR="00230D4C" w:rsidRPr="00153074">
        <w:rPr>
          <w:lang w:val="es-ES_tradnl"/>
        </w:rPr>
        <w:t>reducción</w:t>
      </w:r>
      <w:r w:rsidR="002A7792" w:rsidRPr="00153074">
        <w:rPr>
          <w:lang w:val="es-ES_tradnl"/>
        </w:rPr>
        <w:t>”</w:t>
      </w:r>
      <w:r w:rsidR="00230D4C" w:rsidRPr="00153074">
        <w:rPr>
          <w:lang w:val="es-ES_tradnl"/>
        </w:rPr>
        <w:t xml:space="preserve"> de la función </w:t>
      </w:r>
      <w:r w:rsidR="00822565" w:rsidRPr="00153074">
        <w:rPr>
          <w:lang w:val="es-ES_tradnl"/>
        </w:rPr>
        <w:t xml:space="preserve">del Estado (privatización, </w:t>
      </w:r>
      <w:r w:rsidR="002A7792" w:rsidRPr="00153074">
        <w:rPr>
          <w:lang w:val="es-ES_tradnl"/>
        </w:rPr>
        <w:t>“</w:t>
      </w:r>
      <w:r w:rsidR="00822565" w:rsidRPr="00153074">
        <w:rPr>
          <w:lang w:val="es-ES_tradnl"/>
        </w:rPr>
        <w:t>corporativismo</w:t>
      </w:r>
      <w:r w:rsidR="002A7792" w:rsidRPr="00153074">
        <w:rPr>
          <w:lang w:val="es-ES_tradnl"/>
        </w:rPr>
        <w:t>”</w:t>
      </w:r>
      <w:r w:rsidR="00822565" w:rsidRPr="00153074">
        <w:rPr>
          <w:lang w:val="es-ES_tradnl"/>
        </w:rPr>
        <w:t xml:space="preserve"> de la administración y empresas </w:t>
      </w:r>
      <w:r w:rsidR="00F532D6" w:rsidRPr="00153074">
        <w:rPr>
          <w:lang w:val="es-ES_tradnl"/>
        </w:rPr>
        <w:t>estatales</w:t>
      </w:r>
      <w:r w:rsidR="00822565" w:rsidRPr="00153074">
        <w:rPr>
          <w:lang w:val="es-ES_tradnl"/>
        </w:rPr>
        <w:t>, desregulación</w:t>
      </w:r>
      <w:r w:rsidR="00D377E8" w:rsidRPr="00153074">
        <w:rPr>
          <w:lang w:val="es-ES_tradnl"/>
        </w:rPr>
        <w:t xml:space="preserve"> sectorial). </w:t>
      </w:r>
      <w:r w:rsidR="004F3CC8" w:rsidRPr="00153074">
        <w:rPr>
          <w:lang w:val="es-ES_tradnl"/>
        </w:rPr>
        <w:t>A parte de los empresarios, p</w:t>
      </w:r>
      <w:r w:rsidR="00D377E8" w:rsidRPr="00153074">
        <w:rPr>
          <w:lang w:val="es-ES_tradnl"/>
        </w:rPr>
        <w:t>oco se dice sobre los derechos de otras partes interesadas</w:t>
      </w:r>
      <w:r w:rsidR="00A23EA2" w:rsidRPr="00153074">
        <w:rPr>
          <w:lang w:val="es-ES_tradnl"/>
        </w:rPr>
        <w:t xml:space="preserve">, es decir los </w:t>
      </w:r>
      <w:r w:rsidR="00D377E8" w:rsidRPr="00153074">
        <w:rPr>
          <w:lang w:val="es-ES_tradnl"/>
        </w:rPr>
        <w:t xml:space="preserve">trabajadores, </w:t>
      </w:r>
      <w:r w:rsidR="00A23EA2" w:rsidRPr="00153074">
        <w:rPr>
          <w:lang w:val="es-ES_tradnl"/>
        </w:rPr>
        <w:t xml:space="preserve">las </w:t>
      </w:r>
      <w:r w:rsidR="00D377E8" w:rsidRPr="00153074">
        <w:rPr>
          <w:lang w:val="es-ES_tradnl"/>
        </w:rPr>
        <w:t xml:space="preserve">comunidades locales, el medio ambiente, el recaudador de impuestos, </w:t>
      </w:r>
      <w:r w:rsidR="00743EA9" w:rsidRPr="00153074">
        <w:rPr>
          <w:lang w:val="es-ES_tradnl"/>
        </w:rPr>
        <w:t xml:space="preserve">etc. </w:t>
      </w:r>
      <w:r w:rsidR="00876208" w:rsidRPr="00153074">
        <w:rPr>
          <w:lang w:val="es-ES_tradnl"/>
        </w:rPr>
        <w:t>La metodolo</w:t>
      </w:r>
      <w:r w:rsidR="000F274A" w:rsidRPr="00153074">
        <w:rPr>
          <w:lang w:val="es-ES_tradnl"/>
        </w:rPr>
        <w:t xml:space="preserve">gía de clasificación de países </w:t>
      </w:r>
      <w:r w:rsidR="00323AA1" w:rsidRPr="00153074">
        <w:rPr>
          <w:lang w:val="es-ES_tradnl"/>
        </w:rPr>
        <w:t>utilizada</w:t>
      </w:r>
      <w:r w:rsidR="000F274A" w:rsidRPr="00153074">
        <w:rPr>
          <w:lang w:val="es-ES_tradnl"/>
        </w:rPr>
        <w:t xml:space="preserve"> en </w:t>
      </w:r>
      <w:r w:rsidR="00876208" w:rsidRPr="00153074">
        <w:rPr>
          <w:lang w:val="es-ES_tradnl"/>
        </w:rPr>
        <w:t>e</w:t>
      </w:r>
      <w:r w:rsidR="00D377E8" w:rsidRPr="00153074">
        <w:rPr>
          <w:lang w:val="es-ES_tradnl"/>
        </w:rPr>
        <w:t>l</w:t>
      </w:r>
      <w:r w:rsidR="00876208" w:rsidRPr="00153074">
        <w:rPr>
          <w:lang w:val="es-ES_tradnl"/>
        </w:rPr>
        <w:t xml:space="preserve"> informe</w:t>
      </w:r>
      <w:r w:rsidR="00D377E8" w:rsidRPr="00153074">
        <w:rPr>
          <w:lang w:val="es-ES_tradnl"/>
        </w:rPr>
        <w:t xml:space="preserve"> </w:t>
      </w:r>
      <w:r w:rsidR="002A7792" w:rsidRPr="00153074">
        <w:rPr>
          <w:lang w:val="es-ES_tradnl"/>
        </w:rPr>
        <w:t>“</w:t>
      </w:r>
      <w:r w:rsidR="00B1268C" w:rsidRPr="00153074">
        <w:rPr>
          <w:lang w:val="es-ES_tradnl"/>
        </w:rPr>
        <w:t>Doing Business</w:t>
      </w:r>
      <w:r w:rsidR="002A7792" w:rsidRPr="00153074">
        <w:rPr>
          <w:lang w:val="es-ES_tradnl"/>
        </w:rPr>
        <w:t>”</w:t>
      </w:r>
      <w:r w:rsidR="00B1268C" w:rsidRPr="00153074">
        <w:rPr>
          <w:lang w:val="es-ES_tradnl"/>
        </w:rPr>
        <w:t xml:space="preserve"> </w:t>
      </w:r>
      <w:r w:rsidR="00876208" w:rsidRPr="00153074">
        <w:rPr>
          <w:lang w:val="es-ES_tradnl"/>
        </w:rPr>
        <w:t xml:space="preserve">del Banco Mundial quizás sea el instrumento más conocido a nivel mundial </w:t>
      </w:r>
      <w:r w:rsidR="00A23EA2" w:rsidRPr="00153074">
        <w:rPr>
          <w:lang w:val="es-ES_tradnl"/>
        </w:rPr>
        <w:t>con</w:t>
      </w:r>
      <w:r w:rsidR="000F274A" w:rsidRPr="00153074">
        <w:rPr>
          <w:lang w:val="es-ES_tradnl"/>
        </w:rPr>
        <w:t xml:space="preserve"> esta</w:t>
      </w:r>
      <w:r w:rsidR="00876208" w:rsidRPr="00153074">
        <w:rPr>
          <w:lang w:val="es-ES_tradnl"/>
        </w:rPr>
        <w:t xml:space="preserve"> </w:t>
      </w:r>
      <w:r w:rsidR="000F274A" w:rsidRPr="00153074">
        <w:rPr>
          <w:lang w:val="es-ES_tradnl"/>
        </w:rPr>
        <w:t>perspectiva</w:t>
      </w:r>
      <w:r w:rsidR="00876208" w:rsidRPr="00153074">
        <w:rPr>
          <w:lang w:val="es-ES_tradnl"/>
        </w:rPr>
        <w:t xml:space="preserve">. Y si bien el foco principal se </w:t>
      </w:r>
      <w:r w:rsidR="00727B4F" w:rsidRPr="00153074">
        <w:rPr>
          <w:lang w:val="es-ES_tradnl"/>
        </w:rPr>
        <w:t>ubica</w:t>
      </w:r>
      <w:r w:rsidR="00876208" w:rsidRPr="00153074">
        <w:rPr>
          <w:lang w:val="es-ES_tradnl"/>
        </w:rPr>
        <w:t xml:space="preserve"> en el desarrollo del sector </w:t>
      </w:r>
      <w:r w:rsidR="00FE16BF" w:rsidRPr="00153074">
        <w:rPr>
          <w:lang w:val="es-ES_tradnl"/>
        </w:rPr>
        <w:t xml:space="preserve">nacional privado con fines lucrativos, en muchos sentidos el programa de desarrollo del sector privado </w:t>
      </w:r>
      <w:r w:rsidR="00323AA1" w:rsidRPr="00153074">
        <w:rPr>
          <w:lang w:val="es-ES_tradnl"/>
        </w:rPr>
        <w:t>suele estar</w:t>
      </w:r>
      <w:r w:rsidR="00F532D6" w:rsidRPr="00153074">
        <w:rPr>
          <w:lang w:val="es-ES_tradnl"/>
        </w:rPr>
        <w:t xml:space="preserve"> </w:t>
      </w:r>
      <w:r w:rsidR="00FE16BF" w:rsidRPr="00153074">
        <w:rPr>
          <w:lang w:val="es-ES_tradnl"/>
        </w:rPr>
        <w:t xml:space="preserve">estrechamente </w:t>
      </w:r>
      <w:r w:rsidR="00F532D6" w:rsidRPr="00153074">
        <w:rPr>
          <w:lang w:val="es-ES_tradnl"/>
        </w:rPr>
        <w:t xml:space="preserve">entrelazado </w:t>
      </w:r>
      <w:r w:rsidR="00FE16BF" w:rsidRPr="00153074">
        <w:rPr>
          <w:lang w:val="es-ES_tradnl"/>
        </w:rPr>
        <w:t xml:space="preserve">con </w:t>
      </w:r>
      <w:r w:rsidR="000F274A" w:rsidRPr="00153074">
        <w:rPr>
          <w:lang w:val="es-ES_tradnl"/>
        </w:rPr>
        <w:t xml:space="preserve">los </w:t>
      </w:r>
      <w:r w:rsidR="00FE16BF" w:rsidRPr="00153074">
        <w:rPr>
          <w:lang w:val="es-ES_tradnl"/>
        </w:rPr>
        <w:t xml:space="preserve">objetivos para la atracción de inversión directa extranjera y los intereses comerciales de </w:t>
      </w:r>
      <w:r w:rsidR="000F274A" w:rsidRPr="00153074">
        <w:rPr>
          <w:lang w:val="es-ES_tradnl"/>
        </w:rPr>
        <w:t xml:space="preserve">las </w:t>
      </w:r>
      <w:r w:rsidR="00FE16BF" w:rsidRPr="00153074">
        <w:rPr>
          <w:lang w:val="es-ES_tradnl"/>
        </w:rPr>
        <w:t>empresas multinacionales</w:t>
      </w:r>
      <w:r w:rsidR="000F274A" w:rsidRPr="00153074">
        <w:rPr>
          <w:lang w:val="es-ES_tradnl"/>
        </w:rPr>
        <w:t>.</w:t>
      </w:r>
    </w:p>
    <w:p w:rsidR="00727B4F" w:rsidRPr="00153074" w:rsidRDefault="00727B4F" w:rsidP="00727B4F">
      <w:pPr>
        <w:rPr>
          <w:lang w:val="es-ES_tradnl"/>
        </w:rPr>
      </w:pPr>
    </w:p>
    <w:p w:rsidR="00B1268C" w:rsidRPr="00153074" w:rsidRDefault="00727B4F" w:rsidP="007462FA">
      <w:pPr>
        <w:jc w:val="both"/>
        <w:rPr>
          <w:lang w:val="es-ES_tradnl"/>
        </w:rPr>
      </w:pPr>
      <w:r w:rsidRPr="00153074">
        <w:rPr>
          <w:lang w:val="es-ES_tradnl"/>
        </w:rPr>
        <w:t>En cambio</w:t>
      </w:r>
      <w:r w:rsidR="00FE16BF" w:rsidRPr="00153074">
        <w:rPr>
          <w:lang w:val="es-ES_tradnl"/>
        </w:rPr>
        <w:t xml:space="preserve">, </w:t>
      </w:r>
      <w:r w:rsidR="00FE16BF" w:rsidRPr="00153074">
        <w:rPr>
          <w:i/>
          <w:lang w:val="es-ES_tradnl"/>
        </w:rPr>
        <w:t>el sector privado para el desarrollo</w:t>
      </w:r>
      <w:r w:rsidRPr="00153074">
        <w:rPr>
          <w:i/>
          <w:lang w:val="es-ES_tradnl"/>
        </w:rPr>
        <w:t xml:space="preserve"> </w:t>
      </w:r>
      <w:r w:rsidRPr="00153074">
        <w:rPr>
          <w:lang w:val="es-ES_tradnl"/>
        </w:rPr>
        <w:t>se refiere a las diversas formas de participación a través de asociaciones contractuales entre una entidad pública – ya sea un donante público, otro tipo de institución pública relacionada con la ayuda o una administración pública – y una entidad privada – un inversor y/o una empresa del sector privado –, para alcanzar unos objetivos de desarrollo específicos, incluyendo, aunque no necesariamente limitado a, el desarrollo del sector privado nacional.</w:t>
      </w:r>
      <w:r w:rsidR="002D7014" w:rsidRPr="00153074">
        <w:rPr>
          <w:lang w:val="es-ES_tradnl"/>
        </w:rPr>
        <w:t xml:space="preserve"> El </w:t>
      </w:r>
      <w:r w:rsidR="00B1268C" w:rsidRPr="00153074">
        <w:rPr>
          <w:lang w:val="es-ES_tradnl"/>
        </w:rPr>
        <w:t xml:space="preserve">ECDPM </w:t>
      </w:r>
      <w:r w:rsidR="00D01817" w:rsidRPr="00153074">
        <w:rPr>
          <w:lang w:val="es-ES_tradnl"/>
        </w:rPr>
        <w:t>divide</w:t>
      </w:r>
      <w:r w:rsidR="002D7014" w:rsidRPr="00153074">
        <w:rPr>
          <w:lang w:val="es-ES_tradnl"/>
        </w:rPr>
        <w:t xml:space="preserve"> el sector privado para el desarrollo en </w:t>
      </w:r>
      <w:r w:rsidR="00B1268C" w:rsidRPr="00153074">
        <w:rPr>
          <w:lang w:val="es-ES_tradnl"/>
        </w:rPr>
        <w:t xml:space="preserve">i) </w:t>
      </w:r>
      <w:r w:rsidR="007F16B3" w:rsidRPr="00153074">
        <w:rPr>
          <w:lang w:val="es-ES_tradnl"/>
        </w:rPr>
        <w:t>la pa</w:t>
      </w:r>
      <w:r w:rsidR="002D7014" w:rsidRPr="00153074">
        <w:rPr>
          <w:lang w:val="es-ES_tradnl"/>
        </w:rPr>
        <w:t xml:space="preserve">rticipación </w:t>
      </w:r>
      <w:r w:rsidR="00D01817" w:rsidRPr="00153074">
        <w:rPr>
          <w:lang w:val="es-ES_tradnl"/>
        </w:rPr>
        <w:t>para el</w:t>
      </w:r>
      <w:r w:rsidR="002D7014" w:rsidRPr="00153074">
        <w:rPr>
          <w:lang w:val="es-ES_tradnl"/>
        </w:rPr>
        <w:t xml:space="preserve"> </w:t>
      </w:r>
      <w:r w:rsidR="002A7792" w:rsidRPr="00153074">
        <w:rPr>
          <w:lang w:val="es-ES_tradnl"/>
        </w:rPr>
        <w:t>“</w:t>
      </w:r>
      <w:r w:rsidR="002D7014" w:rsidRPr="00153074">
        <w:rPr>
          <w:lang w:val="es-ES_tradnl"/>
        </w:rPr>
        <w:t>foment</w:t>
      </w:r>
      <w:r w:rsidR="00D01817" w:rsidRPr="00153074">
        <w:rPr>
          <w:lang w:val="es-ES_tradnl"/>
        </w:rPr>
        <w:t xml:space="preserve">o de </w:t>
      </w:r>
      <w:r w:rsidR="002D7014" w:rsidRPr="00153074">
        <w:rPr>
          <w:lang w:val="es-ES_tradnl"/>
        </w:rPr>
        <w:t>actividades productivas</w:t>
      </w:r>
      <w:r w:rsidR="002A7792" w:rsidRPr="00153074">
        <w:rPr>
          <w:lang w:val="es-ES_tradnl"/>
        </w:rPr>
        <w:t>”</w:t>
      </w:r>
      <w:r w:rsidR="002D7014" w:rsidRPr="00153074">
        <w:rPr>
          <w:lang w:val="es-ES_tradnl"/>
        </w:rPr>
        <w:t xml:space="preserve"> y </w:t>
      </w:r>
      <w:r w:rsidR="00B1268C" w:rsidRPr="00153074">
        <w:rPr>
          <w:lang w:val="es-ES_tradnl"/>
        </w:rPr>
        <w:t xml:space="preserve">ii) </w:t>
      </w:r>
      <w:r w:rsidR="007F16B3" w:rsidRPr="00153074">
        <w:rPr>
          <w:lang w:val="es-ES_tradnl"/>
        </w:rPr>
        <w:t xml:space="preserve">la utilización de </w:t>
      </w:r>
      <w:r w:rsidR="00D01817" w:rsidRPr="00153074">
        <w:rPr>
          <w:lang w:val="es-ES_tradnl"/>
        </w:rPr>
        <w:t xml:space="preserve">la </w:t>
      </w:r>
      <w:r w:rsidR="007F16B3" w:rsidRPr="00153074">
        <w:rPr>
          <w:lang w:val="es-ES_tradnl"/>
        </w:rPr>
        <w:t xml:space="preserve">AOD pública </w:t>
      </w:r>
      <w:r w:rsidR="002A7792" w:rsidRPr="00153074">
        <w:rPr>
          <w:lang w:val="es-ES_tradnl"/>
        </w:rPr>
        <w:t>“</w:t>
      </w:r>
      <w:r w:rsidR="007F16B3" w:rsidRPr="00153074">
        <w:rPr>
          <w:lang w:val="es-ES_tradnl"/>
        </w:rPr>
        <w:t xml:space="preserve">para </w:t>
      </w:r>
      <w:r w:rsidR="00D01817" w:rsidRPr="00153074">
        <w:rPr>
          <w:lang w:val="es-ES_tradnl"/>
        </w:rPr>
        <w:t>impulsar</w:t>
      </w:r>
      <w:r w:rsidR="00B1268C" w:rsidRPr="00153074">
        <w:rPr>
          <w:lang w:val="es-ES_tradnl"/>
        </w:rPr>
        <w:t xml:space="preserve"> </w:t>
      </w:r>
      <w:r w:rsidR="007F16B3" w:rsidRPr="00153074">
        <w:rPr>
          <w:lang w:val="es-ES_tradnl"/>
        </w:rPr>
        <w:t>la finanzas del sector privado</w:t>
      </w:r>
      <w:r w:rsidR="002A7792" w:rsidRPr="00153074">
        <w:rPr>
          <w:lang w:val="es-ES_tradnl"/>
        </w:rPr>
        <w:t>”</w:t>
      </w:r>
      <w:r w:rsidR="00B1268C" w:rsidRPr="00153074">
        <w:rPr>
          <w:lang w:val="es-ES_tradnl"/>
        </w:rPr>
        <w:t xml:space="preserve"> (</w:t>
      </w:r>
      <w:r w:rsidR="00B1268C" w:rsidRPr="00153074">
        <w:rPr>
          <w:color w:val="222222"/>
          <w:lang w:val="es-ES_tradnl"/>
        </w:rPr>
        <w:t>ECDPM 2012)</w:t>
      </w:r>
      <w:r w:rsidR="00B1268C" w:rsidRPr="00153074">
        <w:rPr>
          <w:lang w:val="es-ES_tradnl"/>
        </w:rPr>
        <w:t>.</w:t>
      </w:r>
    </w:p>
    <w:p w:rsidR="002D7014" w:rsidRPr="00153074" w:rsidRDefault="002D7014" w:rsidP="002D7014">
      <w:pPr>
        <w:rPr>
          <w:lang w:val="es-ES_tradnl"/>
        </w:rPr>
      </w:pPr>
    </w:p>
    <w:p w:rsidR="00743EA9" w:rsidRPr="00153074" w:rsidRDefault="007F16B3" w:rsidP="007462FA">
      <w:pPr>
        <w:jc w:val="both"/>
        <w:rPr>
          <w:i/>
          <w:lang w:val="es-ES_tradnl"/>
        </w:rPr>
      </w:pPr>
      <w:r w:rsidRPr="00153074">
        <w:rPr>
          <w:lang w:val="es-ES_tradnl"/>
        </w:rPr>
        <w:t xml:space="preserve">Este informe se centra en el </w:t>
      </w:r>
      <w:r w:rsidR="00886F34" w:rsidRPr="00153074">
        <w:rPr>
          <w:lang w:val="es-ES_tradnl"/>
        </w:rPr>
        <w:t>segundo</w:t>
      </w:r>
      <w:r w:rsidRPr="00153074">
        <w:rPr>
          <w:lang w:val="es-ES_tradnl"/>
        </w:rPr>
        <w:t xml:space="preserve"> enfoque: </w:t>
      </w:r>
      <w:r w:rsidRPr="00153074">
        <w:rPr>
          <w:i/>
          <w:lang w:val="es-ES_tradnl"/>
        </w:rPr>
        <w:t>el sector privado para el desarrollo</w:t>
      </w:r>
      <w:r w:rsidR="00743EA9" w:rsidRPr="00153074">
        <w:rPr>
          <w:i/>
          <w:lang w:val="es-ES_tradnl"/>
        </w:rPr>
        <w:t>.</w:t>
      </w:r>
    </w:p>
    <w:p w:rsidR="00743EA9" w:rsidRPr="00153074" w:rsidRDefault="00743EA9" w:rsidP="007462FA">
      <w:pPr>
        <w:jc w:val="both"/>
        <w:rPr>
          <w:lang w:val="es-ES_tradnl"/>
        </w:rPr>
      </w:pPr>
    </w:p>
    <w:p w:rsidR="00C90AC0" w:rsidRPr="00153074" w:rsidRDefault="00C90AC0" w:rsidP="007462FA">
      <w:pPr>
        <w:jc w:val="both"/>
        <w:rPr>
          <w:rFonts w:ascii="Arial" w:hAnsi="Arial" w:cs="Arial"/>
          <w:sz w:val="20"/>
          <w:szCs w:val="20"/>
          <w:lang w:val="es-ES_tradnl"/>
        </w:rPr>
      </w:pPr>
    </w:p>
    <w:p w:rsidR="00B1268C" w:rsidRPr="00153074" w:rsidRDefault="00886F34" w:rsidP="008D3287">
      <w:pPr>
        <w:pStyle w:val="Heading3"/>
        <w:rPr>
          <w:lang w:val="es-ES_tradnl"/>
        </w:rPr>
      </w:pPr>
      <w:bookmarkStart w:id="9" w:name="_Toc359331965"/>
      <w:bookmarkStart w:id="10" w:name="_Toc369604900"/>
      <w:r w:rsidRPr="00153074">
        <w:rPr>
          <w:lang w:val="es-ES_tradnl"/>
        </w:rPr>
        <w:t>Asignar</w:t>
      </w:r>
      <w:r w:rsidR="007F16B3" w:rsidRPr="00153074">
        <w:rPr>
          <w:lang w:val="es-ES_tradnl"/>
        </w:rPr>
        <w:t xml:space="preserve"> una cifra a las iniciativas del sector p</w:t>
      </w:r>
      <w:bookmarkEnd w:id="9"/>
      <w:r w:rsidR="007F16B3" w:rsidRPr="00153074">
        <w:rPr>
          <w:lang w:val="es-ES_tradnl"/>
        </w:rPr>
        <w:t>rivado</w:t>
      </w:r>
      <w:bookmarkEnd w:id="10"/>
    </w:p>
    <w:p w:rsidR="00C90AC0" w:rsidRPr="00153074" w:rsidRDefault="00C90AC0" w:rsidP="00C90AC0">
      <w:pPr>
        <w:rPr>
          <w:lang w:val="es-ES_tradnl"/>
        </w:rPr>
      </w:pPr>
    </w:p>
    <w:p w:rsidR="00B1268C" w:rsidRPr="00153074" w:rsidRDefault="007F16B3" w:rsidP="007462FA">
      <w:pPr>
        <w:jc w:val="both"/>
        <w:rPr>
          <w:lang w:val="es-ES_tradnl"/>
        </w:rPr>
      </w:pPr>
      <w:r w:rsidRPr="00153074">
        <w:rPr>
          <w:lang w:val="es-ES_tradnl"/>
        </w:rPr>
        <w:t xml:space="preserve">No existe </w:t>
      </w:r>
      <w:r w:rsidR="00D561E7" w:rsidRPr="00153074">
        <w:rPr>
          <w:lang w:val="es-ES_tradnl"/>
        </w:rPr>
        <w:t>ningún</w:t>
      </w:r>
      <w:r w:rsidRPr="00153074">
        <w:rPr>
          <w:lang w:val="es-ES_tradnl"/>
        </w:rPr>
        <w:t xml:space="preserve"> método establecido </w:t>
      </w:r>
      <w:r w:rsidR="00323AA1" w:rsidRPr="00153074">
        <w:rPr>
          <w:lang w:val="es-ES_tradnl"/>
        </w:rPr>
        <w:t>que permita medi</w:t>
      </w:r>
      <w:r w:rsidRPr="00153074">
        <w:rPr>
          <w:lang w:val="es-ES_tradnl"/>
        </w:rPr>
        <w:t>r el volumen de desarrollo centrado en</w:t>
      </w:r>
      <w:r w:rsidR="003368D5" w:rsidRPr="00153074">
        <w:rPr>
          <w:lang w:val="es-ES_tradnl"/>
        </w:rPr>
        <w:t xml:space="preserve"> las</w:t>
      </w:r>
      <w:r w:rsidRPr="00153074">
        <w:rPr>
          <w:lang w:val="es-ES_tradnl"/>
        </w:rPr>
        <w:t xml:space="preserve"> iniciativas del sector privado, </w:t>
      </w:r>
      <w:r w:rsidR="00D561E7" w:rsidRPr="00153074">
        <w:rPr>
          <w:lang w:val="es-ES_tradnl"/>
        </w:rPr>
        <w:t>lo cual se debe</w:t>
      </w:r>
      <w:r w:rsidRPr="00153074">
        <w:rPr>
          <w:lang w:val="es-ES_tradnl"/>
        </w:rPr>
        <w:t xml:space="preserve"> en gran medida a la ambi</w:t>
      </w:r>
      <w:r w:rsidR="00140788" w:rsidRPr="00153074">
        <w:rPr>
          <w:lang w:val="es-ES_tradnl"/>
        </w:rPr>
        <w:t>güedad de la</w:t>
      </w:r>
      <w:r w:rsidRPr="00153074">
        <w:rPr>
          <w:lang w:val="es-ES_tradnl"/>
        </w:rPr>
        <w:t xml:space="preserve"> definición</w:t>
      </w:r>
      <w:r w:rsidR="00140788" w:rsidRPr="00153074">
        <w:rPr>
          <w:lang w:val="es-ES_tradnl"/>
        </w:rPr>
        <w:t xml:space="preserve"> del término en sí</w:t>
      </w:r>
      <w:r w:rsidRPr="00153074">
        <w:rPr>
          <w:lang w:val="es-ES_tradnl"/>
        </w:rPr>
        <w:t xml:space="preserve">, a </w:t>
      </w:r>
      <w:r w:rsidR="00DD2E40" w:rsidRPr="00153074">
        <w:rPr>
          <w:lang w:val="es-ES_tradnl"/>
        </w:rPr>
        <w:t>su manera de calificarse</w:t>
      </w:r>
      <w:r w:rsidR="004D2A02" w:rsidRPr="00153074">
        <w:rPr>
          <w:lang w:val="es-ES_tradnl"/>
        </w:rPr>
        <w:t xml:space="preserve"> como parte de las estadísticas de la</w:t>
      </w:r>
      <w:r w:rsidR="00B1268C" w:rsidRPr="00153074">
        <w:rPr>
          <w:lang w:val="es-ES_tradnl"/>
        </w:rPr>
        <w:t xml:space="preserve"> </w:t>
      </w:r>
      <w:r w:rsidR="003503A6" w:rsidRPr="00153074">
        <w:rPr>
          <w:lang w:val="es-ES_tradnl"/>
        </w:rPr>
        <w:t>AOD</w:t>
      </w:r>
      <w:r w:rsidR="00BF60DF" w:rsidRPr="00153074">
        <w:rPr>
          <w:lang w:val="es-ES_tradnl"/>
        </w:rPr>
        <w:t xml:space="preserve">, y a que, </w:t>
      </w:r>
      <w:r w:rsidR="004D2A02" w:rsidRPr="00153074">
        <w:rPr>
          <w:lang w:val="es-ES_tradnl"/>
        </w:rPr>
        <w:t xml:space="preserve">para empezar, no todas las iniciativas se consideran parte de la </w:t>
      </w:r>
      <w:r w:rsidR="003503A6" w:rsidRPr="00153074">
        <w:rPr>
          <w:lang w:val="es-ES_tradnl"/>
        </w:rPr>
        <w:t>AOD</w:t>
      </w:r>
      <w:r w:rsidR="004D2A02" w:rsidRPr="00153074">
        <w:rPr>
          <w:lang w:val="es-ES_tradnl"/>
        </w:rPr>
        <w:t xml:space="preserve">. </w:t>
      </w:r>
      <w:r w:rsidR="00015415" w:rsidRPr="00153074">
        <w:rPr>
          <w:lang w:val="es-ES_tradnl"/>
        </w:rPr>
        <w:t>Por ejemplo</w:t>
      </w:r>
      <w:r w:rsidR="004D2A02" w:rsidRPr="00153074">
        <w:rPr>
          <w:lang w:val="es-ES_tradnl"/>
        </w:rPr>
        <w:t>, Australia alega que el 27% de su</w:t>
      </w:r>
      <w:r w:rsidR="00B1268C" w:rsidRPr="00153074">
        <w:rPr>
          <w:lang w:val="es-ES_tradnl"/>
        </w:rPr>
        <w:t xml:space="preserve"> </w:t>
      </w:r>
      <w:r w:rsidR="003503A6" w:rsidRPr="00153074">
        <w:rPr>
          <w:lang w:val="es-ES_tradnl"/>
        </w:rPr>
        <w:t>AOD</w:t>
      </w:r>
      <w:r w:rsidR="00B1268C" w:rsidRPr="00153074">
        <w:rPr>
          <w:lang w:val="es-ES_tradnl"/>
        </w:rPr>
        <w:t xml:space="preserve"> </w:t>
      </w:r>
      <w:r w:rsidR="004D2A02" w:rsidRPr="00153074">
        <w:rPr>
          <w:lang w:val="es-ES_tradnl"/>
        </w:rPr>
        <w:t>e</w:t>
      </w:r>
      <w:r w:rsidR="00B1268C" w:rsidRPr="00153074">
        <w:rPr>
          <w:lang w:val="es-ES_tradnl"/>
        </w:rPr>
        <w:t xml:space="preserve">n 2012/13 </w:t>
      </w:r>
      <w:r w:rsidR="00140788" w:rsidRPr="00153074">
        <w:rPr>
          <w:lang w:val="es-ES_tradnl"/>
        </w:rPr>
        <w:t>se</w:t>
      </w:r>
      <w:r w:rsidR="00015415" w:rsidRPr="00153074">
        <w:rPr>
          <w:lang w:val="es-ES_tradnl"/>
        </w:rPr>
        <w:t xml:space="preserve"> destin</w:t>
      </w:r>
      <w:r w:rsidR="00140788" w:rsidRPr="00153074">
        <w:rPr>
          <w:lang w:val="es-ES_tradnl"/>
        </w:rPr>
        <w:t>ó</w:t>
      </w:r>
      <w:r w:rsidR="004D2A02" w:rsidRPr="00153074">
        <w:rPr>
          <w:lang w:val="es-ES_tradnl"/>
        </w:rPr>
        <w:t xml:space="preserve"> al </w:t>
      </w:r>
      <w:r w:rsidR="002A7792" w:rsidRPr="00153074">
        <w:rPr>
          <w:lang w:val="es-ES_tradnl"/>
        </w:rPr>
        <w:t>“</w:t>
      </w:r>
      <w:r w:rsidR="004D2A02" w:rsidRPr="00153074">
        <w:rPr>
          <w:lang w:val="es-ES_tradnl"/>
        </w:rPr>
        <w:t>desarrollo económico sostenible</w:t>
      </w:r>
      <w:r w:rsidR="002A7792" w:rsidRPr="00153074">
        <w:rPr>
          <w:lang w:val="es-ES_tradnl"/>
        </w:rPr>
        <w:t>”</w:t>
      </w:r>
      <w:r w:rsidR="00015415" w:rsidRPr="00153074">
        <w:rPr>
          <w:lang w:val="es-ES_tradnl"/>
        </w:rPr>
        <w:t>;</w:t>
      </w:r>
      <w:r w:rsidR="004D2A02" w:rsidRPr="00153074">
        <w:rPr>
          <w:lang w:val="es-ES_tradnl"/>
        </w:rPr>
        <w:t xml:space="preserve"> y Canadá afirma que</w:t>
      </w:r>
      <w:r w:rsidR="00E46ADA" w:rsidRPr="00153074">
        <w:rPr>
          <w:lang w:val="es-ES_tradnl"/>
        </w:rPr>
        <w:t>,</w:t>
      </w:r>
      <w:r w:rsidR="004D2A02" w:rsidRPr="00153074">
        <w:rPr>
          <w:lang w:val="es-ES_tradnl"/>
        </w:rPr>
        <w:t xml:space="preserve"> en </w:t>
      </w:r>
      <w:r w:rsidR="00743EA9" w:rsidRPr="00153074">
        <w:rPr>
          <w:lang w:val="es-ES_tradnl"/>
        </w:rPr>
        <w:t>2009/10</w:t>
      </w:r>
      <w:r w:rsidR="00E46ADA" w:rsidRPr="00153074">
        <w:rPr>
          <w:lang w:val="es-ES_tradnl"/>
        </w:rPr>
        <w:t>,</w:t>
      </w:r>
      <w:r w:rsidR="00743EA9" w:rsidRPr="00153074">
        <w:rPr>
          <w:lang w:val="es-ES_tradnl"/>
        </w:rPr>
        <w:t xml:space="preserve"> </w:t>
      </w:r>
      <w:r w:rsidR="004D2A02" w:rsidRPr="00153074">
        <w:rPr>
          <w:lang w:val="es-ES_tradnl"/>
        </w:rPr>
        <w:t xml:space="preserve">el </w:t>
      </w:r>
      <w:r w:rsidR="00B1268C" w:rsidRPr="00153074">
        <w:rPr>
          <w:lang w:val="es-ES_tradnl"/>
        </w:rPr>
        <w:t>22</w:t>
      </w:r>
      <w:r w:rsidR="004D2A02" w:rsidRPr="00153074">
        <w:rPr>
          <w:lang w:val="es-ES_tradnl"/>
        </w:rPr>
        <w:t>,</w:t>
      </w:r>
      <w:r w:rsidR="00B1268C" w:rsidRPr="00153074">
        <w:rPr>
          <w:lang w:val="es-ES_tradnl"/>
        </w:rPr>
        <w:t xml:space="preserve">3% </w:t>
      </w:r>
      <w:r w:rsidR="004D2A02" w:rsidRPr="00153074">
        <w:rPr>
          <w:lang w:val="es-ES_tradnl"/>
        </w:rPr>
        <w:t xml:space="preserve">de las actividades de la </w:t>
      </w:r>
      <w:r w:rsidR="00B1268C" w:rsidRPr="00153074">
        <w:rPr>
          <w:lang w:val="es-ES_tradnl"/>
        </w:rPr>
        <w:t>CIDA</w:t>
      </w:r>
      <w:r w:rsidR="004D2A02" w:rsidRPr="00153074">
        <w:rPr>
          <w:lang w:val="es-ES_tradnl"/>
        </w:rPr>
        <w:t xml:space="preserve"> (la agencia canadiense de la </w:t>
      </w:r>
      <w:r w:rsidR="003503A6" w:rsidRPr="00153074">
        <w:rPr>
          <w:lang w:val="es-ES_tradnl"/>
        </w:rPr>
        <w:t>AOD</w:t>
      </w:r>
      <w:r w:rsidR="00743EA9" w:rsidRPr="00153074">
        <w:rPr>
          <w:lang w:val="es-ES_tradnl"/>
        </w:rPr>
        <w:t>)</w:t>
      </w:r>
      <w:r w:rsidR="00B1268C" w:rsidRPr="00153074">
        <w:rPr>
          <w:lang w:val="es-ES_tradnl"/>
        </w:rPr>
        <w:t xml:space="preserve"> </w:t>
      </w:r>
      <w:r w:rsidR="00140788" w:rsidRPr="00153074">
        <w:rPr>
          <w:lang w:val="es-ES_tradnl"/>
        </w:rPr>
        <w:t>se destinó</w:t>
      </w:r>
      <w:r w:rsidR="004D2A02" w:rsidRPr="00153074">
        <w:rPr>
          <w:lang w:val="es-ES_tradnl"/>
        </w:rPr>
        <w:t xml:space="preserve"> al </w:t>
      </w:r>
      <w:r w:rsidR="002A7792" w:rsidRPr="00153074">
        <w:rPr>
          <w:lang w:val="es-ES_tradnl"/>
        </w:rPr>
        <w:t>“</w:t>
      </w:r>
      <w:r w:rsidR="005678E8" w:rsidRPr="00153074">
        <w:rPr>
          <w:lang w:val="es-ES_tradnl"/>
        </w:rPr>
        <w:t>crecimiento económico sostenible</w:t>
      </w:r>
      <w:r w:rsidR="002A7792" w:rsidRPr="00153074">
        <w:rPr>
          <w:lang w:val="es-ES_tradnl"/>
        </w:rPr>
        <w:t>”</w:t>
      </w:r>
      <w:r w:rsidR="005678E8" w:rsidRPr="00153074">
        <w:rPr>
          <w:lang w:val="es-ES_tradnl"/>
        </w:rPr>
        <w:t xml:space="preserve">. Sin embargo, incluso </w:t>
      </w:r>
      <w:r w:rsidR="00140788" w:rsidRPr="00153074">
        <w:rPr>
          <w:lang w:val="es-ES_tradnl"/>
        </w:rPr>
        <w:t>disponiendo</w:t>
      </w:r>
      <w:r w:rsidR="00015415" w:rsidRPr="00153074">
        <w:rPr>
          <w:lang w:val="es-ES_tradnl"/>
        </w:rPr>
        <w:t xml:space="preserve"> de</w:t>
      </w:r>
      <w:r w:rsidR="005678E8" w:rsidRPr="00153074">
        <w:rPr>
          <w:lang w:val="es-ES_tradnl"/>
        </w:rPr>
        <w:t xml:space="preserve"> este tipo de información</w:t>
      </w:r>
      <w:r w:rsidR="00015415" w:rsidRPr="00153074">
        <w:rPr>
          <w:lang w:val="es-ES_tradnl"/>
        </w:rPr>
        <w:t>,</w:t>
      </w:r>
      <w:r w:rsidR="005678E8" w:rsidRPr="00153074">
        <w:rPr>
          <w:lang w:val="es-ES_tradnl"/>
        </w:rPr>
        <w:t xml:space="preserve"> es difícil llevar a cabo </w:t>
      </w:r>
      <w:r w:rsidR="00F47711" w:rsidRPr="00153074">
        <w:rPr>
          <w:lang w:val="es-ES_tradnl"/>
        </w:rPr>
        <w:t>un</w:t>
      </w:r>
      <w:r w:rsidR="005678E8" w:rsidRPr="00153074">
        <w:rPr>
          <w:lang w:val="es-ES_tradnl"/>
        </w:rPr>
        <w:t xml:space="preserve"> ejercicio comparativo </w:t>
      </w:r>
      <w:r w:rsidR="00F47711" w:rsidRPr="00153074">
        <w:rPr>
          <w:lang w:val="es-ES_tradnl"/>
        </w:rPr>
        <w:t>porq</w:t>
      </w:r>
      <w:r w:rsidR="005678E8" w:rsidRPr="00153074">
        <w:rPr>
          <w:lang w:val="es-ES_tradnl"/>
        </w:rPr>
        <w:t xml:space="preserve">ue la definición </w:t>
      </w:r>
      <w:r w:rsidR="00015415" w:rsidRPr="00153074">
        <w:rPr>
          <w:lang w:val="es-ES_tradnl"/>
        </w:rPr>
        <w:t>que ambos</w:t>
      </w:r>
      <w:r w:rsidR="005678E8" w:rsidRPr="00153074">
        <w:rPr>
          <w:lang w:val="es-ES_tradnl"/>
        </w:rPr>
        <w:t xml:space="preserve"> países</w:t>
      </w:r>
      <w:r w:rsidR="00015415" w:rsidRPr="00153074">
        <w:rPr>
          <w:lang w:val="es-ES_tradnl"/>
        </w:rPr>
        <w:t xml:space="preserve"> dan </w:t>
      </w:r>
      <w:r w:rsidR="005678E8" w:rsidRPr="00153074">
        <w:rPr>
          <w:lang w:val="es-ES_tradnl"/>
        </w:rPr>
        <w:t xml:space="preserve">de </w:t>
      </w:r>
      <w:r w:rsidR="002A7792" w:rsidRPr="00153074">
        <w:rPr>
          <w:lang w:val="es-ES_tradnl"/>
        </w:rPr>
        <w:t>“</w:t>
      </w:r>
      <w:r w:rsidR="005678E8" w:rsidRPr="00153074">
        <w:rPr>
          <w:lang w:val="es-ES_tradnl"/>
        </w:rPr>
        <w:t>desarrollo económico sostenible</w:t>
      </w:r>
      <w:r w:rsidR="002A7792" w:rsidRPr="00153074">
        <w:rPr>
          <w:lang w:val="es-ES_tradnl"/>
        </w:rPr>
        <w:t>”</w:t>
      </w:r>
      <w:r w:rsidR="005678E8" w:rsidRPr="00153074">
        <w:rPr>
          <w:lang w:val="es-ES_tradnl"/>
        </w:rPr>
        <w:t xml:space="preserve"> </w:t>
      </w:r>
      <w:r w:rsidR="00F47711" w:rsidRPr="00153074">
        <w:rPr>
          <w:lang w:val="es-ES_tradnl"/>
        </w:rPr>
        <w:t>es</w:t>
      </w:r>
      <w:r w:rsidR="005678E8" w:rsidRPr="00153074">
        <w:rPr>
          <w:lang w:val="es-ES_tradnl"/>
        </w:rPr>
        <w:t xml:space="preserve"> considerablemente</w:t>
      </w:r>
      <w:r w:rsidR="00F47711" w:rsidRPr="00153074">
        <w:rPr>
          <w:lang w:val="es-ES_tradnl"/>
        </w:rPr>
        <w:t xml:space="preserve"> distinta</w:t>
      </w:r>
      <w:r w:rsidR="00B1268C" w:rsidRPr="00153074">
        <w:rPr>
          <w:lang w:val="es-ES_tradnl"/>
        </w:rPr>
        <w:t>.</w:t>
      </w:r>
    </w:p>
    <w:p w:rsidR="00B1268C" w:rsidRPr="00153074" w:rsidRDefault="00B1268C" w:rsidP="007462FA">
      <w:pPr>
        <w:jc w:val="both"/>
        <w:rPr>
          <w:rFonts w:ascii="Arial" w:hAnsi="Arial" w:cs="Arial"/>
          <w:sz w:val="20"/>
          <w:szCs w:val="20"/>
          <w:lang w:val="es-ES_tradnl"/>
        </w:rPr>
      </w:pPr>
    </w:p>
    <w:p w:rsidR="00E96825" w:rsidRPr="00153074" w:rsidRDefault="00F47711" w:rsidP="007462FA">
      <w:pPr>
        <w:jc w:val="both"/>
        <w:rPr>
          <w:lang w:val="es-ES_tradnl"/>
        </w:rPr>
      </w:pPr>
      <w:r w:rsidRPr="00153074">
        <w:rPr>
          <w:lang w:val="es-ES_tradnl"/>
        </w:rPr>
        <w:t>No obstante</w:t>
      </w:r>
      <w:r w:rsidR="00140788" w:rsidRPr="00153074">
        <w:rPr>
          <w:lang w:val="es-ES_tradnl"/>
        </w:rPr>
        <w:t>,</w:t>
      </w:r>
      <w:r w:rsidRPr="00153074">
        <w:rPr>
          <w:lang w:val="es-ES_tradnl"/>
        </w:rPr>
        <w:t xml:space="preserve"> podemos </w:t>
      </w:r>
      <w:r w:rsidR="00E96825" w:rsidRPr="00153074">
        <w:rPr>
          <w:lang w:val="es-ES_tradnl"/>
        </w:rPr>
        <w:t xml:space="preserve">identificar </w:t>
      </w:r>
      <w:r w:rsidRPr="00153074">
        <w:rPr>
          <w:lang w:val="es-ES_tradnl"/>
        </w:rPr>
        <w:t xml:space="preserve">ciertas </w:t>
      </w:r>
      <w:r w:rsidR="00E96825" w:rsidRPr="00153074">
        <w:rPr>
          <w:lang w:val="es-ES_tradnl"/>
        </w:rPr>
        <w:t xml:space="preserve">tendencias generales. Como </w:t>
      </w:r>
      <w:r w:rsidR="00E46ADA" w:rsidRPr="00153074">
        <w:rPr>
          <w:lang w:val="es-ES_tradnl"/>
        </w:rPr>
        <w:t>se especifica en</w:t>
      </w:r>
      <w:r w:rsidR="00E96825" w:rsidRPr="00153074">
        <w:rPr>
          <w:lang w:val="es-ES_tradnl"/>
        </w:rPr>
        <w:t xml:space="preserve"> la</w:t>
      </w:r>
      <w:r w:rsidR="00832D9E" w:rsidRPr="00153074">
        <w:rPr>
          <w:lang w:val="es-ES_tradnl"/>
        </w:rPr>
        <w:t xml:space="preserve"> siguiente</w:t>
      </w:r>
      <w:r w:rsidR="00E96825" w:rsidRPr="00153074">
        <w:rPr>
          <w:lang w:val="es-ES_tradnl"/>
        </w:rPr>
        <w:t xml:space="preserve"> tabla y gráficos, el </w:t>
      </w:r>
      <w:r w:rsidR="002A7792" w:rsidRPr="00153074">
        <w:rPr>
          <w:lang w:val="es-ES_tradnl"/>
        </w:rPr>
        <w:t>“</w:t>
      </w:r>
      <w:r w:rsidR="00E96825" w:rsidRPr="00153074">
        <w:rPr>
          <w:lang w:val="es-ES_tradnl"/>
        </w:rPr>
        <w:t>sistema</w:t>
      </w:r>
      <w:r w:rsidR="002C7306" w:rsidRPr="00153074">
        <w:rPr>
          <w:lang w:val="es-ES_tradnl"/>
        </w:rPr>
        <w:t xml:space="preserve"> de notificación del acreedor</w:t>
      </w:r>
      <w:r w:rsidR="002A7792" w:rsidRPr="00153074">
        <w:rPr>
          <w:lang w:val="es-ES_tradnl"/>
        </w:rPr>
        <w:t>”</w:t>
      </w:r>
      <w:r w:rsidR="002C7306" w:rsidRPr="00153074">
        <w:rPr>
          <w:lang w:val="es-ES_tradnl"/>
        </w:rPr>
        <w:t xml:space="preserve"> d</w:t>
      </w:r>
      <w:r w:rsidR="00E96825" w:rsidRPr="00153074">
        <w:rPr>
          <w:lang w:val="es-ES_tradnl"/>
        </w:rPr>
        <w:t xml:space="preserve">el Comité de Ayuda al Desarrollo (CAD) de la OCDE </w:t>
      </w:r>
      <w:r w:rsidR="002C7306" w:rsidRPr="00153074">
        <w:rPr>
          <w:lang w:val="es-ES_tradnl"/>
        </w:rPr>
        <w:t>indica que</w:t>
      </w:r>
      <w:r w:rsidR="00F14396" w:rsidRPr="00153074">
        <w:rPr>
          <w:lang w:val="es-ES_tradnl"/>
        </w:rPr>
        <w:t>,</w:t>
      </w:r>
      <w:r w:rsidR="002C7306" w:rsidRPr="00153074">
        <w:rPr>
          <w:lang w:val="es-ES_tradnl"/>
        </w:rPr>
        <w:t xml:space="preserve"> </w:t>
      </w:r>
      <w:r w:rsidR="00F14396" w:rsidRPr="00153074">
        <w:rPr>
          <w:lang w:val="es-ES_tradnl"/>
        </w:rPr>
        <w:t xml:space="preserve">entre 2006 y 2011, </w:t>
      </w:r>
      <w:r w:rsidR="002C7306" w:rsidRPr="00153074">
        <w:rPr>
          <w:lang w:val="es-ES_tradnl"/>
        </w:rPr>
        <w:t xml:space="preserve">los flujos de la AOD </w:t>
      </w:r>
      <w:r w:rsidR="00F14396" w:rsidRPr="00153074">
        <w:rPr>
          <w:lang w:val="es-ES_tradnl"/>
        </w:rPr>
        <w:t>dirigidos a</w:t>
      </w:r>
      <w:r w:rsidR="002C7306" w:rsidRPr="00153074">
        <w:rPr>
          <w:lang w:val="es-ES_tradnl"/>
        </w:rPr>
        <w:t xml:space="preserve"> proyectos de </w:t>
      </w:r>
      <w:r w:rsidR="002A7792" w:rsidRPr="00153074">
        <w:rPr>
          <w:lang w:val="es-ES_tradnl"/>
        </w:rPr>
        <w:t>“</w:t>
      </w:r>
      <w:r w:rsidR="00F14396" w:rsidRPr="00153074">
        <w:rPr>
          <w:lang w:val="es-ES_tradnl"/>
        </w:rPr>
        <w:t>i</w:t>
      </w:r>
      <w:r w:rsidR="002C7306" w:rsidRPr="00153074">
        <w:rPr>
          <w:lang w:val="es-ES_tradnl"/>
        </w:rPr>
        <w:t>nfraestructura y servicios económicos</w:t>
      </w:r>
      <w:r w:rsidR="002A7792" w:rsidRPr="00153074">
        <w:rPr>
          <w:lang w:val="es-ES_tradnl"/>
        </w:rPr>
        <w:t>”</w:t>
      </w:r>
      <w:r w:rsidR="002C7306" w:rsidRPr="00153074">
        <w:rPr>
          <w:lang w:val="es-ES_tradnl"/>
        </w:rPr>
        <w:t xml:space="preserve"> y a </w:t>
      </w:r>
      <w:r w:rsidR="002A7792" w:rsidRPr="00153074">
        <w:rPr>
          <w:lang w:val="es-ES_tradnl"/>
        </w:rPr>
        <w:t>“</w:t>
      </w:r>
      <w:r w:rsidR="00F14396" w:rsidRPr="00153074">
        <w:rPr>
          <w:lang w:val="es-ES_tradnl"/>
        </w:rPr>
        <w:t>s</w:t>
      </w:r>
      <w:r w:rsidR="002C7306" w:rsidRPr="00153074">
        <w:rPr>
          <w:lang w:val="es-ES_tradnl"/>
        </w:rPr>
        <w:t>ectores de producción</w:t>
      </w:r>
      <w:r w:rsidR="002A7792" w:rsidRPr="00153074">
        <w:rPr>
          <w:lang w:val="es-ES_tradnl"/>
        </w:rPr>
        <w:t>”</w:t>
      </w:r>
      <w:r w:rsidR="002C7306" w:rsidRPr="00153074">
        <w:rPr>
          <w:lang w:val="es-ES_tradnl"/>
        </w:rPr>
        <w:t xml:space="preserve"> </w:t>
      </w:r>
      <w:r w:rsidR="00F14396" w:rsidRPr="00153074">
        <w:rPr>
          <w:lang w:val="es-ES_tradnl"/>
        </w:rPr>
        <w:t>crecieron</w:t>
      </w:r>
      <w:r w:rsidR="002C7306" w:rsidRPr="00153074">
        <w:rPr>
          <w:lang w:val="es-ES_tradnl"/>
        </w:rPr>
        <w:t xml:space="preserve"> a un ritmo mucho más rápido que en </w:t>
      </w:r>
      <w:r w:rsidR="002C7306" w:rsidRPr="00153074">
        <w:rPr>
          <w:lang w:val="es-ES_tradnl"/>
        </w:rPr>
        <w:lastRenderedPageBreak/>
        <w:t>otros sectores (+72% y +82%</w:t>
      </w:r>
      <w:r w:rsidRPr="00153074">
        <w:rPr>
          <w:lang w:val="es-ES_tradnl"/>
        </w:rPr>
        <w:t>,</w:t>
      </w:r>
      <w:r w:rsidR="002C7306" w:rsidRPr="00153074">
        <w:rPr>
          <w:lang w:val="es-ES_tradnl"/>
        </w:rPr>
        <w:t xml:space="preserve"> en comparación con el +48% </w:t>
      </w:r>
      <w:r w:rsidR="00F14396" w:rsidRPr="00153074">
        <w:rPr>
          <w:lang w:val="es-ES_tradnl"/>
        </w:rPr>
        <w:t>en el caso de</w:t>
      </w:r>
      <w:r w:rsidR="002C7306" w:rsidRPr="00153074">
        <w:rPr>
          <w:lang w:val="es-ES_tradnl"/>
        </w:rPr>
        <w:t xml:space="preserve"> la infraestructura social), corroborando así </w:t>
      </w:r>
      <w:r w:rsidR="00F14396" w:rsidRPr="00153074">
        <w:rPr>
          <w:lang w:val="es-ES_tradnl"/>
        </w:rPr>
        <w:t>el hecho</w:t>
      </w:r>
      <w:r w:rsidR="002C7306" w:rsidRPr="00153074">
        <w:rPr>
          <w:lang w:val="es-ES_tradnl"/>
        </w:rPr>
        <w:t xml:space="preserve"> de que la AOD dirigida al sector privado para el desarrollo está aumentando </w:t>
      </w:r>
      <w:r w:rsidR="00E46ADA" w:rsidRPr="00153074">
        <w:rPr>
          <w:lang w:val="es-ES_tradnl"/>
        </w:rPr>
        <w:t>de manera continua</w:t>
      </w:r>
      <w:r w:rsidR="002C7306" w:rsidRPr="00153074">
        <w:rPr>
          <w:lang w:val="es-ES_tradnl"/>
        </w:rPr>
        <w:t>.</w:t>
      </w:r>
    </w:p>
    <w:p w:rsidR="00B1268C" w:rsidRPr="00153074" w:rsidRDefault="00B1268C" w:rsidP="007462FA">
      <w:pPr>
        <w:jc w:val="both"/>
        <w:rPr>
          <w:rFonts w:ascii="Arial" w:hAnsi="Arial" w:cs="Arial"/>
          <w:sz w:val="20"/>
          <w:szCs w:val="20"/>
          <w:lang w:val="es-ES_tradnl"/>
        </w:rPr>
      </w:pPr>
    </w:p>
    <w:p w:rsidR="00B1268C" w:rsidRPr="00153074" w:rsidRDefault="009203BF" w:rsidP="008D3287">
      <w:pPr>
        <w:pStyle w:val="Heading4"/>
        <w:rPr>
          <w:lang w:val="es-ES_tradnl"/>
        </w:rPr>
      </w:pPr>
      <w:r w:rsidRPr="00153074">
        <w:rPr>
          <w:lang w:val="es-ES_tradnl"/>
        </w:rPr>
        <w:t>Tabl</w:t>
      </w:r>
      <w:r w:rsidR="00510E06" w:rsidRPr="00153074">
        <w:rPr>
          <w:lang w:val="es-ES_tradnl"/>
        </w:rPr>
        <w:t>a</w:t>
      </w:r>
      <w:r w:rsidR="00743EA9" w:rsidRPr="00153074">
        <w:rPr>
          <w:lang w:val="es-ES_tradnl"/>
        </w:rPr>
        <w:t xml:space="preserve"> 1</w:t>
      </w:r>
      <w:r w:rsidRPr="00153074">
        <w:rPr>
          <w:lang w:val="es-ES_tradnl"/>
        </w:rPr>
        <w:t xml:space="preserve">: </w:t>
      </w:r>
      <w:r w:rsidR="00510E06" w:rsidRPr="00153074">
        <w:rPr>
          <w:lang w:val="es-ES_tradnl"/>
        </w:rPr>
        <w:t xml:space="preserve">Distribución </w:t>
      </w:r>
      <w:r w:rsidR="00BF528E" w:rsidRPr="00153074">
        <w:rPr>
          <w:lang w:val="es-ES_tradnl"/>
        </w:rPr>
        <w:t xml:space="preserve">de la AOD </w:t>
      </w:r>
      <w:r w:rsidR="00510E06" w:rsidRPr="00153074">
        <w:rPr>
          <w:lang w:val="es-ES_tradnl"/>
        </w:rPr>
        <w:t>por sectores e</w:t>
      </w:r>
      <w:r w:rsidR="00743EA9" w:rsidRPr="00153074">
        <w:rPr>
          <w:lang w:val="es-ES_tradnl"/>
        </w:rPr>
        <w:t xml:space="preserve">n 2006 </w:t>
      </w:r>
      <w:r w:rsidR="00510E06" w:rsidRPr="00153074">
        <w:rPr>
          <w:lang w:val="es-ES_tradnl"/>
        </w:rPr>
        <w:t xml:space="preserve">y en </w:t>
      </w:r>
      <w:r w:rsidR="00743EA9" w:rsidRPr="00153074">
        <w:rPr>
          <w:lang w:val="es-ES_tradnl"/>
        </w:rPr>
        <w:t>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64"/>
        <w:gridCol w:w="1364"/>
        <w:gridCol w:w="1364"/>
        <w:gridCol w:w="1364"/>
      </w:tblGrid>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510E06" w:rsidP="007462FA">
            <w:pPr>
              <w:jc w:val="both"/>
              <w:rPr>
                <w:rFonts w:ascii="Arial" w:hAnsi="Arial" w:cs="Arial"/>
                <w:sz w:val="16"/>
                <w:szCs w:val="16"/>
                <w:lang w:val="es-ES_tradnl"/>
              </w:rPr>
            </w:pPr>
            <w:r w:rsidRPr="00153074">
              <w:rPr>
                <w:rFonts w:ascii="Arial" w:hAnsi="Arial" w:cs="Arial"/>
                <w:sz w:val="16"/>
                <w:szCs w:val="16"/>
                <w:lang w:val="es-ES_tradnl"/>
              </w:rPr>
              <w:t>En miles de millones USD</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2006</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2011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254F29" w:rsidP="008D3287">
            <w:pPr>
              <w:rPr>
                <w:rFonts w:ascii="Arial" w:hAnsi="Arial" w:cs="Arial"/>
                <w:i/>
                <w:sz w:val="16"/>
                <w:szCs w:val="16"/>
                <w:lang w:val="es-ES_tradnl"/>
              </w:rPr>
            </w:pPr>
            <w:r w:rsidRPr="00153074">
              <w:rPr>
                <w:rFonts w:ascii="Arial" w:hAnsi="Arial" w:cs="Arial"/>
                <w:i/>
                <w:sz w:val="16"/>
                <w:szCs w:val="16"/>
                <w:lang w:val="es-ES_tradnl"/>
              </w:rPr>
              <w:t xml:space="preserve">aumento en </w:t>
            </w:r>
            <w:r w:rsidR="00B1268C" w:rsidRPr="00153074">
              <w:rPr>
                <w:rFonts w:ascii="Arial" w:hAnsi="Arial" w:cs="Arial"/>
                <w:i/>
                <w:sz w:val="16"/>
                <w:szCs w:val="16"/>
                <w:lang w:val="es-ES_tradnl"/>
              </w:rPr>
              <w:t>% 2006-2011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254F29" w:rsidP="008D3287">
            <w:pPr>
              <w:rPr>
                <w:rFonts w:ascii="Arial" w:hAnsi="Arial" w:cs="Arial"/>
                <w:i/>
                <w:sz w:val="16"/>
                <w:szCs w:val="16"/>
                <w:lang w:val="es-ES_tradnl"/>
              </w:rPr>
            </w:pPr>
            <w:r w:rsidRPr="00153074">
              <w:rPr>
                <w:rFonts w:ascii="Arial" w:hAnsi="Arial" w:cs="Arial"/>
                <w:i/>
                <w:sz w:val="16"/>
                <w:szCs w:val="16"/>
                <w:lang w:val="es-ES_tradnl"/>
              </w:rPr>
              <w:t xml:space="preserve">proporción en </w:t>
            </w:r>
            <w:r w:rsidR="00B1268C" w:rsidRPr="00153074">
              <w:rPr>
                <w:rFonts w:ascii="Arial" w:hAnsi="Arial" w:cs="Arial"/>
                <w:i/>
                <w:sz w:val="16"/>
                <w:szCs w:val="16"/>
                <w:lang w:val="es-ES_tradnl"/>
              </w:rPr>
              <w:t>% 2011</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0" w:tooltip="Click once to display linked information. Click and hold to select this cell." w:history="1">
              <w:r w:rsidR="00AD7836" w:rsidRPr="00153074">
                <w:rPr>
                  <w:rFonts w:ascii="Arial" w:hAnsi="Arial" w:cs="Arial"/>
                  <w:sz w:val="16"/>
                  <w:szCs w:val="16"/>
                  <w:lang w:val="es-ES_tradnl"/>
                </w:rPr>
                <w:t>I. Infraestructura y servicios sociale</w:t>
              </w:r>
              <w:r w:rsidR="00B1268C" w:rsidRPr="00153074">
                <w:rPr>
                  <w:rFonts w:ascii="Arial" w:hAnsi="Arial" w:cs="Arial"/>
                  <w:sz w:val="16"/>
                  <w:szCs w:val="16"/>
                  <w:lang w:val="es-ES_tradnl"/>
                </w:rPr>
                <w:t>s</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46</w:t>
            </w:r>
            <w:r w:rsidR="00254F29" w:rsidRPr="00153074">
              <w:rPr>
                <w:rFonts w:ascii="Arial" w:hAnsi="Arial" w:cs="Arial"/>
                <w:sz w:val="16"/>
                <w:szCs w:val="16"/>
                <w:lang w:val="es-ES_tradnl"/>
              </w:rPr>
              <w:t>,</w:t>
            </w:r>
            <w:r w:rsidRPr="00153074">
              <w:rPr>
                <w:rFonts w:ascii="Arial" w:hAnsi="Arial" w:cs="Arial"/>
                <w:sz w:val="16"/>
                <w:szCs w:val="16"/>
                <w:lang w:val="es-ES_tradnl"/>
              </w:rPr>
              <w:t>4</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68</w:t>
            </w:r>
            <w:r w:rsidR="00254F29" w:rsidRPr="00153074">
              <w:rPr>
                <w:rFonts w:ascii="Arial" w:hAnsi="Arial" w:cs="Arial"/>
                <w:sz w:val="16"/>
                <w:szCs w:val="16"/>
                <w:lang w:val="es-ES_tradnl"/>
              </w:rPr>
              <w:t>,</w:t>
            </w:r>
            <w:r w:rsidRPr="00153074">
              <w:rPr>
                <w:rFonts w:ascii="Arial" w:hAnsi="Arial" w:cs="Arial"/>
                <w:sz w:val="16"/>
                <w:szCs w:val="16"/>
                <w:lang w:val="es-ES_tradnl"/>
              </w:rPr>
              <w:t>7</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+48</w:t>
            </w:r>
            <w:r w:rsidR="00254F29" w:rsidRPr="00153074">
              <w:rPr>
                <w:rFonts w:ascii="Arial" w:hAnsi="Arial" w:cs="Arial"/>
                <w:i/>
                <w:sz w:val="16"/>
                <w:szCs w:val="16"/>
                <w:lang w:val="es-ES_tradnl"/>
              </w:rPr>
              <w:t>,</w:t>
            </w:r>
            <w:r w:rsidRPr="00153074">
              <w:rPr>
                <w:rFonts w:ascii="Arial" w:hAnsi="Arial" w:cs="Arial"/>
                <w:i/>
                <w:sz w:val="16"/>
                <w:szCs w:val="16"/>
                <w:lang w:val="es-ES_tradnl"/>
              </w:rPr>
              <w:t>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41%</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1" w:tooltip="Click once to display linked information. Click and hold to select this cell." w:history="1">
              <w:r w:rsidR="00B1268C" w:rsidRPr="00153074">
                <w:rPr>
                  <w:rFonts w:ascii="Arial" w:hAnsi="Arial" w:cs="Arial"/>
                  <w:sz w:val="16"/>
                  <w:szCs w:val="16"/>
                  <w:lang w:val="es-ES_tradnl"/>
                </w:rPr>
                <w:t xml:space="preserve">II. </w:t>
              </w:r>
              <w:r w:rsidR="0020267A" w:rsidRPr="00153074">
                <w:rPr>
                  <w:rFonts w:ascii="Arial" w:hAnsi="Arial" w:cs="Arial"/>
                  <w:sz w:val="16"/>
                  <w:szCs w:val="16"/>
                  <w:lang w:val="es-ES_tradnl"/>
                </w:rPr>
                <w:t>Infraestructura y servicios económicos</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15</w:t>
            </w:r>
            <w:r w:rsidR="00254F29" w:rsidRPr="00153074">
              <w:rPr>
                <w:rFonts w:ascii="Arial" w:hAnsi="Arial" w:cs="Arial"/>
                <w:sz w:val="16"/>
                <w:szCs w:val="16"/>
                <w:lang w:val="es-ES_tradnl"/>
              </w:rPr>
              <w:t>,</w:t>
            </w:r>
            <w:r w:rsidRPr="00153074">
              <w:rPr>
                <w:rFonts w:ascii="Arial" w:hAnsi="Arial" w:cs="Arial"/>
                <w:sz w:val="16"/>
                <w:szCs w:val="16"/>
                <w:lang w:val="es-ES_tradnl"/>
              </w:rPr>
              <w:t>8</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27</w:t>
            </w:r>
            <w:r w:rsidR="00254F29" w:rsidRPr="00153074">
              <w:rPr>
                <w:rFonts w:ascii="Arial" w:hAnsi="Arial" w:cs="Arial"/>
                <w:sz w:val="16"/>
                <w:szCs w:val="16"/>
                <w:lang w:val="es-ES_tradnl"/>
              </w:rPr>
              <w:t>,</w:t>
            </w:r>
            <w:r w:rsidRPr="00153074">
              <w:rPr>
                <w:rFonts w:ascii="Arial" w:hAnsi="Arial" w:cs="Arial"/>
                <w:sz w:val="16"/>
                <w:szCs w:val="16"/>
                <w:lang w:val="es-ES_tradnl"/>
              </w:rPr>
              <w:t>2</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b/>
                <w:i/>
                <w:sz w:val="16"/>
                <w:szCs w:val="16"/>
                <w:lang w:val="es-ES_tradnl"/>
              </w:rPr>
            </w:pPr>
            <w:r w:rsidRPr="00153074">
              <w:rPr>
                <w:rFonts w:ascii="Arial" w:hAnsi="Arial" w:cs="Arial"/>
                <w:b/>
                <w:i/>
                <w:sz w:val="16"/>
                <w:szCs w:val="16"/>
                <w:lang w:val="es-ES_tradnl"/>
              </w:rPr>
              <w:t>+72</w:t>
            </w:r>
            <w:r w:rsidR="00254F29" w:rsidRPr="00153074">
              <w:rPr>
                <w:rFonts w:ascii="Arial" w:hAnsi="Arial" w:cs="Arial"/>
                <w:b/>
                <w:i/>
                <w:sz w:val="16"/>
                <w:szCs w:val="16"/>
                <w:lang w:val="es-ES_tradnl"/>
              </w:rPr>
              <w:t>,</w:t>
            </w:r>
            <w:r w:rsidRPr="00153074">
              <w:rPr>
                <w:rFonts w:ascii="Arial" w:hAnsi="Arial" w:cs="Arial"/>
                <w:b/>
                <w:i/>
                <w:sz w:val="16"/>
                <w:szCs w:val="16"/>
                <w:lang w:val="es-ES_tradnl"/>
              </w:rPr>
              <w:t>2%</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16%</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2" w:tooltip="Click once to display linked information. Click and hold to select this cell." w:history="1">
              <w:r w:rsidR="0020267A" w:rsidRPr="00153074">
                <w:rPr>
                  <w:rFonts w:ascii="Arial" w:hAnsi="Arial" w:cs="Arial"/>
                  <w:sz w:val="16"/>
                  <w:szCs w:val="16"/>
                  <w:lang w:val="es-ES_tradnl"/>
                </w:rPr>
                <w:t>III. Sectores de producción</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8</w:t>
            </w:r>
            <w:r w:rsidR="00254F29" w:rsidRPr="00153074">
              <w:rPr>
                <w:rFonts w:ascii="Arial" w:hAnsi="Arial" w:cs="Arial"/>
                <w:sz w:val="16"/>
                <w:szCs w:val="16"/>
                <w:lang w:val="es-ES_tradnl"/>
              </w:rPr>
              <w:t>,</w:t>
            </w:r>
            <w:r w:rsidRPr="00153074">
              <w:rPr>
                <w:rFonts w:ascii="Arial" w:hAnsi="Arial" w:cs="Arial"/>
                <w:sz w:val="16"/>
                <w:szCs w:val="16"/>
                <w:lang w:val="es-ES_tradnl"/>
              </w:rPr>
              <w:t>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14</w:t>
            </w:r>
            <w:r w:rsidR="00254F29" w:rsidRPr="00153074">
              <w:rPr>
                <w:rFonts w:ascii="Arial" w:hAnsi="Arial" w:cs="Arial"/>
                <w:sz w:val="16"/>
                <w:szCs w:val="16"/>
                <w:lang w:val="es-ES_tradnl"/>
              </w:rPr>
              <w:t>,</w:t>
            </w:r>
            <w:r w:rsidRPr="00153074">
              <w:rPr>
                <w:rFonts w:ascii="Arial" w:hAnsi="Arial" w:cs="Arial"/>
                <w:sz w:val="16"/>
                <w:szCs w:val="16"/>
                <w:lang w:val="es-ES_tradnl"/>
              </w:rPr>
              <w:t>8</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b/>
                <w:i/>
                <w:sz w:val="16"/>
                <w:szCs w:val="16"/>
                <w:lang w:val="es-ES_tradnl"/>
              </w:rPr>
            </w:pPr>
            <w:r w:rsidRPr="00153074">
              <w:rPr>
                <w:rFonts w:ascii="Arial" w:hAnsi="Arial" w:cs="Arial"/>
                <w:b/>
                <w:i/>
                <w:sz w:val="16"/>
                <w:szCs w:val="16"/>
                <w:lang w:val="es-ES_tradnl"/>
              </w:rPr>
              <w:t>+82</w:t>
            </w:r>
            <w:r w:rsidR="00254F29" w:rsidRPr="00153074">
              <w:rPr>
                <w:rFonts w:ascii="Arial" w:hAnsi="Arial" w:cs="Arial"/>
                <w:b/>
                <w:i/>
                <w:sz w:val="16"/>
                <w:szCs w:val="16"/>
                <w:lang w:val="es-ES_tradnl"/>
              </w:rPr>
              <w:t>,</w:t>
            </w:r>
            <w:r w:rsidRPr="00153074">
              <w:rPr>
                <w:rFonts w:ascii="Arial" w:hAnsi="Arial" w:cs="Arial"/>
                <w:b/>
                <w:i/>
                <w:sz w:val="16"/>
                <w:szCs w:val="16"/>
                <w:lang w:val="es-ES_tradnl"/>
              </w:rPr>
              <w:t>7%</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9%</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3" w:tooltip="Click once to display linked information. Click and hold to select this cell." w:history="1">
              <w:r w:rsidR="0020267A" w:rsidRPr="00153074">
                <w:rPr>
                  <w:rFonts w:ascii="Arial" w:hAnsi="Arial" w:cs="Arial"/>
                  <w:sz w:val="16"/>
                  <w:szCs w:val="16"/>
                  <w:lang w:val="es-ES_tradnl"/>
                </w:rPr>
                <w:t>IV. Plurisector</w:t>
              </w:r>
              <w:r w:rsidR="006C22CA" w:rsidRPr="00153074">
                <w:rPr>
                  <w:rFonts w:ascii="Arial" w:hAnsi="Arial" w:cs="Arial"/>
                  <w:sz w:val="16"/>
                  <w:szCs w:val="16"/>
                  <w:lang w:val="es-ES_tradnl"/>
                </w:rPr>
                <w:t>ial</w:t>
              </w:r>
              <w:r w:rsidR="00B1268C" w:rsidRPr="00153074">
                <w:rPr>
                  <w:rFonts w:ascii="Arial" w:hAnsi="Arial" w:cs="Arial"/>
                  <w:sz w:val="16"/>
                  <w:szCs w:val="16"/>
                  <w:lang w:val="es-ES_tradnl"/>
                </w:rPr>
                <w:t xml:space="preserve"> / </w:t>
              </w:r>
              <w:r w:rsidR="0020267A" w:rsidRPr="00153074">
                <w:rPr>
                  <w:rFonts w:ascii="Arial" w:hAnsi="Arial" w:cs="Arial"/>
                  <w:sz w:val="16"/>
                  <w:szCs w:val="16"/>
                  <w:lang w:val="es-ES_tradnl"/>
                </w:rPr>
                <w:t>Transversal</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8</w:t>
            </w:r>
            <w:r w:rsidR="00254F29" w:rsidRPr="00153074">
              <w:rPr>
                <w:rFonts w:ascii="Arial" w:hAnsi="Arial" w:cs="Arial"/>
                <w:sz w:val="16"/>
                <w:szCs w:val="16"/>
                <w:lang w:val="es-ES_tradnl"/>
              </w:rPr>
              <w:t>,</w:t>
            </w:r>
            <w:r w:rsidRPr="00153074">
              <w:rPr>
                <w:rFonts w:ascii="Arial" w:hAnsi="Arial" w:cs="Arial"/>
                <w:sz w:val="16"/>
                <w:szCs w:val="16"/>
                <w:lang w:val="es-ES_tradnl"/>
              </w:rPr>
              <w:t>6</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17</w:t>
            </w:r>
            <w:r w:rsidR="00254F29" w:rsidRPr="00153074">
              <w:rPr>
                <w:rFonts w:ascii="Arial" w:hAnsi="Arial" w:cs="Arial"/>
                <w:sz w:val="16"/>
                <w:szCs w:val="16"/>
                <w:lang w:val="es-ES_tradnl"/>
              </w:rPr>
              <w:t>,</w:t>
            </w:r>
            <w:r w:rsidRPr="00153074">
              <w:rPr>
                <w:rFonts w:ascii="Arial" w:hAnsi="Arial" w:cs="Arial"/>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+104</w:t>
            </w:r>
            <w:r w:rsidR="00254F29" w:rsidRPr="00153074">
              <w:rPr>
                <w:rFonts w:ascii="Arial" w:hAnsi="Arial" w:cs="Arial"/>
                <w:i/>
                <w:sz w:val="16"/>
                <w:szCs w:val="16"/>
                <w:lang w:val="es-ES_tradnl"/>
              </w:rPr>
              <w:t>,</w:t>
            </w:r>
            <w:r w:rsidRPr="00153074">
              <w:rPr>
                <w:rFonts w:ascii="Arial" w:hAnsi="Arial" w:cs="Arial"/>
                <w:i/>
                <w:sz w:val="16"/>
                <w:szCs w:val="16"/>
                <w:lang w:val="es-ES_tradnl"/>
              </w:rPr>
              <w:t>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10%</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331D7D" w:rsidP="007462FA">
            <w:pPr>
              <w:jc w:val="both"/>
              <w:rPr>
                <w:rFonts w:ascii="Arial" w:hAnsi="Arial" w:cs="Arial"/>
                <w:sz w:val="16"/>
                <w:szCs w:val="16"/>
                <w:lang w:val="es-ES_tradnl"/>
              </w:rPr>
            </w:pPr>
            <w:r w:rsidRPr="00153074">
              <w:rPr>
                <w:rFonts w:ascii="Arial" w:hAnsi="Arial" w:cs="Arial"/>
                <w:sz w:val="16"/>
                <w:szCs w:val="16"/>
                <w:lang w:val="es-ES_tradnl"/>
              </w:rPr>
              <w:t>VI. Ayuda básica</w:t>
            </w:r>
            <w:r w:rsidR="00B1268C" w:rsidRPr="00153074">
              <w:rPr>
                <w:rFonts w:ascii="Arial" w:hAnsi="Arial" w:cs="Arial"/>
                <w:sz w:val="16"/>
                <w:szCs w:val="16"/>
                <w:lang w:val="es-ES_tradnl"/>
              </w:rPr>
              <w:t xml:space="preserve"> / </w:t>
            </w:r>
            <w:r w:rsidRPr="00153074">
              <w:rPr>
                <w:rFonts w:ascii="Arial" w:hAnsi="Arial" w:cs="Arial"/>
                <w:sz w:val="16"/>
                <w:szCs w:val="16"/>
                <w:lang w:val="es-ES_tradnl"/>
              </w:rPr>
              <w:t>Eval</w:t>
            </w:r>
            <w:r w:rsidR="00C30896" w:rsidRPr="00153074">
              <w:rPr>
                <w:rFonts w:ascii="Arial" w:hAnsi="Arial" w:cs="Arial"/>
                <w:sz w:val="16"/>
                <w:szCs w:val="16"/>
                <w:lang w:val="es-ES_tradnl"/>
              </w:rPr>
              <w:t>uación</w:t>
            </w:r>
            <w:r w:rsidRPr="00153074">
              <w:rPr>
                <w:rFonts w:ascii="Arial" w:hAnsi="Arial" w:cs="Arial"/>
                <w:sz w:val="16"/>
                <w:szCs w:val="16"/>
                <w:lang w:val="es-ES_tradnl"/>
              </w:rPr>
              <w:t xml:space="preserve"> gen</w:t>
            </w:r>
            <w:r w:rsidR="00C30896" w:rsidRPr="00153074">
              <w:rPr>
                <w:rFonts w:ascii="Arial" w:hAnsi="Arial" w:cs="Arial"/>
                <w:sz w:val="16"/>
                <w:szCs w:val="16"/>
                <w:lang w:val="es-ES_tradnl"/>
              </w:rPr>
              <w:t>.</w:t>
            </w:r>
            <w:r w:rsidRPr="00153074">
              <w:rPr>
                <w:rFonts w:ascii="Arial" w:hAnsi="Arial" w:cs="Arial"/>
                <w:sz w:val="16"/>
                <w:szCs w:val="16"/>
                <w:lang w:val="es-ES_tradnl"/>
              </w:rPr>
              <w:t xml:space="preserve"> </w:t>
            </w:r>
            <w:proofErr w:type="gramStart"/>
            <w:r w:rsidRPr="00153074">
              <w:rPr>
                <w:rFonts w:ascii="Arial" w:hAnsi="Arial" w:cs="Arial"/>
                <w:sz w:val="16"/>
                <w:szCs w:val="16"/>
                <w:lang w:val="es-ES_tradnl"/>
              </w:rPr>
              <w:t>de</w:t>
            </w:r>
            <w:proofErr w:type="gramEnd"/>
            <w:r w:rsidRPr="00153074">
              <w:rPr>
                <w:rFonts w:ascii="Arial" w:hAnsi="Arial" w:cs="Arial"/>
                <w:sz w:val="16"/>
                <w:szCs w:val="16"/>
                <w:lang w:val="es-ES_tradnl"/>
              </w:rPr>
              <w:t xml:space="preserve"> prog</w:t>
            </w:r>
            <w:r w:rsidR="00B1268C" w:rsidRPr="00153074">
              <w:rPr>
                <w:rFonts w:ascii="Arial" w:hAnsi="Arial" w:cs="Arial"/>
                <w:sz w:val="16"/>
                <w:szCs w:val="16"/>
                <w:lang w:val="es-ES_tradnl"/>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4</w:t>
            </w:r>
            <w:r w:rsidR="00254F29" w:rsidRPr="00153074">
              <w:rPr>
                <w:rFonts w:ascii="Arial" w:hAnsi="Arial" w:cs="Arial"/>
                <w:sz w:val="16"/>
                <w:szCs w:val="16"/>
                <w:lang w:val="es-ES_tradnl"/>
              </w:rPr>
              <w:t>,</w:t>
            </w:r>
            <w:r w:rsidRPr="00153074">
              <w:rPr>
                <w:rFonts w:ascii="Arial" w:hAnsi="Arial" w:cs="Arial"/>
                <w:sz w:val="16"/>
                <w:szCs w:val="16"/>
                <w:lang w:val="es-ES_tradnl"/>
              </w:rPr>
              <w:t>9</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6</w:t>
            </w:r>
            <w:r w:rsidR="00254F29" w:rsidRPr="00153074">
              <w:rPr>
                <w:rFonts w:ascii="Arial" w:hAnsi="Arial" w:cs="Arial"/>
                <w:sz w:val="16"/>
                <w:szCs w:val="16"/>
                <w:lang w:val="es-ES_tradnl"/>
              </w:rPr>
              <w:t>,</w:t>
            </w:r>
            <w:r w:rsidRPr="00153074">
              <w:rPr>
                <w:rFonts w:ascii="Arial" w:hAnsi="Arial" w:cs="Arial"/>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+32</w:t>
            </w:r>
            <w:r w:rsidR="00254F29" w:rsidRPr="00153074">
              <w:rPr>
                <w:rFonts w:ascii="Arial" w:hAnsi="Arial" w:cs="Arial"/>
                <w:i/>
                <w:sz w:val="16"/>
                <w:szCs w:val="16"/>
                <w:lang w:val="es-ES_tradnl"/>
              </w:rPr>
              <w:t>,</w:t>
            </w:r>
            <w:r w:rsidRPr="00153074">
              <w:rPr>
                <w:rFonts w:ascii="Arial" w:hAnsi="Arial" w:cs="Arial"/>
                <w:i/>
                <w:sz w:val="16"/>
                <w:szCs w:val="16"/>
                <w:lang w:val="es-ES_tradnl"/>
              </w:rPr>
              <w:t>2%</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4%</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4" w:tooltip="Click once to display linked information. Click and hold to select this cell." w:history="1">
              <w:r w:rsidR="00B1268C" w:rsidRPr="00153074">
                <w:rPr>
                  <w:rFonts w:ascii="Arial" w:hAnsi="Arial" w:cs="Arial"/>
                  <w:sz w:val="16"/>
                  <w:szCs w:val="16"/>
                  <w:lang w:val="es-ES_tradnl"/>
                </w:rPr>
                <w:t>VII. Ac</w:t>
              </w:r>
              <w:r w:rsidR="0020267A" w:rsidRPr="00153074">
                <w:rPr>
                  <w:rFonts w:ascii="Arial" w:hAnsi="Arial" w:cs="Arial"/>
                  <w:sz w:val="16"/>
                  <w:szCs w:val="16"/>
                  <w:lang w:val="es-ES_tradnl"/>
                </w:rPr>
                <w:t>ción relacionada con la deuda</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23</w:t>
            </w:r>
            <w:r w:rsidR="00254F29" w:rsidRPr="00153074">
              <w:rPr>
                <w:rFonts w:ascii="Arial" w:hAnsi="Arial" w:cs="Arial"/>
                <w:sz w:val="16"/>
                <w:szCs w:val="16"/>
                <w:lang w:val="es-ES_tradnl"/>
              </w:rPr>
              <w:t>,</w:t>
            </w:r>
            <w:r w:rsidRPr="00153074">
              <w:rPr>
                <w:rFonts w:ascii="Arial" w:hAnsi="Arial" w:cs="Arial"/>
                <w:sz w:val="16"/>
                <w:szCs w:val="16"/>
                <w:lang w:val="es-ES_tradnl"/>
              </w:rPr>
              <w:t>2</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4</w:t>
            </w:r>
            <w:r w:rsidR="00254F29" w:rsidRPr="00153074">
              <w:rPr>
                <w:rFonts w:ascii="Arial" w:hAnsi="Arial" w:cs="Arial"/>
                <w:sz w:val="16"/>
                <w:szCs w:val="16"/>
                <w:lang w:val="es-ES_tradnl"/>
              </w:rPr>
              <w:t>,</w:t>
            </w:r>
            <w:r w:rsidRPr="00153074">
              <w:rPr>
                <w:rFonts w:ascii="Arial" w:hAnsi="Arial" w:cs="Arial"/>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-80</w:t>
            </w:r>
            <w:r w:rsidR="00254F29" w:rsidRPr="00153074">
              <w:rPr>
                <w:rFonts w:ascii="Arial" w:hAnsi="Arial" w:cs="Arial"/>
                <w:i/>
                <w:sz w:val="16"/>
                <w:szCs w:val="16"/>
                <w:lang w:val="es-ES_tradnl"/>
              </w:rPr>
              <w:t>,</w:t>
            </w:r>
            <w:r w:rsidRPr="00153074">
              <w:rPr>
                <w:rFonts w:ascii="Arial" w:hAnsi="Arial" w:cs="Arial"/>
                <w:i/>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3%</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5" w:tooltip="Click once to display linked information. Click and hold to select this cell." w:history="1">
              <w:r w:rsidR="006C22CA" w:rsidRPr="00153074">
                <w:rPr>
                  <w:rFonts w:ascii="Arial" w:hAnsi="Arial" w:cs="Arial"/>
                  <w:sz w:val="16"/>
                  <w:szCs w:val="16"/>
                  <w:lang w:val="es-ES_tradnl"/>
                </w:rPr>
                <w:t>VIII. Ayuda humanitaria</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8</w:t>
            </w:r>
            <w:r w:rsidR="00254F29" w:rsidRPr="00153074">
              <w:rPr>
                <w:rFonts w:ascii="Arial" w:hAnsi="Arial" w:cs="Arial"/>
                <w:sz w:val="16"/>
                <w:szCs w:val="16"/>
                <w:lang w:val="es-ES_tradnl"/>
              </w:rPr>
              <w:t>,</w:t>
            </w:r>
            <w:r w:rsidRPr="00153074">
              <w:rPr>
                <w:rFonts w:ascii="Arial" w:hAnsi="Arial" w:cs="Arial"/>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12</w:t>
            </w:r>
            <w:r w:rsidR="00254F29" w:rsidRPr="00153074">
              <w:rPr>
                <w:rFonts w:ascii="Arial" w:hAnsi="Arial" w:cs="Arial"/>
                <w:sz w:val="16"/>
                <w:szCs w:val="16"/>
                <w:lang w:val="es-ES_tradnl"/>
              </w:rPr>
              <w:t>,</w:t>
            </w:r>
            <w:r w:rsidRPr="00153074">
              <w:rPr>
                <w:rFonts w:ascii="Arial" w:hAnsi="Arial" w:cs="Arial"/>
                <w:sz w:val="16"/>
                <w:szCs w:val="16"/>
                <w:lang w:val="es-ES_tradnl"/>
              </w:rPr>
              <w:t>8</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+50</w:t>
            </w:r>
            <w:r w:rsidR="00254F29" w:rsidRPr="00153074">
              <w:rPr>
                <w:rFonts w:ascii="Arial" w:hAnsi="Arial" w:cs="Arial"/>
                <w:i/>
                <w:sz w:val="16"/>
                <w:szCs w:val="16"/>
                <w:lang w:val="es-ES_tradnl"/>
              </w:rPr>
              <w:t>,</w:t>
            </w:r>
            <w:r w:rsidRPr="00153074">
              <w:rPr>
                <w:rFonts w:ascii="Arial" w:hAnsi="Arial" w:cs="Arial"/>
                <w:i/>
                <w:sz w:val="16"/>
                <w:szCs w:val="16"/>
                <w:lang w:val="es-ES_tradnl"/>
              </w:rPr>
              <w:t>2%</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8%</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AD6F10" w:rsidP="007462FA">
            <w:pPr>
              <w:jc w:val="both"/>
              <w:rPr>
                <w:rFonts w:ascii="Arial" w:hAnsi="Arial" w:cs="Arial"/>
                <w:sz w:val="16"/>
                <w:szCs w:val="16"/>
                <w:lang w:val="es-ES_tradnl"/>
              </w:rPr>
            </w:pPr>
            <w:hyperlink r:id="rId16" w:tooltip="Click once to display linked information. Click and hold to select this cell." w:history="1">
              <w:r w:rsidR="006C22CA" w:rsidRPr="00153074">
                <w:rPr>
                  <w:rFonts w:ascii="Arial" w:hAnsi="Arial" w:cs="Arial"/>
                  <w:sz w:val="16"/>
                  <w:szCs w:val="16"/>
                  <w:lang w:val="es-ES_tradnl"/>
                </w:rPr>
                <w:t>IX</w:t>
              </w:r>
              <w:r w:rsidR="00254F29" w:rsidRPr="00153074">
                <w:rPr>
                  <w:rFonts w:ascii="Arial" w:hAnsi="Arial" w:cs="Arial"/>
                  <w:sz w:val="16"/>
                  <w:szCs w:val="16"/>
                  <w:lang w:val="es-ES_tradnl"/>
                </w:rPr>
                <w:t>,</w:t>
              </w:r>
              <w:r w:rsidR="00C30896" w:rsidRPr="00153074">
                <w:rPr>
                  <w:rFonts w:ascii="Arial" w:hAnsi="Arial" w:cs="Arial"/>
                  <w:sz w:val="16"/>
                  <w:szCs w:val="16"/>
                  <w:lang w:val="es-ES_tradnl"/>
                </w:rPr>
                <w:t xml:space="preserve"> No asignada</w:t>
              </w:r>
              <w:r w:rsidR="00B1268C" w:rsidRPr="00153074">
                <w:rPr>
                  <w:rFonts w:ascii="Arial" w:hAnsi="Arial" w:cs="Arial"/>
                  <w:sz w:val="16"/>
                  <w:szCs w:val="16"/>
                  <w:lang w:val="es-ES_tradnl"/>
                </w:rPr>
                <w:t xml:space="preserve"> / </w:t>
              </w:r>
              <w:r w:rsidR="006C22CA" w:rsidRPr="00153074">
                <w:rPr>
                  <w:rFonts w:ascii="Arial" w:hAnsi="Arial" w:cs="Arial"/>
                  <w:sz w:val="16"/>
                  <w:szCs w:val="16"/>
                  <w:lang w:val="es-ES_tradnl"/>
                </w:rPr>
                <w:t>No especificad</w:t>
              </w:r>
              <w:r w:rsidR="00C30896" w:rsidRPr="00153074">
                <w:rPr>
                  <w:rFonts w:ascii="Arial" w:hAnsi="Arial" w:cs="Arial"/>
                  <w:sz w:val="16"/>
                  <w:szCs w:val="16"/>
                  <w:lang w:val="es-ES_tradnl"/>
                </w:rPr>
                <w:t>a</w:t>
              </w:r>
            </w:hyperlink>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13</w:t>
            </w:r>
            <w:r w:rsidR="00254F29" w:rsidRPr="00153074">
              <w:rPr>
                <w:rFonts w:ascii="Arial" w:hAnsi="Arial" w:cs="Arial"/>
                <w:sz w:val="16"/>
                <w:szCs w:val="16"/>
                <w:lang w:val="es-ES_tradnl"/>
              </w:rPr>
              <w:t>,</w:t>
            </w:r>
            <w:r w:rsidRPr="00153074">
              <w:rPr>
                <w:rFonts w:ascii="Arial" w:hAnsi="Arial" w:cs="Arial"/>
                <w:sz w:val="16"/>
                <w:szCs w:val="16"/>
                <w:lang w:val="es-ES_tradnl"/>
              </w:rPr>
              <w:t>6</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15</w:t>
            </w:r>
            <w:r w:rsidR="00254F29" w:rsidRPr="00153074">
              <w:rPr>
                <w:rFonts w:ascii="Arial" w:hAnsi="Arial" w:cs="Arial"/>
                <w:sz w:val="16"/>
                <w:szCs w:val="16"/>
                <w:lang w:val="es-ES_tradnl"/>
              </w:rPr>
              <w:t>,</w:t>
            </w:r>
            <w:r w:rsidRPr="00153074">
              <w:rPr>
                <w:rFonts w:ascii="Arial" w:hAnsi="Arial" w:cs="Arial"/>
                <w:sz w:val="16"/>
                <w:szCs w:val="16"/>
                <w:lang w:val="es-ES_tradnl"/>
              </w:rPr>
              <w:t>1</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+10</w:t>
            </w:r>
            <w:r w:rsidR="00254F29" w:rsidRPr="00153074">
              <w:rPr>
                <w:rFonts w:ascii="Arial" w:hAnsi="Arial" w:cs="Arial"/>
                <w:i/>
                <w:sz w:val="16"/>
                <w:szCs w:val="16"/>
                <w:lang w:val="es-ES_tradnl"/>
              </w:rPr>
              <w:t>,</w:t>
            </w:r>
            <w:r w:rsidRPr="00153074">
              <w:rPr>
                <w:rFonts w:ascii="Arial" w:hAnsi="Arial" w:cs="Arial"/>
                <w:i/>
                <w:sz w:val="16"/>
                <w:szCs w:val="16"/>
                <w:lang w:val="es-ES_tradnl"/>
              </w:rPr>
              <w:t>8%</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9%</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Total</w:t>
            </w:r>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129</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167</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+29</w:t>
            </w:r>
            <w:r w:rsidR="00254F29" w:rsidRPr="00153074">
              <w:rPr>
                <w:rFonts w:ascii="Arial" w:hAnsi="Arial" w:cs="Arial"/>
                <w:i/>
                <w:sz w:val="16"/>
                <w:szCs w:val="16"/>
                <w:lang w:val="es-ES_tradnl"/>
              </w:rPr>
              <w:t>,</w:t>
            </w:r>
            <w:r w:rsidRPr="00153074">
              <w:rPr>
                <w:rFonts w:ascii="Arial" w:hAnsi="Arial" w:cs="Arial"/>
                <w:i/>
                <w:sz w:val="16"/>
                <w:szCs w:val="16"/>
                <w:lang w:val="es-ES_tradnl"/>
              </w:rPr>
              <w:t>4%</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100%</w:t>
            </w:r>
          </w:p>
        </w:tc>
      </w:tr>
      <w:tr w:rsidR="00B1268C" w:rsidRPr="00153074">
        <w:trPr>
          <w:cantSplit/>
          <w:trHeight w:val="20"/>
        </w:trPr>
        <w:tc>
          <w:tcPr>
            <w:tcW w:w="3333"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Total (exclu</w:t>
            </w:r>
            <w:r w:rsidR="006C22CA" w:rsidRPr="00153074">
              <w:rPr>
                <w:rFonts w:ascii="Arial" w:hAnsi="Arial" w:cs="Arial"/>
                <w:sz w:val="16"/>
                <w:szCs w:val="16"/>
                <w:lang w:val="es-ES_tradnl"/>
              </w:rPr>
              <w:t>yendo cancelación de la deuda</w:t>
            </w:r>
            <w:r w:rsidRPr="00153074">
              <w:rPr>
                <w:rFonts w:ascii="Arial" w:hAnsi="Arial" w:cs="Arial"/>
                <w:sz w:val="16"/>
                <w:szCs w:val="16"/>
                <w:lang w:val="es-ES_tradnl"/>
              </w:rPr>
              <w:t>)</w:t>
            </w:r>
          </w:p>
        </w:tc>
        <w:tc>
          <w:tcPr>
            <w:tcW w:w="1364" w:type="dxa"/>
            <w:tcBorders>
              <w:top w:val="single" w:sz="4" w:space="0" w:color="auto"/>
              <w:left w:val="single" w:sz="4" w:space="0" w:color="auto"/>
              <w:bottom w:val="single" w:sz="4" w:space="0" w:color="auto"/>
              <w:right w:val="single" w:sz="4" w:space="0" w:color="auto"/>
            </w:tcBorders>
            <w:noWrap/>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105</w:t>
            </w:r>
            <w:r w:rsidR="00254F29" w:rsidRPr="00153074">
              <w:rPr>
                <w:rFonts w:ascii="Arial" w:hAnsi="Arial" w:cs="Arial"/>
                <w:sz w:val="16"/>
                <w:szCs w:val="16"/>
                <w:lang w:val="es-ES_tradnl"/>
              </w:rPr>
              <w:t>,</w:t>
            </w:r>
            <w:r w:rsidRPr="00153074">
              <w:rPr>
                <w:rFonts w:ascii="Arial" w:hAnsi="Arial" w:cs="Arial"/>
                <w:sz w:val="16"/>
                <w:szCs w:val="16"/>
                <w:lang w:val="es-ES_tradnl"/>
              </w:rPr>
              <w:t>8</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sz w:val="16"/>
                <w:szCs w:val="16"/>
                <w:lang w:val="es-ES_tradnl"/>
              </w:rPr>
            </w:pPr>
            <w:r w:rsidRPr="00153074">
              <w:rPr>
                <w:rFonts w:ascii="Arial" w:hAnsi="Arial" w:cs="Arial"/>
                <w:sz w:val="16"/>
                <w:szCs w:val="16"/>
                <w:lang w:val="es-ES_tradnl"/>
              </w:rPr>
              <w:t>162</w:t>
            </w:r>
            <w:r w:rsidR="00254F29" w:rsidRPr="00153074">
              <w:rPr>
                <w:rFonts w:ascii="Arial" w:hAnsi="Arial" w:cs="Arial"/>
                <w:sz w:val="16"/>
                <w:szCs w:val="16"/>
                <w:lang w:val="es-ES_tradnl"/>
              </w:rPr>
              <w:t>,</w:t>
            </w:r>
            <w:r w:rsidRPr="00153074">
              <w:rPr>
                <w:rFonts w:ascii="Arial" w:hAnsi="Arial" w:cs="Arial"/>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+53</w:t>
            </w:r>
            <w:r w:rsidR="00254F29" w:rsidRPr="00153074">
              <w:rPr>
                <w:rFonts w:ascii="Arial" w:hAnsi="Arial" w:cs="Arial"/>
                <w:i/>
                <w:sz w:val="16"/>
                <w:szCs w:val="16"/>
                <w:lang w:val="es-ES_tradnl"/>
              </w:rPr>
              <w:t>,</w:t>
            </w:r>
            <w:r w:rsidRPr="00153074">
              <w:rPr>
                <w:rFonts w:ascii="Arial" w:hAnsi="Arial" w:cs="Arial"/>
                <w:i/>
                <w:sz w:val="16"/>
                <w:szCs w:val="16"/>
                <w:lang w:val="es-ES_tradnl"/>
              </w:rPr>
              <w:t>5%</w:t>
            </w:r>
          </w:p>
        </w:tc>
        <w:tc>
          <w:tcPr>
            <w:tcW w:w="1364" w:type="dxa"/>
            <w:tcBorders>
              <w:top w:val="single" w:sz="4" w:space="0" w:color="auto"/>
              <w:left w:val="single" w:sz="4" w:space="0" w:color="auto"/>
              <w:bottom w:val="single" w:sz="4" w:space="0" w:color="auto"/>
              <w:right w:val="single" w:sz="4" w:space="0" w:color="auto"/>
            </w:tcBorders>
          </w:tcPr>
          <w:p w:rsidR="00B1268C" w:rsidRPr="00153074" w:rsidRDefault="00B1268C" w:rsidP="008D3287">
            <w:pPr>
              <w:rPr>
                <w:rFonts w:ascii="Arial" w:hAnsi="Arial" w:cs="Arial"/>
                <w:i/>
                <w:sz w:val="16"/>
                <w:szCs w:val="16"/>
                <w:lang w:val="es-ES_tradnl"/>
              </w:rPr>
            </w:pPr>
            <w:r w:rsidRPr="00153074">
              <w:rPr>
                <w:rFonts w:ascii="Arial" w:hAnsi="Arial" w:cs="Arial"/>
                <w:i/>
                <w:sz w:val="16"/>
                <w:szCs w:val="16"/>
                <w:lang w:val="es-ES_tradnl"/>
              </w:rPr>
              <w:t>n.a.</w:t>
            </w:r>
          </w:p>
        </w:tc>
      </w:tr>
    </w:tbl>
    <w:p w:rsidR="00743EA9" w:rsidRPr="00153074" w:rsidRDefault="00743EA9" w:rsidP="007462FA">
      <w:pPr>
        <w:jc w:val="both"/>
        <w:rPr>
          <w:rFonts w:ascii="Arial" w:hAnsi="Arial" w:cs="Arial"/>
          <w:sz w:val="20"/>
          <w:szCs w:val="20"/>
          <w:lang w:val="es-ES_tradnl" w:eastAsia="en-US"/>
        </w:rPr>
      </w:pPr>
    </w:p>
    <w:p w:rsidR="00743EA9" w:rsidRPr="00153074" w:rsidRDefault="00743EA9" w:rsidP="008D3287">
      <w:pPr>
        <w:pStyle w:val="Heading4"/>
        <w:rPr>
          <w:lang w:val="es-ES_tradnl" w:eastAsia="en-US"/>
        </w:rPr>
      </w:pPr>
      <w:r w:rsidRPr="00153074">
        <w:rPr>
          <w:lang w:val="es-ES_tradnl" w:eastAsia="en-US"/>
        </w:rPr>
        <w:t>Gr</w:t>
      </w:r>
      <w:r w:rsidR="00B045F9" w:rsidRPr="00153074">
        <w:rPr>
          <w:lang w:val="es-ES_tradnl" w:eastAsia="en-US"/>
        </w:rPr>
        <w:t>áfico</w:t>
      </w:r>
      <w:r w:rsidRPr="00153074">
        <w:rPr>
          <w:lang w:val="es-ES_tradnl" w:eastAsia="en-US"/>
        </w:rPr>
        <w:t xml:space="preserve"> 1: </w:t>
      </w:r>
      <w:r w:rsidR="00B045F9" w:rsidRPr="00153074">
        <w:rPr>
          <w:lang w:val="es-ES_tradnl" w:eastAsia="en-US"/>
        </w:rPr>
        <w:t>Distribución de la AOD</w:t>
      </w:r>
      <w:r w:rsidRPr="00153074">
        <w:rPr>
          <w:lang w:val="es-ES_tradnl" w:eastAsia="en-US"/>
        </w:rPr>
        <w:t xml:space="preserve"> 2006-2011 </w:t>
      </w:r>
      <w:r w:rsidR="00E46ADA" w:rsidRPr="00153074">
        <w:rPr>
          <w:lang w:val="es-ES_tradnl" w:eastAsia="en-US"/>
        </w:rPr>
        <w:t>por sectores</w:t>
      </w:r>
    </w:p>
    <w:p w:rsidR="00743EA9" w:rsidRPr="00153074" w:rsidRDefault="00175A65" w:rsidP="007462FA">
      <w:pPr>
        <w:jc w:val="both"/>
        <w:rPr>
          <w:rFonts w:ascii="Arial" w:hAnsi="Arial" w:cs="Arial"/>
          <w:sz w:val="20"/>
          <w:szCs w:val="20"/>
          <w:lang w:val="es-ES_tradnl" w:eastAsia="en-US"/>
        </w:rPr>
      </w:pPr>
      <w:r w:rsidRPr="00153074">
        <w:rPr>
          <w:rFonts w:ascii="Arial" w:hAnsi="Arial" w:cs="Arial"/>
          <w:noProof/>
          <w:sz w:val="20"/>
          <w:szCs w:val="20"/>
          <w:lang w:val="fr-BE" w:eastAsia="fr-BE"/>
        </w:rPr>
        <w:drawing>
          <wp:inline distT="0" distB="0" distL="0" distR="0" wp14:anchorId="1059E2CC" wp14:editId="635E5458">
            <wp:extent cx="2369185" cy="20224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9185" cy="2022475"/>
                    </a:xfrm>
                    <a:prstGeom prst="rect">
                      <a:avLst/>
                    </a:prstGeom>
                    <a:noFill/>
                    <a:ln>
                      <a:noFill/>
                    </a:ln>
                  </pic:spPr>
                </pic:pic>
              </a:graphicData>
            </a:graphic>
          </wp:inline>
        </w:drawing>
      </w:r>
    </w:p>
    <w:p w:rsidR="00743EA9" w:rsidRPr="00153074" w:rsidRDefault="00B045F9" w:rsidP="00743EA9">
      <w:pPr>
        <w:jc w:val="both"/>
        <w:rPr>
          <w:rFonts w:ascii="Arial" w:hAnsi="Arial" w:cs="Arial"/>
          <w:sz w:val="18"/>
          <w:szCs w:val="18"/>
          <w:lang w:val="es-ES_tradnl"/>
        </w:rPr>
      </w:pPr>
      <w:r w:rsidRPr="00153074">
        <w:rPr>
          <w:rFonts w:ascii="Arial" w:hAnsi="Arial" w:cs="Arial"/>
          <w:sz w:val="18"/>
          <w:szCs w:val="18"/>
          <w:lang w:val="es-ES_tradnl"/>
        </w:rPr>
        <w:t>Fuente</w:t>
      </w:r>
      <w:r w:rsidR="00743EA9" w:rsidRPr="00153074">
        <w:rPr>
          <w:rFonts w:ascii="Arial" w:hAnsi="Arial" w:cs="Arial"/>
          <w:sz w:val="18"/>
          <w:szCs w:val="18"/>
          <w:lang w:val="es-ES_tradnl"/>
        </w:rPr>
        <w:t>: oecd.org</w:t>
      </w:r>
    </w:p>
    <w:p w:rsidR="00743EA9" w:rsidRPr="00153074" w:rsidRDefault="00743EA9" w:rsidP="007462FA">
      <w:pPr>
        <w:jc w:val="both"/>
        <w:rPr>
          <w:rFonts w:ascii="Arial" w:hAnsi="Arial" w:cs="Arial"/>
          <w:sz w:val="20"/>
          <w:szCs w:val="20"/>
          <w:lang w:val="es-ES_tradnl" w:eastAsia="en-US"/>
        </w:rPr>
      </w:pPr>
    </w:p>
    <w:p w:rsidR="00743EA9" w:rsidRPr="00153074" w:rsidRDefault="00743EA9" w:rsidP="008D3287">
      <w:pPr>
        <w:pStyle w:val="Heading4"/>
        <w:rPr>
          <w:lang w:val="es-ES_tradnl" w:eastAsia="en-US"/>
        </w:rPr>
      </w:pPr>
      <w:r w:rsidRPr="00153074">
        <w:rPr>
          <w:lang w:val="es-ES_tradnl" w:eastAsia="en-US"/>
        </w:rPr>
        <w:t>Gr</w:t>
      </w:r>
      <w:r w:rsidR="00B045F9" w:rsidRPr="00153074">
        <w:rPr>
          <w:lang w:val="es-ES_tradnl" w:eastAsia="en-US"/>
        </w:rPr>
        <w:t xml:space="preserve">áfico </w:t>
      </w:r>
      <w:r w:rsidRPr="00153074">
        <w:rPr>
          <w:lang w:val="es-ES_tradnl" w:eastAsia="en-US"/>
        </w:rPr>
        <w:t>2: Distribu</w:t>
      </w:r>
      <w:r w:rsidR="00B045F9" w:rsidRPr="00153074">
        <w:rPr>
          <w:lang w:val="es-ES_tradnl" w:eastAsia="en-US"/>
        </w:rPr>
        <w:t xml:space="preserve">ción de la AOD en los </w:t>
      </w:r>
      <w:r w:rsidR="00E46ADA" w:rsidRPr="00153074">
        <w:rPr>
          <w:lang w:val="es-ES_tradnl" w:eastAsia="en-US"/>
        </w:rPr>
        <w:t>tres</w:t>
      </w:r>
      <w:r w:rsidR="00B045F9" w:rsidRPr="00153074">
        <w:rPr>
          <w:lang w:val="es-ES_tradnl" w:eastAsia="en-US"/>
        </w:rPr>
        <w:t xml:space="preserve"> sectores principales</w:t>
      </w:r>
      <w:r w:rsidRPr="00153074">
        <w:rPr>
          <w:lang w:val="es-ES_tradnl" w:eastAsia="en-US"/>
        </w:rPr>
        <w:t xml:space="preserve"> (base 100 = 2006)</w:t>
      </w:r>
    </w:p>
    <w:p w:rsidR="00510E06" w:rsidRPr="00153074" w:rsidRDefault="00175A65" w:rsidP="007462FA">
      <w:pPr>
        <w:jc w:val="both"/>
        <w:rPr>
          <w:rFonts w:ascii="Arial" w:hAnsi="Arial" w:cs="Arial"/>
          <w:sz w:val="20"/>
          <w:szCs w:val="20"/>
          <w:lang w:val="es-ES_tradnl" w:eastAsia="en-US"/>
        </w:rPr>
      </w:pPr>
      <w:r w:rsidRPr="00153074">
        <w:rPr>
          <w:rFonts w:ascii="Arial" w:hAnsi="Arial" w:cs="Arial"/>
          <w:noProof/>
          <w:sz w:val="20"/>
          <w:szCs w:val="20"/>
          <w:lang w:val="fr-BE" w:eastAsia="fr-BE"/>
        </w:rPr>
        <w:drawing>
          <wp:inline distT="0" distB="0" distL="0" distR="0" wp14:anchorId="34D6A290" wp14:editId="29274C0D">
            <wp:extent cx="3200400" cy="198818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1988185"/>
                    </a:xfrm>
                    <a:prstGeom prst="rect">
                      <a:avLst/>
                    </a:prstGeom>
                    <a:noFill/>
                    <a:ln>
                      <a:noFill/>
                    </a:ln>
                  </pic:spPr>
                </pic:pic>
              </a:graphicData>
            </a:graphic>
          </wp:inline>
        </w:drawing>
      </w:r>
    </w:p>
    <w:p w:rsidR="00B1268C" w:rsidRPr="00153074" w:rsidRDefault="00B045F9" w:rsidP="007462FA">
      <w:pPr>
        <w:jc w:val="both"/>
        <w:rPr>
          <w:rFonts w:ascii="Arial" w:hAnsi="Arial" w:cs="Arial"/>
          <w:sz w:val="18"/>
          <w:szCs w:val="18"/>
          <w:lang w:val="es-ES_tradnl"/>
        </w:rPr>
      </w:pPr>
      <w:r w:rsidRPr="00153074">
        <w:rPr>
          <w:rFonts w:ascii="Arial" w:hAnsi="Arial" w:cs="Arial"/>
          <w:sz w:val="18"/>
          <w:szCs w:val="18"/>
          <w:lang w:val="es-ES_tradnl"/>
        </w:rPr>
        <w:t>Fuente</w:t>
      </w:r>
      <w:r w:rsidR="00B1268C" w:rsidRPr="00153074">
        <w:rPr>
          <w:rFonts w:ascii="Arial" w:hAnsi="Arial" w:cs="Arial"/>
          <w:sz w:val="18"/>
          <w:szCs w:val="18"/>
          <w:lang w:val="es-ES_tradnl"/>
        </w:rPr>
        <w:t>: oecd.org</w:t>
      </w:r>
    </w:p>
    <w:p w:rsidR="006C4D0B" w:rsidRPr="00153074" w:rsidRDefault="006C4D0B" w:rsidP="006C4D0B">
      <w:pPr>
        <w:rPr>
          <w:lang w:val="es-ES_tradnl"/>
        </w:rPr>
      </w:pPr>
      <w:r w:rsidRPr="00153074">
        <w:rPr>
          <w:lang w:val="es-ES_tradnl"/>
        </w:rPr>
        <w:br w:type="page"/>
      </w:r>
      <w:bookmarkStart w:id="11" w:name="_Toc359331966"/>
    </w:p>
    <w:p w:rsidR="00B1268C" w:rsidRPr="00153074" w:rsidRDefault="00291068" w:rsidP="00015345">
      <w:pPr>
        <w:pStyle w:val="Heading1"/>
        <w:keepNext w:val="0"/>
        <w:shd w:val="clear" w:color="auto" w:fill="C2D69B"/>
        <w:spacing w:before="0" w:after="0"/>
        <w:rPr>
          <w:b/>
          <w:sz w:val="36"/>
          <w:u w:val="single"/>
          <w:lang w:val="es-ES_tradnl"/>
        </w:rPr>
      </w:pPr>
      <w:bookmarkStart w:id="12" w:name="_Toc369604901"/>
      <w:r w:rsidRPr="00153074">
        <w:rPr>
          <w:b/>
          <w:sz w:val="36"/>
          <w:u w:val="single"/>
          <w:lang w:val="es-ES_tradnl"/>
        </w:rPr>
        <w:lastRenderedPageBreak/>
        <w:t>T</w:t>
      </w:r>
      <w:r w:rsidR="005E125B" w:rsidRPr="00153074">
        <w:rPr>
          <w:b/>
          <w:sz w:val="36"/>
          <w:u w:val="single"/>
          <w:lang w:val="es-ES_tradnl"/>
        </w:rPr>
        <w:t>ipología</w:t>
      </w:r>
      <w:bookmarkEnd w:id="11"/>
      <w:bookmarkEnd w:id="12"/>
    </w:p>
    <w:p w:rsidR="007462FA" w:rsidRPr="00153074" w:rsidRDefault="007462FA" w:rsidP="007462FA">
      <w:pPr>
        <w:jc w:val="both"/>
        <w:rPr>
          <w:lang w:val="es-ES_tradnl"/>
        </w:rPr>
      </w:pPr>
    </w:p>
    <w:p w:rsidR="005E125B" w:rsidRPr="00153074" w:rsidRDefault="005E125B" w:rsidP="007462FA">
      <w:pPr>
        <w:jc w:val="both"/>
        <w:rPr>
          <w:lang w:val="es-ES_tradnl"/>
        </w:rPr>
      </w:pPr>
      <w:r w:rsidRPr="00153074">
        <w:rPr>
          <w:lang w:val="es-ES_tradnl"/>
        </w:rPr>
        <w:t xml:space="preserve">La </w:t>
      </w:r>
      <w:r w:rsidR="00D641F0" w:rsidRPr="00153074">
        <w:rPr>
          <w:lang w:val="es-ES_tradnl"/>
        </w:rPr>
        <w:t xml:space="preserve">relación o compromiso </w:t>
      </w:r>
      <w:r w:rsidRPr="00153074">
        <w:rPr>
          <w:lang w:val="es-ES_tradnl"/>
        </w:rPr>
        <w:t xml:space="preserve">contractual entre las entidades pública y privada es fundamental en el enfoque del sector privado para el desarrollo. </w:t>
      </w:r>
      <w:r w:rsidR="008570F0" w:rsidRPr="00153074">
        <w:rPr>
          <w:lang w:val="es-ES_tradnl"/>
        </w:rPr>
        <w:t>C</w:t>
      </w:r>
      <w:r w:rsidRPr="00153074">
        <w:rPr>
          <w:lang w:val="es-ES_tradnl"/>
        </w:rPr>
        <w:t xml:space="preserve">omo se explicó </w:t>
      </w:r>
      <w:r w:rsidR="00040A47" w:rsidRPr="00153074">
        <w:rPr>
          <w:lang w:val="es-ES_tradnl"/>
        </w:rPr>
        <w:t>anteriormente</w:t>
      </w:r>
      <w:r w:rsidRPr="00153074">
        <w:rPr>
          <w:lang w:val="es-ES_tradnl"/>
        </w:rPr>
        <w:t xml:space="preserve">, la distinción en función del tipo de relación es importante desde una perspectiva sindical porque </w:t>
      </w:r>
      <w:r w:rsidR="00040A47" w:rsidRPr="00153074">
        <w:rPr>
          <w:lang w:val="es-ES_tradnl"/>
        </w:rPr>
        <w:t xml:space="preserve">es lo que </w:t>
      </w:r>
      <w:r w:rsidRPr="00153074">
        <w:rPr>
          <w:lang w:val="es-ES_tradnl"/>
        </w:rPr>
        <w:t>va a determinar en gran medida</w:t>
      </w:r>
      <w:r w:rsidR="004A55EB" w:rsidRPr="00153074">
        <w:rPr>
          <w:lang w:val="es-ES_tradnl"/>
        </w:rPr>
        <w:t xml:space="preserve"> si la</w:t>
      </w:r>
      <w:r w:rsidR="00040A47" w:rsidRPr="00153074">
        <w:rPr>
          <w:lang w:val="es-ES_tradnl"/>
        </w:rPr>
        <w:t>s</w:t>
      </w:r>
      <w:r w:rsidR="004A55EB" w:rsidRPr="00153074">
        <w:rPr>
          <w:lang w:val="es-ES_tradnl"/>
        </w:rPr>
        <w:t xml:space="preserve"> responsabilidad</w:t>
      </w:r>
      <w:r w:rsidR="00040A47" w:rsidRPr="00153074">
        <w:rPr>
          <w:lang w:val="es-ES_tradnl"/>
        </w:rPr>
        <w:t>es</w:t>
      </w:r>
      <w:r w:rsidR="004A55EB" w:rsidRPr="00153074">
        <w:rPr>
          <w:lang w:val="es-ES_tradnl"/>
        </w:rPr>
        <w:t xml:space="preserve"> del empleador </w:t>
      </w:r>
      <w:r w:rsidR="00D641F0" w:rsidRPr="00153074">
        <w:rPr>
          <w:lang w:val="es-ES_tradnl"/>
        </w:rPr>
        <w:t>recaen en</w:t>
      </w:r>
      <w:r w:rsidR="004A55EB" w:rsidRPr="00153074">
        <w:rPr>
          <w:lang w:val="es-ES_tradnl"/>
        </w:rPr>
        <w:t xml:space="preserve"> la entidad pú</w:t>
      </w:r>
      <w:r w:rsidR="00040A47" w:rsidRPr="00153074">
        <w:rPr>
          <w:lang w:val="es-ES_tradnl"/>
        </w:rPr>
        <w:t>blica o en la entidad privada, o</w:t>
      </w:r>
      <w:r w:rsidR="004A55EB" w:rsidRPr="00153074">
        <w:rPr>
          <w:lang w:val="es-ES_tradnl"/>
        </w:rPr>
        <w:t xml:space="preserve"> </w:t>
      </w:r>
      <w:r w:rsidR="00D641F0" w:rsidRPr="00153074">
        <w:rPr>
          <w:lang w:val="es-ES_tradnl"/>
        </w:rPr>
        <w:t xml:space="preserve">si se reparten </w:t>
      </w:r>
      <w:r w:rsidR="004A55EB" w:rsidRPr="00153074">
        <w:rPr>
          <w:lang w:val="es-ES_tradnl"/>
        </w:rPr>
        <w:t xml:space="preserve">entre </w:t>
      </w:r>
      <w:r w:rsidR="00040A47" w:rsidRPr="00153074">
        <w:rPr>
          <w:lang w:val="es-ES_tradnl"/>
        </w:rPr>
        <w:t>ambas</w:t>
      </w:r>
      <w:r w:rsidR="00D641F0" w:rsidRPr="00153074">
        <w:rPr>
          <w:lang w:val="es-ES_tradnl"/>
        </w:rPr>
        <w:t>. Dicha</w:t>
      </w:r>
      <w:r w:rsidR="004A55EB" w:rsidRPr="00153074">
        <w:rPr>
          <w:lang w:val="es-ES_tradnl"/>
        </w:rPr>
        <w:t xml:space="preserve"> relación depende del estatus de las entidades pública</w:t>
      </w:r>
      <w:r w:rsidR="00040A47" w:rsidRPr="00153074">
        <w:rPr>
          <w:lang w:val="es-ES_tradnl"/>
        </w:rPr>
        <w:t xml:space="preserve"> y privada</w:t>
      </w:r>
      <w:r w:rsidR="004A55EB" w:rsidRPr="00153074">
        <w:rPr>
          <w:lang w:val="es-ES_tradnl"/>
        </w:rPr>
        <w:t xml:space="preserve">, que puede variar considerablemente tal y como se demuestra </w:t>
      </w:r>
      <w:r w:rsidR="00040A47" w:rsidRPr="00153074">
        <w:rPr>
          <w:lang w:val="es-ES_tradnl"/>
        </w:rPr>
        <w:t xml:space="preserve">a </w:t>
      </w:r>
      <w:r w:rsidR="004A55EB" w:rsidRPr="00153074">
        <w:rPr>
          <w:lang w:val="es-ES_tradnl"/>
        </w:rPr>
        <w:t>continuación:</w:t>
      </w:r>
    </w:p>
    <w:p w:rsidR="00B1268C" w:rsidRPr="00153074" w:rsidRDefault="00B1268C" w:rsidP="007462FA">
      <w:pPr>
        <w:jc w:val="both"/>
        <w:rPr>
          <w:rFonts w:ascii="Arial" w:hAnsi="Arial" w:cs="Arial"/>
          <w:sz w:val="20"/>
          <w:szCs w:val="20"/>
          <w:lang w:val="es-ES_tradnl"/>
        </w:rPr>
      </w:pPr>
    </w:p>
    <w:p w:rsidR="00B1268C" w:rsidRPr="00153074" w:rsidRDefault="004A55EB" w:rsidP="007462FA">
      <w:pPr>
        <w:pStyle w:val="ListParagraph"/>
        <w:numPr>
          <w:ilvl w:val="0"/>
          <w:numId w:val="26"/>
        </w:numPr>
        <w:jc w:val="both"/>
        <w:rPr>
          <w:lang w:val="es-ES_tradnl"/>
        </w:rPr>
      </w:pPr>
      <w:r w:rsidRPr="00153074">
        <w:rPr>
          <w:lang w:val="es-ES_tradnl"/>
        </w:rPr>
        <w:t xml:space="preserve">Las entidades públicas pueden ser </w:t>
      </w:r>
      <w:r w:rsidR="00B1268C" w:rsidRPr="00153074">
        <w:rPr>
          <w:lang w:val="es-ES_tradnl"/>
        </w:rPr>
        <w:t xml:space="preserve">(i) </w:t>
      </w:r>
      <w:r w:rsidR="001E46E6" w:rsidRPr="00153074">
        <w:rPr>
          <w:lang w:val="es-ES_tradnl"/>
        </w:rPr>
        <w:t xml:space="preserve">una </w:t>
      </w:r>
      <w:r w:rsidRPr="00153074">
        <w:rPr>
          <w:lang w:val="es-ES_tradnl"/>
        </w:rPr>
        <w:t>agencia de</w:t>
      </w:r>
      <w:r w:rsidR="001E46E6" w:rsidRPr="00153074">
        <w:rPr>
          <w:lang w:val="es-ES_tradnl"/>
        </w:rPr>
        <w:t xml:space="preserve"> ayuda al desarrollo controlada</w:t>
      </w:r>
      <w:r w:rsidRPr="00153074">
        <w:rPr>
          <w:lang w:val="es-ES_tradnl"/>
        </w:rPr>
        <w:t xml:space="preserve"> por el Gobierno</w:t>
      </w:r>
      <w:r w:rsidR="00040A47" w:rsidRPr="00153074">
        <w:rPr>
          <w:lang w:val="es-ES_tradnl"/>
        </w:rPr>
        <w:t xml:space="preserve">, </w:t>
      </w:r>
      <w:r w:rsidRPr="00153074">
        <w:rPr>
          <w:lang w:val="es-ES_tradnl"/>
        </w:rPr>
        <w:t xml:space="preserve">en cuyo caso se asume que el SPD </w:t>
      </w:r>
      <w:r w:rsidR="00AA1E75" w:rsidRPr="00153074">
        <w:rPr>
          <w:lang w:val="es-ES_tradnl"/>
        </w:rPr>
        <w:t>puede calificarse de</w:t>
      </w:r>
      <w:r w:rsidR="00B1268C" w:rsidRPr="00153074">
        <w:rPr>
          <w:lang w:val="es-ES_tradnl"/>
        </w:rPr>
        <w:t xml:space="preserve"> </w:t>
      </w:r>
      <w:r w:rsidR="003503A6" w:rsidRPr="00153074">
        <w:rPr>
          <w:lang w:val="es-ES_tradnl"/>
        </w:rPr>
        <w:t>AOD</w:t>
      </w:r>
      <w:r w:rsidR="00040A47" w:rsidRPr="00153074">
        <w:rPr>
          <w:lang w:val="es-ES_tradnl"/>
        </w:rPr>
        <w:t>;</w:t>
      </w:r>
      <w:r w:rsidR="00B1268C" w:rsidRPr="00153074">
        <w:rPr>
          <w:lang w:val="es-ES_tradnl"/>
        </w:rPr>
        <w:t xml:space="preserve"> (ii) </w:t>
      </w:r>
      <w:r w:rsidR="001E46E6" w:rsidRPr="00153074">
        <w:rPr>
          <w:lang w:val="es-ES_tradnl"/>
        </w:rPr>
        <w:t xml:space="preserve">una institución financiera del desarrollo </w:t>
      </w:r>
      <w:r w:rsidR="002A7792" w:rsidRPr="00153074">
        <w:rPr>
          <w:lang w:val="es-ES_tradnl"/>
        </w:rPr>
        <w:t>“</w:t>
      </w:r>
      <w:r w:rsidR="00F95480" w:rsidRPr="00153074">
        <w:rPr>
          <w:lang w:val="es-ES_tradnl"/>
        </w:rPr>
        <w:t xml:space="preserve">independiente </w:t>
      </w:r>
      <w:r w:rsidR="00040A47" w:rsidRPr="00153074">
        <w:rPr>
          <w:lang w:val="es-ES_tradnl"/>
        </w:rPr>
        <w:t xml:space="preserve">y </w:t>
      </w:r>
      <w:r w:rsidR="00F95480" w:rsidRPr="00153074">
        <w:rPr>
          <w:lang w:val="es-ES_tradnl"/>
        </w:rPr>
        <w:t>que actúa con intereses propios</w:t>
      </w:r>
      <w:r w:rsidR="002A7792" w:rsidRPr="00153074">
        <w:rPr>
          <w:lang w:val="es-ES_tradnl"/>
        </w:rPr>
        <w:t>”</w:t>
      </w:r>
      <w:r w:rsidR="00B1268C" w:rsidRPr="00153074">
        <w:rPr>
          <w:lang w:val="es-ES_tradnl"/>
        </w:rPr>
        <w:t xml:space="preserve"> (</w:t>
      </w:r>
      <w:r w:rsidR="001E46E6" w:rsidRPr="00153074">
        <w:rPr>
          <w:lang w:val="es-ES_tradnl"/>
        </w:rPr>
        <w:t>y en ocasiones incorporada de forma privada)</w:t>
      </w:r>
      <w:r w:rsidR="00040A47" w:rsidRPr="00153074">
        <w:rPr>
          <w:lang w:val="es-ES_tradnl"/>
        </w:rPr>
        <w:t>,</w:t>
      </w:r>
      <w:r w:rsidR="001E46E6" w:rsidRPr="00153074">
        <w:rPr>
          <w:lang w:val="es-ES_tradnl"/>
        </w:rPr>
        <w:t xml:space="preserve"> en cuyo caso el proyecto </w:t>
      </w:r>
      <w:r w:rsidR="00C74032" w:rsidRPr="00153074">
        <w:rPr>
          <w:lang w:val="es-ES_tradnl"/>
        </w:rPr>
        <w:t xml:space="preserve">probablemente </w:t>
      </w:r>
      <w:r w:rsidR="001E46E6" w:rsidRPr="00153074">
        <w:rPr>
          <w:lang w:val="es-ES_tradnl"/>
        </w:rPr>
        <w:t xml:space="preserve">no se </w:t>
      </w:r>
      <w:r w:rsidR="00AA1E75" w:rsidRPr="00153074">
        <w:rPr>
          <w:lang w:val="es-ES_tradnl"/>
        </w:rPr>
        <w:t xml:space="preserve">considere de </w:t>
      </w:r>
      <w:r w:rsidR="003503A6" w:rsidRPr="00153074">
        <w:rPr>
          <w:lang w:val="es-ES_tradnl"/>
        </w:rPr>
        <w:t>AOD</w:t>
      </w:r>
      <w:r w:rsidR="00B1268C" w:rsidRPr="00153074">
        <w:rPr>
          <w:lang w:val="es-ES_tradnl"/>
        </w:rPr>
        <w:t>)</w:t>
      </w:r>
      <w:r w:rsidR="00C74032" w:rsidRPr="00153074">
        <w:rPr>
          <w:lang w:val="es-ES_tradnl"/>
        </w:rPr>
        <w:t>;</w:t>
      </w:r>
      <w:r w:rsidR="00B1268C" w:rsidRPr="00153074">
        <w:rPr>
          <w:lang w:val="es-ES_tradnl"/>
        </w:rPr>
        <w:t xml:space="preserve"> </w:t>
      </w:r>
      <w:r w:rsidR="001E46E6" w:rsidRPr="00153074">
        <w:rPr>
          <w:lang w:val="es-ES_tradnl"/>
        </w:rPr>
        <w:t xml:space="preserve">y/o </w:t>
      </w:r>
      <w:r w:rsidR="00B1268C" w:rsidRPr="00153074">
        <w:rPr>
          <w:lang w:val="es-ES_tradnl"/>
        </w:rPr>
        <w:t xml:space="preserve">(iii) </w:t>
      </w:r>
      <w:r w:rsidR="00342E75" w:rsidRPr="00153074">
        <w:rPr>
          <w:lang w:val="es-ES_tradnl"/>
        </w:rPr>
        <w:t>un fondo o banco multilateral de desarrollo</w:t>
      </w:r>
      <w:r w:rsidR="00B1268C" w:rsidRPr="00153074">
        <w:rPr>
          <w:lang w:val="es-ES_tradnl"/>
        </w:rPr>
        <w:t xml:space="preserve">. </w:t>
      </w:r>
    </w:p>
    <w:p w:rsidR="00B1268C" w:rsidRPr="00153074" w:rsidRDefault="00B1268C" w:rsidP="007462FA">
      <w:pPr>
        <w:jc w:val="both"/>
        <w:rPr>
          <w:rFonts w:ascii="Arial" w:hAnsi="Arial" w:cs="Arial"/>
          <w:sz w:val="20"/>
          <w:szCs w:val="20"/>
          <w:lang w:val="es-ES_tradnl"/>
        </w:rPr>
      </w:pPr>
    </w:p>
    <w:p w:rsidR="00B1268C" w:rsidRPr="00153074" w:rsidRDefault="00F95480" w:rsidP="007462FA">
      <w:pPr>
        <w:pStyle w:val="ListParagraph"/>
        <w:numPr>
          <w:ilvl w:val="0"/>
          <w:numId w:val="26"/>
        </w:numPr>
        <w:jc w:val="both"/>
        <w:rPr>
          <w:lang w:val="es-ES_tradnl"/>
        </w:rPr>
      </w:pPr>
      <w:r w:rsidRPr="00153074">
        <w:rPr>
          <w:lang w:val="es-ES_tradnl"/>
        </w:rPr>
        <w:t xml:space="preserve">las entidades privadas pueden ser </w:t>
      </w:r>
      <w:r w:rsidR="00B1268C" w:rsidRPr="00153074">
        <w:rPr>
          <w:lang w:val="es-ES_tradnl"/>
        </w:rPr>
        <w:t xml:space="preserve">(i) </w:t>
      </w:r>
      <w:r w:rsidRPr="00153074">
        <w:rPr>
          <w:lang w:val="es-ES_tradnl"/>
        </w:rPr>
        <w:t xml:space="preserve">empresas multinacionales no financieras </w:t>
      </w:r>
      <w:r w:rsidR="0018340A" w:rsidRPr="00153074">
        <w:rPr>
          <w:lang w:val="es-ES_tradnl"/>
        </w:rPr>
        <w:t>establecidas en</w:t>
      </w:r>
      <w:r w:rsidR="00C74032" w:rsidRPr="00153074">
        <w:rPr>
          <w:lang w:val="es-ES_tradnl"/>
        </w:rPr>
        <w:t xml:space="preserve"> </w:t>
      </w:r>
      <w:r w:rsidRPr="00153074">
        <w:rPr>
          <w:lang w:val="es-ES_tradnl"/>
        </w:rPr>
        <w:t>la</w:t>
      </w:r>
      <w:r w:rsidR="00283BD6" w:rsidRPr="00153074">
        <w:rPr>
          <w:lang w:val="es-ES_tradnl"/>
        </w:rPr>
        <w:t xml:space="preserve"> </w:t>
      </w:r>
      <w:r w:rsidR="003A4EDB" w:rsidRPr="00153074">
        <w:rPr>
          <w:lang w:val="es-ES_tradnl"/>
        </w:rPr>
        <w:t>OCDE</w:t>
      </w:r>
      <w:r w:rsidR="00B1268C" w:rsidRPr="00153074">
        <w:rPr>
          <w:lang w:val="es-ES_tradnl"/>
        </w:rPr>
        <w:t xml:space="preserve"> (</w:t>
      </w:r>
      <w:r w:rsidRPr="00153074">
        <w:rPr>
          <w:lang w:val="es-ES_tradnl"/>
        </w:rPr>
        <w:t xml:space="preserve">que lo más probable es que </w:t>
      </w:r>
      <w:r w:rsidR="002B5986" w:rsidRPr="00153074">
        <w:rPr>
          <w:lang w:val="es-ES_tradnl"/>
        </w:rPr>
        <w:t xml:space="preserve">estén establecidas en la misma jurisdicción que la entidad pública </w:t>
      </w:r>
      <w:r w:rsidR="00B1268C" w:rsidRPr="00153074">
        <w:rPr>
          <w:lang w:val="es-ES_tradnl"/>
        </w:rPr>
        <w:t xml:space="preserve">– </w:t>
      </w:r>
      <w:r w:rsidR="002B5986" w:rsidRPr="00153074">
        <w:rPr>
          <w:lang w:val="es-ES_tradnl"/>
        </w:rPr>
        <w:t>véase ayuda condicionada</w:t>
      </w:r>
      <w:r w:rsidR="002E3BAF" w:rsidRPr="00153074">
        <w:rPr>
          <w:lang w:val="es-ES_tradnl"/>
        </w:rPr>
        <w:t>,</w:t>
      </w:r>
      <w:r w:rsidR="002B5986" w:rsidRPr="00153074">
        <w:rPr>
          <w:lang w:val="es-ES_tradnl"/>
        </w:rPr>
        <w:t xml:space="preserve"> más </w:t>
      </w:r>
      <w:r w:rsidR="00C74032" w:rsidRPr="00153074">
        <w:rPr>
          <w:lang w:val="es-ES_tradnl"/>
        </w:rPr>
        <w:t>adelante);</w:t>
      </w:r>
      <w:r w:rsidR="00B1268C" w:rsidRPr="00153074">
        <w:rPr>
          <w:lang w:val="es-ES_tradnl"/>
        </w:rPr>
        <w:t xml:space="preserve"> (ii) </w:t>
      </w:r>
      <w:r w:rsidR="002B5986" w:rsidRPr="00153074">
        <w:rPr>
          <w:lang w:val="es-ES_tradnl"/>
        </w:rPr>
        <w:t>empresas nacionales privadas no agrícolas</w:t>
      </w:r>
      <w:r w:rsidR="00C74032" w:rsidRPr="00153074">
        <w:rPr>
          <w:lang w:val="es-ES_tradnl"/>
        </w:rPr>
        <w:t>;</w:t>
      </w:r>
      <w:r w:rsidR="00B1268C" w:rsidRPr="00153074">
        <w:rPr>
          <w:lang w:val="es-ES_tradnl"/>
        </w:rPr>
        <w:t xml:space="preserve"> (iii) </w:t>
      </w:r>
      <w:r w:rsidR="002B5986" w:rsidRPr="00153074">
        <w:rPr>
          <w:lang w:val="es-ES_tradnl"/>
        </w:rPr>
        <w:t>empresas nacionales estatales</w:t>
      </w:r>
      <w:r w:rsidR="00C74032" w:rsidRPr="00153074">
        <w:rPr>
          <w:lang w:val="es-ES_tradnl"/>
        </w:rPr>
        <w:t>;</w:t>
      </w:r>
      <w:r w:rsidR="00B1268C" w:rsidRPr="00153074">
        <w:rPr>
          <w:lang w:val="es-ES_tradnl"/>
        </w:rPr>
        <w:t xml:space="preserve"> (iv) </w:t>
      </w:r>
      <w:r w:rsidR="002B5986" w:rsidRPr="00153074">
        <w:rPr>
          <w:lang w:val="es-ES_tradnl"/>
        </w:rPr>
        <w:t>empresas nacionales agrícolas a gran escala</w:t>
      </w:r>
      <w:r w:rsidR="00C74032" w:rsidRPr="00153074">
        <w:rPr>
          <w:lang w:val="es-ES_tradnl"/>
        </w:rPr>
        <w:t>;</w:t>
      </w:r>
      <w:r w:rsidR="00B1268C" w:rsidRPr="00153074">
        <w:rPr>
          <w:lang w:val="es-ES_tradnl"/>
        </w:rPr>
        <w:t xml:space="preserve"> (v) </w:t>
      </w:r>
      <w:r w:rsidR="002B5986" w:rsidRPr="00153074">
        <w:rPr>
          <w:lang w:val="es-ES_tradnl"/>
        </w:rPr>
        <w:t>cooperativas y grupos de agricultores a pequeña escala</w:t>
      </w:r>
      <w:r w:rsidR="00C74032" w:rsidRPr="00153074">
        <w:rPr>
          <w:lang w:val="es-ES_tradnl"/>
        </w:rPr>
        <w:t>; y</w:t>
      </w:r>
      <w:r w:rsidR="002B5986" w:rsidRPr="00153074">
        <w:rPr>
          <w:lang w:val="es-ES_tradnl"/>
        </w:rPr>
        <w:t xml:space="preserve">/o </w:t>
      </w:r>
      <w:r w:rsidR="00B1268C" w:rsidRPr="00153074">
        <w:rPr>
          <w:lang w:val="es-ES_tradnl"/>
        </w:rPr>
        <w:t xml:space="preserve">(vi) </w:t>
      </w:r>
      <w:r w:rsidR="00B66968" w:rsidRPr="00153074">
        <w:rPr>
          <w:lang w:val="es-ES_tradnl"/>
        </w:rPr>
        <w:t>pymes</w:t>
      </w:r>
      <w:r w:rsidR="002B5986" w:rsidRPr="00153074">
        <w:rPr>
          <w:lang w:val="es-ES_tradnl"/>
        </w:rPr>
        <w:t xml:space="preserve"> no agrícolas, </w:t>
      </w:r>
      <w:r w:rsidR="00B1268C" w:rsidRPr="00153074">
        <w:rPr>
          <w:lang w:val="es-ES_tradnl"/>
        </w:rPr>
        <w:t>etc.</w:t>
      </w:r>
    </w:p>
    <w:p w:rsidR="00B1268C" w:rsidRPr="00153074" w:rsidRDefault="00B1268C" w:rsidP="007462FA">
      <w:pPr>
        <w:jc w:val="both"/>
        <w:rPr>
          <w:rFonts w:ascii="Arial" w:hAnsi="Arial" w:cs="Arial"/>
          <w:sz w:val="20"/>
          <w:szCs w:val="20"/>
          <w:lang w:val="es-ES_tradnl"/>
        </w:rPr>
      </w:pPr>
    </w:p>
    <w:p w:rsidR="00C90AC0" w:rsidRPr="00153074" w:rsidRDefault="00C90AC0" w:rsidP="00C90AC0">
      <w:pPr>
        <w:pStyle w:val="Heading2"/>
        <w:rPr>
          <w:lang w:val="es-ES_tradnl"/>
        </w:rPr>
      </w:pPr>
      <w:bookmarkStart w:id="13" w:name="_Toc359331967"/>
    </w:p>
    <w:p w:rsidR="00291068" w:rsidRPr="00153074" w:rsidRDefault="002B5986" w:rsidP="00C90AC0">
      <w:pPr>
        <w:pStyle w:val="Heading2"/>
        <w:rPr>
          <w:lang w:val="es-ES_tradnl"/>
        </w:rPr>
      </w:pPr>
      <w:bookmarkStart w:id="14" w:name="_Toc369604902"/>
      <w:bookmarkEnd w:id="13"/>
      <w:r w:rsidRPr="00153074">
        <w:rPr>
          <w:lang w:val="es-ES_tradnl"/>
        </w:rPr>
        <w:t>Clasificaciones actuales</w:t>
      </w:r>
      <w:bookmarkEnd w:id="14"/>
      <w:r w:rsidRPr="00153074">
        <w:rPr>
          <w:lang w:val="es-ES_tradnl"/>
        </w:rPr>
        <w:t xml:space="preserve"> </w:t>
      </w:r>
    </w:p>
    <w:p w:rsidR="00B1268C" w:rsidRPr="00153074" w:rsidRDefault="00B1268C" w:rsidP="007462FA">
      <w:pPr>
        <w:jc w:val="both"/>
        <w:rPr>
          <w:lang w:val="es-ES_tradnl"/>
        </w:rPr>
      </w:pPr>
      <w:r w:rsidRPr="00153074">
        <w:rPr>
          <w:lang w:val="es-ES_tradnl"/>
        </w:rPr>
        <w:t xml:space="preserve">Shannon Kindornay </w:t>
      </w:r>
      <w:r w:rsidR="002B5986" w:rsidRPr="00153074">
        <w:rPr>
          <w:lang w:val="es-ES_tradnl"/>
        </w:rPr>
        <w:t>y</w:t>
      </w:r>
      <w:r w:rsidRPr="00153074">
        <w:rPr>
          <w:lang w:val="es-ES_tradnl"/>
        </w:rPr>
        <w:t xml:space="preserve"> Fraser Reilly-King</w:t>
      </w:r>
      <w:r w:rsidR="009203BF" w:rsidRPr="00153074">
        <w:rPr>
          <w:lang w:val="es-ES_tradnl"/>
        </w:rPr>
        <w:t xml:space="preserve"> </w:t>
      </w:r>
      <w:r w:rsidRPr="00153074">
        <w:rPr>
          <w:lang w:val="es-ES_tradnl"/>
        </w:rPr>
        <w:t xml:space="preserve">(2012) </w:t>
      </w:r>
      <w:r w:rsidR="002B5986" w:rsidRPr="00153074">
        <w:rPr>
          <w:lang w:val="es-ES_tradnl"/>
        </w:rPr>
        <w:t>proponen cuatro tipos de participación del sector privado en el desarrollo, a saber:</w:t>
      </w:r>
      <w:r w:rsidRPr="00153074" w:rsidDel="00B936B5">
        <w:rPr>
          <w:lang w:val="es-ES_tradnl"/>
        </w:rPr>
        <w:t xml:space="preserve"> </w:t>
      </w:r>
      <w:r w:rsidRPr="00153074">
        <w:rPr>
          <w:lang w:val="es-ES_tradnl"/>
        </w:rPr>
        <w:t xml:space="preserve">(i) </w:t>
      </w:r>
      <w:r w:rsidR="00E42802" w:rsidRPr="00153074">
        <w:rPr>
          <w:lang w:val="es-ES_tradnl"/>
        </w:rPr>
        <w:t>un receptor directo de la ayuda para sus inversiones y actividades (</w:t>
      </w:r>
      <w:r w:rsidR="00C74032" w:rsidRPr="00153074">
        <w:rPr>
          <w:lang w:val="es-ES_tradnl"/>
        </w:rPr>
        <w:t>subvenciones</w:t>
      </w:r>
      <w:r w:rsidR="00E42802" w:rsidRPr="00153074">
        <w:rPr>
          <w:lang w:val="es-ES_tradnl"/>
        </w:rPr>
        <w:t xml:space="preserve"> y préstamos),</w:t>
      </w:r>
      <w:r w:rsidRPr="00153074">
        <w:rPr>
          <w:lang w:val="es-ES_tradnl"/>
        </w:rPr>
        <w:t xml:space="preserve"> (ii) </w:t>
      </w:r>
      <w:r w:rsidR="00C74032" w:rsidRPr="00153074">
        <w:rPr>
          <w:lang w:val="es-ES_tradnl"/>
        </w:rPr>
        <w:t>un contratista para</w:t>
      </w:r>
      <w:r w:rsidR="00E42802" w:rsidRPr="00153074">
        <w:rPr>
          <w:lang w:val="es-ES_tradnl"/>
        </w:rPr>
        <w:t xml:space="preserve"> la implementación de proyectos de ayuda</w:t>
      </w:r>
      <w:r w:rsidRPr="00153074">
        <w:rPr>
          <w:lang w:val="es-ES_tradnl"/>
        </w:rPr>
        <w:t xml:space="preserve">, (iii) </w:t>
      </w:r>
      <w:r w:rsidR="00E42802" w:rsidRPr="00153074">
        <w:rPr>
          <w:lang w:val="es-ES_tradnl"/>
        </w:rPr>
        <w:t>un asociado dentro de una asociación público-priva</w:t>
      </w:r>
      <w:r w:rsidR="00C74032" w:rsidRPr="00153074">
        <w:rPr>
          <w:lang w:val="es-ES_tradnl"/>
        </w:rPr>
        <w:t xml:space="preserve">da establecida o </w:t>
      </w:r>
      <w:r w:rsidR="00C1735F" w:rsidRPr="00153074">
        <w:rPr>
          <w:lang w:val="es-ES_tradnl"/>
        </w:rPr>
        <w:t>a través de</w:t>
      </w:r>
      <w:r w:rsidR="00C74032" w:rsidRPr="00153074">
        <w:rPr>
          <w:lang w:val="es-ES_tradnl"/>
        </w:rPr>
        <w:t xml:space="preserve"> una combinación</w:t>
      </w:r>
      <w:r w:rsidR="00E42802" w:rsidRPr="00153074">
        <w:rPr>
          <w:lang w:val="es-ES_tradnl"/>
        </w:rPr>
        <w:t xml:space="preserve"> de préstamos comerciales </w:t>
      </w:r>
      <w:r w:rsidR="00235EE1" w:rsidRPr="00153074">
        <w:rPr>
          <w:lang w:val="es-ES_tradnl"/>
        </w:rPr>
        <w:t>y</w:t>
      </w:r>
      <w:r w:rsidR="00E42802" w:rsidRPr="00153074">
        <w:rPr>
          <w:lang w:val="es-ES_tradnl"/>
        </w:rPr>
        <w:t xml:space="preserve"> subsidios y</w:t>
      </w:r>
      <w:r w:rsidRPr="00153074">
        <w:rPr>
          <w:lang w:val="es-ES_tradnl"/>
        </w:rPr>
        <w:t xml:space="preserve"> (iv) </w:t>
      </w:r>
      <w:r w:rsidR="00595C4F" w:rsidRPr="00153074">
        <w:rPr>
          <w:lang w:val="es-ES_tradnl"/>
        </w:rPr>
        <w:t>un proveedor de recursos de desarrollo equivalentes a la ayuda</w:t>
      </w:r>
      <w:r w:rsidRPr="00153074">
        <w:rPr>
          <w:lang w:val="es-ES_tradnl"/>
        </w:rPr>
        <w:t xml:space="preserve"> (</w:t>
      </w:r>
      <w:r w:rsidR="00A31A2F" w:rsidRPr="00153074">
        <w:rPr>
          <w:lang w:val="es-ES_tradnl"/>
        </w:rPr>
        <w:t xml:space="preserve">fundaciones filantrópicas </w:t>
      </w:r>
      <w:r w:rsidR="00543B1F" w:rsidRPr="00153074">
        <w:rPr>
          <w:lang w:val="es-ES_tradnl"/>
        </w:rPr>
        <w:t xml:space="preserve">privadas </w:t>
      </w:r>
      <w:r w:rsidR="00A31A2F" w:rsidRPr="00153074">
        <w:rPr>
          <w:lang w:val="es-ES_tradnl"/>
        </w:rPr>
        <w:t>y donativos corporativos</w:t>
      </w:r>
      <w:r w:rsidRPr="00153074">
        <w:rPr>
          <w:lang w:val="es-ES_tradnl"/>
        </w:rPr>
        <w:t>).</w:t>
      </w:r>
    </w:p>
    <w:p w:rsidR="00B1268C" w:rsidRPr="00153074" w:rsidRDefault="00B1268C" w:rsidP="007462FA">
      <w:pPr>
        <w:jc w:val="both"/>
        <w:rPr>
          <w:rFonts w:ascii="Arial" w:hAnsi="Arial" w:cs="Arial"/>
          <w:sz w:val="20"/>
          <w:szCs w:val="20"/>
          <w:lang w:val="es-ES_tradnl"/>
        </w:rPr>
      </w:pPr>
    </w:p>
    <w:p w:rsidR="00B1268C" w:rsidRPr="00153074" w:rsidRDefault="00A31A2F" w:rsidP="007462FA">
      <w:pPr>
        <w:jc w:val="both"/>
        <w:rPr>
          <w:lang w:val="es-ES_tradnl"/>
        </w:rPr>
      </w:pPr>
      <w:r w:rsidRPr="00153074">
        <w:rPr>
          <w:lang w:val="es-ES_tradnl"/>
        </w:rPr>
        <w:t>Por su parte, los expertos de la OCDE</w:t>
      </w:r>
      <w:r w:rsidR="002841FA" w:rsidRPr="00153074">
        <w:rPr>
          <w:lang w:val="es-ES_tradnl"/>
        </w:rPr>
        <w:t xml:space="preserve"> identifican cinco tipos: (i) iniciativas y programas de </w:t>
      </w:r>
      <w:r w:rsidR="00E54F55" w:rsidRPr="00153074">
        <w:rPr>
          <w:lang w:val="es-ES_tradnl"/>
        </w:rPr>
        <w:t>APP</w:t>
      </w:r>
      <w:r w:rsidR="002841FA" w:rsidRPr="00153074">
        <w:rPr>
          <w:lang w:val="es-ES_tradnl"/>
        </w:rPr>
        <w:t xml:space="preserve"> </w:t>
      </w:r>
      <w:r w:rsidR="002A7792" w:rsidRPr="00153074">
        <w:rPr>
          <w:lang w:val="es-ES_tradnl"/>
        </w:rPr>
        <w:t>“</w:t>
      </w:r>
      <w:r w:rsidR="002841FA" w:rsidRPr="00153074">
        <w:rPr>
          <w:lang w:val="es-ES_tradnl"/>
        </w:rPr>
        <w:t>estructurados</w:t>
      </w:r>
      <w:r w:rsidR="002A7792" w:rsidRPr="00153074">
        <w:rPr>
          <w:lang w:val="es-ES_tradnl"/>
        </w:rPr>
        <w:t>”</w:t>
      </w:r>
      <w:r w:rsidR="002841FA" w:rsidRPr="00153074">
        <w:rPr>
          <w:lang w:val="es-ES_tradnl"/>
        </w:rPr>
        <w:t xml:space="preserve"> y </w:t>
      </w:r>
      <w:r w:rsidR="002A7792" w:rsidRPr="00153074">
        <w:rPr>
          <w:lang w:val="es-ES_tradnl"/>
        </w:rPr>
        <w:t>“</w:t>
      </w:r>
      <w:r w:rsidR="002841FA" w:rsidRPr="00153074">
        <w:rPr>
          <w:lang w:val="es-ES_tradnl"/>
        </w:rPr>
        <w:t>a nivel nacional</w:t>
      </w:r>
      <w:r w:rsidR="002A7792" w:rsidRPr="00153074">
        <w:rPr>
          <w:lang w:val="es-ES_tradnl"/>
        </w:rPr>
        <w:t>”</w:t>
      </w:r>
      <w:r w:rsidR="002841FA" w:rsidRPr="00153074">
        <w:rPr>
          <w:lang w:val="es-ES_tradnl"/>
        </w:rPr>
        <w:t>, (ii) financiación tradicional de infraestructura a través de préstamos y</w:t>
      </w:r>
      <w:r w:rsidR="003374F0" w:rsidRPr="00153074">
        <w:rPr>
          <w:lang w:val="es-ES_tradnl"/>
        </w:rPr>
        <w:t xml:space="preserve"> activos netos, (iii) asistencia técnica </w:t>
      </w:r>
      <w:r w:rsidR="00C1735F" w:rsidRPr="00153074">
        <w:rPr>
          <w:lang w:val="es-ES_tradnl"/>
        </w:rPr>
        <w:t xml:space="preserve">al Gobierno receptor, </w:t>
      </w:r>
      <w:r w:rsidR="003374F0" w:rsidRPr="00153074">
        <w:rPr>
          <w:lang w:val="es-ES_tradnl"/>
        </w:rPr>
        <w:t>financiada por donantes</w:t>
      </w:r>
      <w:r w:rsidR="00C1735F" w:rsidRPr="00153074">
        <w:rPr>
          <w:lang w:val="es-ES_tradnl"/>
        </w:rPr>
        <w:t>,</w:t>
      </w:r>
      <w:r w:rsidR="003374F0" w:rsidRPr="00153074">
        <w:rPr>
          <w:lang w:val="es-ES_tradnl"/>
        </w:rPr>
        <w:t xml:space="preserve"> para incrementar la capacidad de la </w:t>
      </w:r>
      <w:r w:rsidR="00E54F55" w:rsidRPr="00153074">
        <w:rPr>
          <w:lang w:val="es-ES_tradnl"/>
        </w:rPr>
        <w:t>APP</w:t>
      </w:r>
      <w:r w:rsidR="003374F0" w:rsidRPr="00153074">
        <w:rPr>
          <w:lang w:val="es-ES_tradnl"/>
        </w:rPr>
        <w:t xml:space="preserve"> y la infraestructura, (iv) </w:t>
      </w:r>
      <w:r w:rsidR="002A7792" w:rsidRPr="00153074">
        <w:rPr>
          <w:lang w:val="es-ES_tradnl"/>
        </w:rPr>
        <w:t>“</w:t>
      </w:r>
      <w:r w:rsidR="003374F0" w:rsidRPr="00153074">
        <w:rPr>
          <w:lang w:val="es-ES_tradnl"/>
        </w:rPr>
        <w:t>Alianzas Publicó-Privadas</w:t>
      </w:r>
      <w:r w:rsidR="002A7792" w:rsidRPr="00153074">
        <w:rPr>
          <w:lang w:val="es-ES_tradnl"/>
        </w:rPr>
        <w:t>”</w:t>
      </w:r>
      <w:r w:rsidR="003374F0" w:rsidRPr="00153074">
        <w:rPr>
          <w:lang w:val="es-ES_tradnl"/>
        </w:rPr>
        <w:t xml:space="preserve"> Globales y establecimiento de redes, y (v) actividades del </w:t>
      </w:r>
      <w:r w:rsidR="002A7792" w:rsidRPr="00153074">
        <w:rPr>
          <w:lang w:val="es-ES_tradnl"/>
        </w:rPr>
        <w:t>“</w:t>
      </w:r>
      <w:r w:rsidR="003374F0" w:rsidRPr="00153074">
        <w:rPr>
          <w:lang w:val="es-ES_tradnl"/>
        </w:rPr>
        <w:t xml:space="preserve">SPD </w:t>
      </w:r>
      <w:r w:rsidR="004A35B6" w:rsidRPr="00153074">
        <w:rPr>
          <w:lang w:val="es-ES_tradnl"/>
        </w:rPr>
        <w:t>en general</w:t>
      </w:r>
      <w:r w:rsidR="002A7792" w:rsidRPr="00153074">
        <w:rPr>
          <w:lang w:val="es-ES_tradnl"/>
        </w:rPr>
        <w:t>”</w:t>
      </w:r>
      <w:r w:rsidR="003374F0" w:rsidRPr="00153074">
        <w:rPr>
          <w:lang w:val="es-ES_tradnl"/>
        </w:rPr>
        <w:t xml:space="preserve"> (desarrollo de capacidades de </w:t>
      </w:r>
      <w:r w:rsidR="00B66968" w:rsidRPr="00153074">
        <w:rPr>
          <w:lang w:val="es-ES_tradnl"/>
        </w:rPr>
        <w:t>pymes</w:t>
      </w:r>
      <w:r w:rsidR="003374F0" w:rsidRPr="00153074">
        <w:rPr>
          <w:lang w:val="es-ES_tradnl"/>
        </w:rPr>
        <w:t>, facilitación del comercio, etc.)</w:t>
      </w:r>
      <w:r w:rsidR="006A5FE7" w:rsidRPr="00153074">
        <w:rPr>
          <w:rStyle w:val="FootnoteReference"/>
          <w:lang w:val="es-ES_tradnl"/>
        </w:rPr>
        <w:footnoteReference w:id="1"/>
      </w:r>
      <w:r w:rsidR="00B67BD5" w:rsidRPr="00153074">
        <w:rPr>
          <w:lang w:val="es-ES_tradnl"/>
        </w:rPr>
        <w:t>.</w:t>
      </w:r>
    </w:p>
    <w:p w:rsidR="00B1268C" w:rsidRPr="00153074" w:rsidRDefault="00B1268C" w:rsidP="007462FA">
      <w:pPr>
        <w:jc w:val="both"/>
        <w:rPr>
          <w:lang w:val="es-ES_tradnl"/>
        </w:rPr>
      </w:pPr>
    </w:p>
    <w:p w:rsidR="00ED0AD6" w:rsidRPr="00153074" w:rsidRDefault="00ED0AD6" w:rsidP="007462FA">
      <w:pPr>
        <w:jc w:val="both"/>
        <w:rPr>
          <w:lang w:val="es-ES_tradnl"/>
        </w:rPr>
      </w:pPr>
      <w:r w:rsidRPr="00153074">
        <w:rPr>
          <w:lang w:val="es-ES_tradnl"/>
        </w:rPr>
        <w:t>Examinando específicamente las Institucione</w:t>
      </w:r>
      <w:r w:rsidR="00D211A8" w:rsidRPr="00153074">
        <w:rPr>
          <w:lang w:val="es-ES_tradnl"/>
        </w:rPr>
        <w:t>s Financieras del Desarrollo</w:t>
      </w:r>
      <w:r w:rsidRPr="00153074">
        <w:rPr>
          <w:lang w:val="es-ES_tradnl"/>
        </w:rPr>
        <w:t xml:space="preserve">, la OCDE hace </w:t>
      </w:r>
      <w:r w:rsidR="00AD195B" w:rsidRPr="00153074">
        <w:rPr>
          <w:lang w:val="es-ES_tradnl"/>
        </w:rPr>
        <w:t>un</w:t>
      </w:r>
      <w:r w:rsidRPr="00153074">
        <w:rPr>
          <w:lang w:val="es-ES_tradnl"/>
        </w:rPr>
        <w:t>a distinción entre: (i) préstamos públicos a proyectos de</w:t>
      </w:r>
      <w:r w:rsidR="00AD195B" w:rsidRPr="00153074">
        <w:rPr>
          <w:lang w:val="es-ES_tradnl"/>
        </w:rPr>
        <w:t>l</w:t>
      </w:r>
      <w:r w:rsidRPr="00153074">
        <w:rPr>
          <w:lang w:val="es-ES_tradnl"/>
        </w:rPr>
        <w:t xml:space="preserve"> sector privado (préstamos a largo plazo y préstamos a corto plazo), (ii) participaciones accionarias en un proyecto del sector p</w:t>
      </w:r>
      <w:r w:rsidR="00AE6201" w:rsidRPr="00153074">
        <w:rPr>
          <w:lang w:val="es-ES_tradnl"/>
        </w:rPr>
        <w:t>rivado (a través de inversión de</w:t>
      </w:r>
      <w:r w:rsidRPr="00153074">
        <w:rPr>
          <w:lang w:val="es-ES_tradnl"/>
        </w:rPr>
        <w:t xml:space="preserve"> cartera, inversión directa o mediante </w:t>
      </w:r>
      <w:r w:rsidR="00AE6201" w:rsidRPr="00153074">
        <w:rPr>
          <w:lang w:val="es-ES_tradnl"/>
        </w:rPr>
        <w:t xml:space="preserve">un </w:t>
      </w:r>
      <w:r w:rsidRPr="00153074">
        <w:rPr>
          <w:lang w:val="es-ES_tradnl"/>
        </w:rPr>
        <w:t>fondo de capital privado</w:t>
      </w:r>
      <w:r w:rsidR="001F175F" w:rsidRPr="00153074">
        <w:rPr>
          <w:lang w:val="es-ES_tradnl"/>
        </w:rPr>
        <w:t>), (iii) garantías y seguro público sobre ciertas formas de riesgo de los inversores</w:t>
      </w:r>
      <w:r w:rsidR="00E02C8B" w:rsidRPr="00153074">
        <w:rPr>
          <w:lang w:val="es-ES_tradnl"/>
        </w:rPr>
        <w:t>,</w:t>
      </w:r>
      <w:r w:rsidR="001F175F" w:rsidRPr="00153074">
        <w:rPr>
          <w:lang w:val="es-ES_tradnl"/>
        </w:rPr>
        <w:t xml:space="preserve"> como por ejemplo incumplimiento crediticio y volatilidad del tipo de cambio (préstamo subordinado, préstamo basado en el rendimiento, préstamo convertible,</w:t>
      </w:r>
      <w:r w:rsidR="00604E59" w:rsidRPr="00153074">
        <w:rPr>
          <w:lang w:val="es-ES_tradnl"/>
        </w:rPr>
        <w:t xml:space="preserve"> acciones preferentes, otras garantías) y (iv) subvenciones (a través de las </w:t>
      </w:r>
      <w:r w:rsidR="00E54F55" w:rsidRPr="00153074">
        <w:rPr>
          <w:lang w:val="es-ES_tradnl"/>
        </w:rPr>
        <w:t>APP</w:t>
      </w:r>
      <w:r w:rsidR="00AE6201" w:rsidRPr="00153074">
        <w:rPr>
          <w:lang w:val="es-ES_tradnl"/>
        </w:rPr>
        <w:t xml:space="preserve"> y bonificación </w:t>
      </w:r>
      <w:r w:rsidR="00604E59" w:rsidRPr="00153074">
        <w:rPr>
          <w:lang w:val="es-ES_tradnl"/>
        </w:rPr>
        <w:t>de intereses sobre la deuda del sector privado) y asistencia técnica.</w:t>
      </w:r>
    </w:p>
    <w:p w:rsidR="00B1268C" w:rsidRPr="00153074" w:rsidDel="006D4ADF" w:rsidRDefault="00B1268C" w:rsidP="007462FA">
      <w:pPr>
        <w:jc w:val="both"/>
        <w:rPr>
          <w:rFonts w:cs="Arial"/>
          <w:szCs w:val="22"/>
          <w:lang w:val="es-ES_tradnl"/>
        </w:rPr>
      </w:pPr>
    </w:p>
    <w:p w:rsidR="00B1268C" w:rsidRPr="00153074" w:rsidRDefault="00C90AC0" w:rsidP="007462FA">
      <w:pPr>
        <w:jc w:val="both"/>
        <w:rPr>
          <w:rFonts w:cs="Arial"/>
          <w:szCs w:val="22"/>
          <w:lang w:val="es-ES_tradnl"/>
        </w:rPr>
      </w:pPr>
      <w:r w:rsidRPr="00153074">
        <w:rPr>
          <w:rFonts w:cs="Arial"/>
          <w:szCs w:val="22"/>
          <w:lang w:val="es-ES_tradnl"/>
        </w:rPr>
        <w:br w:type="page"/>
      </w:r>
      <w:r w:rsidR="00AE6201" w:rsidRPr="00153074">
        <w:rPr>
          <w:rFonts w:cs="Arial"/>
          <w:szCs w:val="22"/>
          <w:lang w:val="es-ES_tradnl"/>
        </w:rPr>
        <w:lastRenderedPageBreak/>
        <w:t>A partir de esto</w:t>
      </w:r>
      <w:r w:rsidR="00604E59" w:rsidRPr="00153074">
        <w:rPr>
          <w:rFonts w:cs="Arial"/>
          <w:szCs w:val="22"/>
          <w:lang w:val="es-ES_tradnl"/>
        </w:rPr>
        <w:t>, podemos identificar la siguiente tipología de participación del SPD</w:t>
      </w:r>
      <w:r w:rsidR="00FF15C9" w:rsidRPr="00153074">
        <w:rPr>
          <w:rFonts w:cs="Arial"/>
          <w:szCs w:val="22"/>
          <w:lang w:val="es-ES_tradnl"/>
        </w:rPr>
        <w:t>:</w:t>
      </w:r>
    </w:p>
    <w:p w:rsidR="000D0CD5" w:rsidRPr="00153074" w:rsidRDefault="000D0CD5" w:rsidP="008D3287">
      <w:pPr>
        <w:pStyle w:val="Heading4"/>
        <w:rPr>
          <w:lang w:val="es-ES_tradnl"/>
        </w:rPr>
      </w:pPr>
      <w:r w:rsidRPr="00153074">
        <w:rPr>
          <w:lang w:val="es-ES_tradnl"/>
        </w:rPr>
        <w:t>Tabl</w:t>
      </w:r>
      <w:r w:rsidR="00604E59" w:rsidRPr="00153074">
        <w:rPr>
          <w:lang w:val="es-ES_tradnl"/>
        </w:rPr>
        <w:t>a</w:t>
      </w:r>
      <w:r w:rsidR="000B5EEE" w:rsidRPr="00153074">
        <w:rPr>
          <w:lang w:val="es-ES_tradnl"/>
        </w:rPr>
        <w:t xml:space="preserve"> 2</w:t>
      </w:r>
      <w:r w:rsidRPr="00153074">
        <w:rPr>
          <w:lang w:val="es-ES_tradnl"/>
        </w:rPr>
        <w:t xml:space="preserve">: </w:t>
      </w:r>
      <w:r w:rsidR="00FA63B3" w:rsidRPr="00153074">
        <w:rPr>
          <w:lang w:val="es-ES_tradnl"/>
        </w:rPr>
        <w:t>Categor</w:t>
      </w:r>
      <w:r w:rsidR="00604E59" w:rsidRPr="00153074">
        <w:rPr>
          <w:lang w:val="es-ES_tradnl"/>
        </w:rPr>
        <w:t>ías de participación del SPD y tipos de relación contractual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1309"/>
        <w:gridCol w:w="1496"/>
        <w:gridCol w:w="1309"/>
        <w:gridCol w:w="1309"/>
        <w:gridCol w:w="1546"/>
      </w:tblGrid>
      <w:tr w:rsidR="00B1268C" w:rsidRPr="00153074">
        <w:tc>
          <w:tcPr>
            <w:tcW w:w="2057" w:type="dxa"/>
          </w:tcPr>
          <w:p w:rsidR="00B1268C" w:rsidRPr="00153074" w:rsidRDefault="000D0CD5" w:rsidP="008D3287">
            <w:pPr>
              <w:tabs>
                <w:tab w:val="left" w:pos="1110"/>
              </w:tabs>
              <w:rPr>
                <w:sz w:val="20"/>
                <w:szCs w:val="20"/>
                <w:lang w:val="es-ES_tradnl"/>
              </w:rPr>
            </w:pPr>
            <w:r w:rsidRPr="00153074">
              <w:rPr>
                <w:sz w:val="20"/>
                <w:szCs w:val="20"/>
                <w:lang w:val="es-ES_tradnl"/>
              </w:rPr>
              <w:t>Categor</w:t>
            </w:r>
            <w:r w:rsidR="00604E59" w:rsidRPr="00153074">
              <w:rPr>
                <w:sz w:val="20"/>
                <w:szCs w:val="20"/>
                <w:lang w:val="es-ES_tradnl"/>
              </w:rPr>
              <w:t xml:space="preserve">ía de participación </w:t>
            </w:r>
            <w:r w:rsidRPr="00153074">
              <w:rPr>
                <w:sz w:val="20"/>
                <w:szCs w:val="20"/>
                <w:lang w:val="es-ES_tradnl"/>
              </w:rPr>
              <w:t>&gt;</w:t>
            </w:r>
          </w:p>
          <w:p w:rsidR="000D0CD5" w:rsidRPr="00153074" w:rsidRDefault="000D0CD5" w:rsidP="008D3287">
            <w:pPr>
              <w:tabs>
                <w:tab w:val="left" w:pos="1110"/>
              </w:tabs>
              <w:rPr>
                <w:sz w:val="20"/>
                <w:szCs w:val="20"/>
                <w:lang w:val="es-ES_tradnl"/>
              </w:rPr>
            </w:pPr>
            <w:r w:rsidRPr="00153074">
              <w:rPr>
                <w:sz w:val="20"/>
                <w:szCs w:val="20"/>
                <w:lang w:val="es-ES_tradnl"/>
              </w:rPr>
              <w:t>T</w:t>
            </w:r>
            <w:r w:rsidR="00604E59" w:rsidRPr="00153074">
              <w:rPr>
                <w:sz w:val="20"/>
                <w:szCs w:val="20"/>
                <w:lang w:val="es-ES_tradnl"/>
              </w:rPr>
              <w:t>ipo de relación contractual</w:t>
            </w:r>
          </w:p>
          <w:p w:rsidR="00731F08" w:rsidRPr="00153074" w:rsidRDefault="00731F08" w:rsidP="008D3287">
            <w:pPr>
              <w:tabs>
                <w:tab w:val="left" w:pos="1110"/>
              </w:tabs>
              <w:rPr>
                <w:sz w:val="20"/>
                <w:szCs w:val="20"/>
                <w:lang w:val="es-ES_tradnl"/>
              </w:rPr>
            </w:pPr>
            <w:r w:rsidRPr="00153074">
              <w:rPr>
                <w:sz w:val="20"/>
                <w:szCs w:val="20"/>
                <w:lang w:val="es-ES_tradnl"/>
              </w:rPr>
              <w:t>v</w:t>
            </w:r>
          </w:p>
        </w:tc>
        <w:tc>
          <w:tcPr>
            <w:tcW w:w="1309" w:type="dxa"/>
          </w:tcPr>
          <w:p w:rsidR="00B1268C" w:rsidRPr="00153074" w:rsidRDefault="00042A38" w:rsidP="00FF15C9">
            <w:pPr>
              <w:tabs>
                <w:tab w:val="left" w:pos="1110"/>
              </w:tabs>
              <w:rPr>
                <w:sz w:val="20"/>
                <w:szCs w:val="20"/>
                <w:lang w:val="es-ES_tradnl"/>
              </w:rPr>
            </w:pPr>
            <w:r w:rsidRPr="00153074">
              <w:rPr>
                <w:sz w:val="20"/>
                <w:szCs w:val="20"/>
                <w:lang w:val="es-ES_tradnl"/>
              </w:rPr>
              <w:t>Iniciativa filantrópica de RSC</w:t>
            </w:r>
          </w:p>
        </w:tc>
        <w:tc>
          <w:tcPr>
            <w:tcW w:w="1496" w:type="dxa"/>
          </w:tcPr>
          <w:p w:rsidR="00B1268C" w:rsidRPr="00153074" w:rsidRDefault="00042A38" w:rsidP="00FF15C9">
            <w:pPr>
              <w:tabs>
                <w:tab w:val="left" w:pos="1110"/>
              </w:tabs>
              <w:rPr>
                <w:sz w:val="20"/>
                <w:szCs w:val="20"/>
                <w:lang w:val="es-ES_tradnl"/>
              </w:rPr>
            </w:pPr>
            <w:r w:rsidRPr="00153074">
              <w:rPr>
                <w:sz w:val="20"/>
                <w:szCs w:val="20"/>
                <w:lang w:val="es-ES_tradnl"/>
              </w:rPr>
              <w:t>Proyecto privado con ánimo de lucro</w:t>
            </w:r>
          </w:p>
        </w:tc>
        <w:tc>
          <w:tcPr>
            <w:tcW w:w="1309" w:type="dxa"/>
          </w:tcPr>
          <w:p w:rsidR="00B1268C" w:rsidRPr="00153074" w:rsidRDefault="00042A38" w:rsidP="00FF15C9">
            <w:pPr>
              <w:tabs>
                <w:tab w:val="left" w:pos="1110"/>
              </w:tabs>
              <w:rPr>
                <w:sz w:val="20"/>
                <w:szCs w:val="20"/>
                <w:lang w:val="es-ES_tradnl"/>
              </w:rPr>
            </w:pPr>
            <w:r w:rsidRPr="00153074">
              <w:rPr>
                <w:sz w:val="20"/>
                <w:szCs w:val="20"/>
                <w:lang w:val="es-ES_tradnl"/>
              </w:rPr>
              <w:t>Asociación público-privada</w:t>
            </w:r>
          </w:p>
        </w:tc>
        <w:tc>
          <w:tcPr>
            <w:tcW w:w="1309" w:type="dxa"/>
          </w:tcPr>
          <w:p w:rsidR="00B1268C" w:rsidRPr="00153074" w:rsidRDefault="001306E9" w:rsidP="00FF15C9">
            <w:pPr>
              <w:tabs>
                <w:tab w:val="left" w:pos="1110"/>
              </w:tabs>
              <w:rPr>
                <w:sz w:val="20"/>
                <w:szCs w:val="20"/>
                <w:lang w:val="es-ES_tradnl"/>
              </w:rPr>
            </w:pPr>
            <w:r w:rsidRPr="00153074">
              <w:rPr>
                <w:sz w:val="20"/>
                <w:szCs w:val="20"/>
                <w:lang w:val="es-ES_tradnl"/>
              </w:rPr>
              <w:t>Contratación pública</w:t>
            </w:r>
            <w:r w:rsidR="00B1268C" w:rsidRPr="00153074">
              <w:rPr>
                <w:sz w:val="20"/>
                <w:szCs w:val="20"/>
                <w:lang w:val="es-ES_tradnl"/>
              </w:rPr>
              <w:t xml:space="preserve">, incl. </w:t>
            </w:r>
            <w:r w:rsidR="00042A38" w:rsidRPr="00153074">
              <w:rPr>
                <w:sz w:val="20"/>
                <w:szCs w:val="20"/>
                <w:lang w:val="es-ES_tradnl"/>
              </w:rPr>
              <w:t xml:space="preserve">proyectos de </w:t>
            </w:r>
            <w:r w:rsidR="003503A6" w:rsidRPr="00153074">
              <w:rPr>
                <w:sz w:val="20"/>
                <w:szCs w:val="20"/>
                <w:lang w:val="es-ES_tradnl"/>
              </w:rPr>
              <w:t>AOD</w:t>
            </w:r>
          </w:p>
        </w:tc>
        <w:tc>
          <w:tcPr>
            <w:tcW w:w="1546" w:type="dxa"/>
          </w:tcPr>
          <w:p w:rsidR="00B1268C" w:rsidRPr="00153074" w:rsidRDefault="00042A38" w:rsidP="00FF15C9">
            <w:pPr>
              <w:tabs>
                <w:tab w:val="left" w:pos="1110"/>
              </w:tabs>
              <w:rPr>
                <w:sz w:val="20"/>
                <w:szCs w:val="20"/>
                <w:lang w:val="es-ES_tradnl"/>
              </w:rPr>
            </w:pPr>
            <w:r w:rsidRPr="00153074">
              <w:rPr>
                <w:sz w:val="20"/>
                <w:szCs w:val="20"/>
                <w:lang w:val="es-ES_tradnl"/>
              </w:rPr>
              <w:t>Establecimiento de redes</w:t>
            </w:r>
            <w:r w:rsidR="00B1268C" w:rsidRPr="00153074">
              <w:rPr>
                <w:sz w:val="20"/>
                <w:szCs w:val="20"/>
                <w:lang w:val="es-ES_tradnl"/>
              </w:rPr>
              <w:t xml:space="preserve">, </w:t>
            </w:r>
            <w:r w:rsidR="00AF3DD4" w:rsidRPr="00153074">
              <w:rPr>
                <w:sz w:val="20"/>
                <w:szCs w:val="20"/>
                <w:lang w:val="es-ES_tradnl"/>
              </w:rPr>
              <w:t xml:space="preserve">establecimiento de normas y </w:t>
            </w:r>
            <w:r w:rsidR="002C7B14" w:rsidRPr="00153074">
              <w:rPr>
                <w:sz w:val="20"/>
                <w:szCs w:val="20"/>
                <w:lang w:val="es-ES_tradnl"/>
              </w:rPr>
              <w:t>promoción de políticas</w:t>
            </w:r>
          </w:p>
        </w:tc>
      </w:tr>
      <w:tr w:rsidR="00B1268C" w:rsidRPr="00153074">
        <w:tc>
          <w:tcPr>
            <w:tcW w:w="2057" w:type="dxa"/>
          </w:tcPr>
          <w:p w:rsidR="00B1268C" w:rsidRPr="00153074" w:rsidRDefault="00604E59" w:rsidP="00FF15C9">
            <w:pPr>
              <w:tabs>
                <w:tab w:val="left" w:pos="1110"/>
              </w:tabs>
              <w:rPr>
                <w:sz w:val="20"/>
                <w:szCs w:val="20"/>
                <w:lang w:val="es-ES_tradnl"/>
              </w:rPr>
            </w:pPr>
            <w:r w:rsidRPr="00153074">
              <w:rPr>
                <w:sz w:val="20"/>
                <w:szCs w:val="20"/>
                <w:lang w:val="es-ES_tradnl"/>
              </w:rPr>
              <w:t>Subsidios</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496"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546"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r>
      <w:tr w:rsidR="00B1268C" w:rsidRPr="00153074">
        <w:tc>
          <w:tcPr>
            <w:tcW w:w="2057" w:type="dxa"/>
          </w:tcPr>
          <w:p w:rsidR="00B1268C" w:rsidRPr="00153074" w:rsidRDefault="00604E59" w:rsidP="00FF15C9">
            <w:pPr>
              <w:tabs>
                <w:tab w:val="left" w:pos="1110"/>
              </w:tabs>
              <w:rPr>
                <w:sz w:val="20"/>
                <w:szCs w:val="20"/>
                <w:lang w:val="es-ES_tradnl"/>
              </w:rPr>
            </w:pPr>
            <w:r w:rsidRPr="00153074">
              <w:rPr>
                <w:sz w:val="20"/>
                <w:szCs w:val="20"/>
                <w:lang w:val="es-ES_tradnl"/>
              </w:rPr>
              <w:t>Préstamos públicos</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496"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546" w:type="dxa"/>
          </w:tcPr>
          <w:p w:rsidR="00B1268C" w:rsidRPr="00153074" w:rsidRDefault="00B1268C" w:rsidP="007462FA">
            <w:pPr>
              <w:tabs>
                <w:tab w:val="left" w:pos="1110"/>
              </w:tabs>
              <w:jc w:val="both"/>
              <w:rPr>
                <w:rFonts w:ascii="Arial" w:hAnsi="Arial" w:cs="Arial"/>
                <w:sz w:val="20"/>
                <w:szCs w:val="20"/>
                <w:lang w:val="es-ES_tradnl"/>
              </w:rPr>
            </w:pPr>
          </w:p>
        </w:tc>
      </w:tr>
      <w:tr w:rsidR="00B1268C" w:rsidRPr="00153074">
        <w:tc>
          <w:tcPr>
            <w:tcW w:w="2057" w:type="dxa"/>
          </w:tcPr>
          <w:p w:rsidR="00B1268C" w:rsidRPr="00153074" w:rsidRDefault="00042A38" w:rsidP="00FF15C9">
            <w:pPr>
              <w:tabs>
                <w:tab w:val="left" w:pos="1110"/>
              </w:tabs>
              <w:rPr>
                <w:sz w:val="20"/>
                <w:szCs w:val="20"/>
                <w:lang w:val="es-ES_tradnl"/>
              </w:rPr>
            </w:pPr>
            <w:r w:rsidRPr="00153074">
              <w:rPr>
                <w:sz w:val="20"/>
                <w:szCs w:val="20"/>
                <w:lang w:val="es-ES_tradnl"/>
              </w:rPr>
              <w:t>Oferta pública</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496"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546" w:type="dxa"/>
          </w:tcPr>
          <w:p w:rsidR="00B1268C" w:rsidRPr="00153074" w:rsidRDefault="00B1268C" w:rsidP="007462FA">
            <w:pPr>
              <w:tabs>
                <w:tab w:val="left" w:pos="1110"/>
              </w:tabs>
              <w:jc w:val="both"/>
              <w:rPr>
                <w:rFonts w:ascii="Arial" w:hAnsi="Arial" w:cs="Arial"/>
                <w:sz w:val="20"/>
                <w:szCs w:val="20"/>
                <w:lang w:val="es-ES_tradnl"/>
              </w:rPr>
            </w:pPr>
          </w:p>
        </w:tc>
      </w:tr>
      <w:tr w:rsidR="00B1268C" w:rsidRPr="00153074">
        <w:tc>
          <w:tcPr>
            <w:tcW w:w="2057" w:type="dxa"/>
          </w:tcPr>
          <w:p w:rsidR="00B1268C" w:rsidRPr="00153074" w:rsidRDefault="00AF3DD4" w:rsidP="00FF15C9">
            <w:pPr>
              <w:tabs>
                <w:tab w:val="left" w:pos="1110"/>
              </w:tabs>
              <w:rPr>
                <w:sz w:val="20"/>
                <w:szCs w:val="20"/>
                <w:lang w:val="es-ES_tradnl"/>
              </w:rPr>
            </w:pPr>
            <w:r w:rsidRPr="00153074">
              <w:rPr>
                <w:sz w:val="20"/>
                <w:szCs w:val="20"/>
                <w:lang w:val="es-ES_tradnl"/>
              </w:rPr>
              <w:t>Seguro y garantías</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496"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sz w:val="20"/>
                <w:szCs w:val="20"/>
                <w:lang w:val="es-ES_tradnl"/>
              </w:rPr>
            </w:pPr>
            <w:r w:rsidRPr="00153074">
              <w:rPr>
                <w:sz w:val="20"/>
                <w:szCs w:val="20"/>
                <w:lang w:val="es-ES_tradnl"/>
              </w:rPr>
              <w:t>X</w:t>
            </w:r>
          </w:p>
        </w:tc>
        <w:tc>
          <w:tcPr>
            <w:tcW w:w="1309" w:type="dxa"/>
          </w:tcPr>
          <w:p w:rsidR="00B1268C" w:rsidRPr="00153074" w:rsidRDefault="00B1268C" w:rsidP="007462FA">
            <w:pPr>
              <w:tabs>
                <w:tab w:val="left" w:pos="1110"/>
              </w:tabs>
              <w:jc w:val="both"/>
              <w:rPr>
                <w:rFonts w:ascii="Arial" w:hAnsi="Arial" w:cs="Arial"/>
                <w:sz w:val="20"/>
                <w:szCs w:val="20"/>
                <w:lang w:val="es-ES_tradnl"/>
              </w:rPr>
            </w:pPr>
          </w:p>
        </w:tc>
        <w:tc>
          <w:tcPr>
            <w:tcW w:w="1546" w:type="dxa"/>
          </w:tcPr>
          <w:p w:rsidR="00B1268C" w:rsidRPr="00153074" w:rsidRDefault="00B1268C" w:rsidP="007462FA">
            <w:pPr>
              <w:tabs>
                <w:tab w:val="left" w:pos="1110"/>
              </w:tabs>
              <w:jc w:val="both"/>
              <w:rPr>
                <w:rFonts w:ascii="Arial" w:hAnsi="Arial" w:cs="Arial"/>
                <w:sz w:val="20"/>
                <w:szCs w:val="20"/>
                <w:lang w:val="es-ES_tradnl"/>
              </w:rPr>
            </w:pPr>
          </w:p>
        </w:tc>
      </w:tr>
    </w:tbl>
    <w:p w:rsidR="00B1268C" w:rsidRPr="00153074" w:rsidRDefault="00042A38" w:rsidP="007462FA">
      <w:pPr>
        <w:tabs>
          <w:tab w:val="left" w:pos="1110"/>
        </w:tabs>
        <w:jc w:val="both"/>
        <w:rPr>
          <w:rFonts w:ascii="Arial" w:hAnsi="Arial" w:cs="Arial"/>
          <w:sz w:val="18"/>
          <w:szCs w:val="18"/>
          <w:lang w:val="es-ES_tradnl"/>
        </w:rPr>
      </w:pPr>
      <w:r w:rsidRPr="00153074">
        <w:rPr>
          <w:rFonts w:ascii="Arial" w:hAnsi="Arial" w:cs="Arial"/>
          <w:sz w:val="18"/>
          <w:szCs w:val="18"/>
          <w:lang w:val="es-ES_tradnl"/>
        </w:rPr>
        <w:t>Fuente</w:t>
      </w:r>
      <w:r w:rsidR="00B1268C" w:rsidRPr="00153074">
        <w:rPr>
          <w:rFonts w:ascii="Arial" w:hAnsi="Arial" w:cs="Arial"/>
          <w:sz w:val="18"/>
          <w:szCs w:val="18"/>
          <w:lang w:val="es-ES_tradnl"/>
        </w:rPr>
        <w:t xml:space="preserve">: </w:t>
      </w:r>
      <w:r w:rsidR="003A4EDB" w:rsidRPr="00153074">
        <w:rPr>
          <w:rFonts w:ascii="Arial" w:hAnsi="Arial" w:cs="Arial"/>
          <w:sz w:val="18"/>
          <w:szCs w:val="18"/>
          <w:lang w:val="es-ES_tradnl"/>
        </w:rPr>
        <w:t>OCDE</w:t>
      </w:r>
      <w:r w:rsidRPr="00153074">
        <w:rPr>
          <w:rFonts w:ascii="Arial" w:hAnsi="Arial" w:cs="Arial"/>
          <w:sz w:val="18"/>
          <w:szCs w:val="18"/>
          <w:lang w:val="es-ES_tradnl"/>
        </w:rPr>
        <w:t xml:space="preserve"> y</w:t>
      </w:r>
      <w:r w:rsidR="00852D8D" w:rsidRPr="00153074">
        <w:rPr>
          <w:rFonts w:ascii="Arial" w:hAnsi="Arial" w:cs="Arial"/>
          <w:sz w:val="18"/>
          <w:szCs w:val="18"/>
          <w:lang w:val="es-ES_tradnl"/>
        </w:rPr>
        <w:t xml:space="preserve"> </w:t>
      </w:r>
      <w:r w:rsidR="00131660" w:rsidRPr="00153074">
        <w:rPr>
          <w:rFonts w:ascii="Arial" w:hAnsi="Arial" w:cs="Arial"/>
          <w:sz w:val="18"/>
          <w:szCs w:val="18"/>
          <w:lang w:val="es-ES_tradnl"/>
        </w:rPr>
        <w:t>Realidad de la Ayuda 2012</w:t>
      </w:r>
    </w:p>
    <w:p w:rsidR="00B1268C" w:rsidRPr="00153074" w:rsidRDefault="00B1268C" w:rsidP="007462FA">
      <w:pPr>
        <w:jc w:val="both"/>
        <w:rPr>
          <w:rFonts w:ascii="Arial" w:hAnsi="Arial" w:cs="Arial"/>
          <w:sz w:val="20"/>
          <w:szCs w:val="20"/>
          <w:lang w:val="es-ES_tradnl"/>
        </w:rPr>
      </w:pPr>
    </w:p>
    <w:p w:rsidR="00B1268C" w:rsidRPr="00153074" w:rsidRDefault="00042A38" w:rsidP="007462FA">
      <w:pPr>
        <w:jc w:val="both"/>
        <w:rPr>
          <w:lang w:val="es-ES_tradnl"/>
        </w:rPr>
      </w:pPr>
      <w:r w:rsidRPr="00153074">
        <w:rPr>
          <w:lang w:val="es-ES_tradnl"/>
        </w:rPr>
        <w:t>En</w:t>
      </w:r>
      <w:r w:rsidR="00B1268C" w:rsidRPr="00153074">
        <w:rPr>
          <w:lang w:val="es-ES_tradnl"/>
        </w:rPr>
        <w:t xml:space="preserve"> </w:t>
      </w:r>
      <w:r w:rsidR="00D3580C" w:rsidRPr="00153074">
        <w:rPr>
          <w:lang w:val="es-ES_tradnl"/>
        </w:rPr>
        <w:t>un proyecto del SPD, el tipo de relación entre la</w:t>
      </w:r>
      <w:r w:rsidR="004355EC" w:rsidRPr="00153074">
        <w:rPr>
          <w:lang w:val="es-ES_tradnl"/>
        </w:rPr>
        <w:t>s</w:t>
      </w:r>
      <w:r w:rsidR="00D3580C" w:rsidRPr="00153074">
        <w:rPr>
          <w:lang w:val="es-ES_tradnl"/>
        </w:rPr>
        <w:t xml:space="preserve"> entidad</w:t>
      </w:r>
      <w:r w:rsidR="007F3583" w:rsidRPr="00153074">
        <w:rPr>
          <w:lang w:val="es-ES_tradnl"/>
        </w:rPr>
        <w:t>es p</w:t>
      </w:r>
      <w:r w:rsidR="00D3580C" w:rsidRPr="00153074">
        <w:rPr>
          <w:lang w:val="es-ES_tradnl"/>
        </w:rPr>
        <w:t xml:space="preserve">ública y privada es importante desde una perspectiva sindical porque </w:t>
      </w:r>
      <w:r w:rsidR="007F3583" w:rsidRPr="00153074">
        <w:rPr>
          <w:lang w:val="es-ES_tradnl"/>
        </w:rPr>
        <w:t xml:space="preserve">es lo que </w:t>
      </w:r>
      <w:r w:rsidR="00D3580C" w:rsidRPr="00153074">
        <w:rPr>
          <w:lang w:val="es-ES_tradnl"/>
        </w:rPr>
        <w:t xml:space="preserve">va a determinar </w:t>
      </w:r>
      <w:r w:rsidR="00B40EE1" w:rsidRPr="00153074">
        <w:rPr>
          <w:lang w:val="es-ES_tradnl"/>
        </w:rPr>
        <w:t xml:space="preserve">la medida en que la entidad pública </w:t>
      </w:r>
      <w:r w:rsidR="00C1341D" w:rsidRPr="00153074">
        <w:rPr>
          <w:lang w:val="es-ES_tradnl"/>
        </w:rPr>
        <w:t>ejerce</w:t>
      </w:r>
      <w:r w:rsidR="00B40EE1" w:rsidRPr="00153074">
        <w:rPr>
          <w:lang w:val="es-ES_tradnl"/>
        </w:rPr>
        <w:t xml:space="preserve"> influencia, si no </w:t>
      </w:r>
      <w:r w:rsidR="00C1341D" w:rsidRPr="00153074">
        <w:rPr>
          <w:lang w:val="es-ES_tradnl"/>
        </w:rPr>
        <w:t xml:space="preserve">un </w:t>
      </w:r>
      <w:r w:rsidR="00B40EE1" w:rsidRPr="00153074">
        <w:rPr>
          <w:lang w:val="es-ES_tradnl"/>
        </w:rPr>
        <w:t>control efectivo o al menos la administración del proyecto</w:t>
      </w:r>
      <w:r w:rsidR="004355EC" w:rsidRPr="00153074">
        <w:rPr>
          <w:lang w:val="es-ES_tradnl"/>
        </w:rPr>
        <w:t>,</w:t>
      </w:r>
      <w:r w:rsidR="00B40EE1" w:rsidRPr="00153074">
        <w:rPr>
          <w:lang w:val="es-ES_tradnl"/>
        </w:rPr>
        <w:t xml:space="preserve"> y, a partir de ahí,</w:t>
      </w:r>
      <w:r w:rsidR="00393C52" w:rsidRPr="00153074">
        <w:rPr>
          <w:lang w:val="es-ES_tradnl"/>
        </w:rPr>
        <w:t xml:space="preserve"> </w:t>
      </w:r>
      <w:r w:rsidR="004355EC" w:rsidRPr="00153074">
        <w:rPr>
          <w:lang w:val="es-ES_tradnl"/>
        </w:rPr>
        <w:t>en quién recaen</w:t>
      </w:r>
      <w:r w:rsidR="007F3583" w:rsidRPr="00153074">
        <w:rPr>
          <w:lang w:val="es-ES_tradnl"/>
        </w:rPr>
        <w:t xml:space="preserve"> </w:t>
      </w:r>
      <w:r w:rsidR="00393C52" w:rsidRPr="00153074">
        <w:rPr>
          <w:lang w:val="es-ES_tradnl"/>
        </w:rPr>
        <w:t>las responsabilidades del empleador. Por ejemplo, el papel e influencia de la entidad pública puede ser mayor cuando actúa como accionista o cliente (</w:t>
      </w:r>
      <w:r w:rsidR="004355EC" w:rsidRPr="00153074">
        <w:rPr>
          <w:lang w:val="es-ES_tradnl"/>
        </w:rPr>
        <w:t xml:space="preserve">en </w:t>
      </w:r>
      <w:r w:rsidR="007F3583" w:rsidRPr="00153074">
        <w:rPr>
          <w:lang w:val="es-ES_tradnl"/>
        </w:rPr>
        <w:t xml:space="preserve">el </w:t>
      </w:r>
      <w:r w:rsidR="00393C52" w:rsidRPr="00153074">
        <w:rPr>
          <w:lang w:val="es-ES_tradnl"/>
        </w:rPr>
        <w:t xml:space="preserve">caso de </w:t>
      </w:r>
      <w:r w:rsidR="004E7A38" w:rsidRPr="00153074">
        <w:rPr>
          <w:lang w:val="es-ES_tradnl"/>
        </w:rPr>
        <w:t>inversión en acciones</w:t>
      </w:r>
      <w:r w:rsidR="00B1268C" w:rsidRPr="00153074">
        <w:rPr>
          <w:lang w:val="es-ES_tradnl"/>
        </w:rPr>
        <w:t xml:space="preserve"> </w:t>
      </w:r>
      <w:r w:rsidR="00393C52" w:rsidRPr="00153074">
        <w:rPr>
          <w:lang w:val="es-ES_tradnl"/>
        </w:rPr>
        <w:t>y</w:t>
      </w:r>
      <w:r w:rsidR="001306E9" w:rsidRPr="00153074">
        <w:rPr>
          <w:lang w:val="es-ES_tradnl"/>
        </w:rPr>
        <w:t xml:space="preserve"> contratación pública</w:t>
      </w:r>
      <w:r w:rsidR="00B1268C" w:rsidRPr="00153074">
        <w:rPr>
          <w:lang w:val="es-ES_tradnl"/>
        </w:rPr>
        <w:t xml:space="preserve">, </w:t>
      </w:r>
      <w:r w:rsidR="00393C52" w:rsidRPr="00153074">
        <w:rPr>
          <w:lang w:val="es-ES_tradnl"/>
        </w:rPr>
        <w:t xml:space="preserve">y teóricamente </w:t>
      </w:r>
      <w:r w:rsidR="001306E9" w:rsidRPr="00153074">
        <w:rPr>
          <w:lang w:val="es-ES_tradnl"/>
        </w:rPr>
        <w:t xml:space="preserve">las </w:t>
      </w:r>
      <w:r w:rsidR="00E54F55" w:rsidRPr="00153074">
        <w:rPr>
          <w:lang w:val="es-ES_tradnl"/>
        </w:rPr>
        <w:t>APP</w:t>
      </w:r>
      <w:r w:rsidR="00B1268C" w:rsidRPr="00153074">
        <w:rPr>
          <w:lang w:val="es-ES_tradnl"/>
        </w:rPr>
        <w:t xml:space="preserve">) </w:t>
      </w:r>
      <w:r w:rsidR="00393C52" w:rsidRPr="00153074">
        <w:rPr>
          <w:lang w:val="es-ES_tradnl"/>
        </w:rPr>
        <w:t>que cuando actúa como asegurador o acreedor</w:t>
      </w:r>
      <w:r w:rsidR="007F3583" w:rsidRPr="00153074">
        <w:rPr>
          <w:lang w:val="es-ES_tradnl"/>
        </w:rPr>
        <w:t>. N</w:t>
      </w:r>
      <w:r w:rsidR="00393C52" w:rsidRPr="00153074">
        <w:rPr>
          <w:lang w:val="es-ES_tradnl"/>
        </w:rPr>
        <w:t>o obstante, la influencia de los donantes dependerá de otros factores, como</w:t>
      </w:r>
      <w:r w:rsidR="004355EC" w:rsidRPr="00153074">
        <w:rPr>
          <w:lang w:val="es-ES_tradnl"/>
        </w:rPr>
        <w:t xml:space="preserve"> son</w:t>
      </w:r>
      <w:r w:rsidR="00393C52" w:rsidRPr="00153074">
        <w:rPr>
          <w:lang w:val="es-ES_tradnl"/>
        </w:rPr>
        <w:t xml:space="preserve"> los criterios de elegibilidad para proporcionar apoyo público a un proyecto privado, incluyendo salvaguardias sociales y medioambientales</w:t>
      </w:r>
      <w:r w:rsidR="00B1268C" w:rsidRPr="00153074">
        <w:rPr>
          <w:lang w:val="es-ES_tradnl"/>
        </w:rPr>
        <w:t xml:space="preserve">. </w:t>
      </w:r>
    </w:p>
    <w:p w:rsidR="00B1268C" w:rsidRPr="00153074" w:rsidRDefault="00B1268C" w:rsidP="007462FA">
      <w:pPr>
        <w:jc w:val="both"/>
        <w:rPr>
          <w:rFonts w:ascii="Arial" w:hAnsi="Arial" w:cs="Arial"/>
          <w:sz w:val="20"/>
          <w:szCs w:val="20"/>
          <w:lang w:val="es-ES_tradnl"/>
        </w:rPr>
      </w:pPr>
    </w:p>
    <w:p w:rsidR="001F2C9B" w:rsidRPr="00153074" w:rsidRDefault="001F2C9B" w:rsidP="007462FA">
      <w:pPr>
        <w:jc w:val="both"/>
        <w:rPr>
          <w:lang w:val="es-ES_tradnl"/>
        </w:rPr>
      </w:pPr>
      <w:r w:rsidRPr="00153074">
        <w:rPr>
          <w:lang w:val="es-ES_tradnl"/>
        </w:rPr>
        <w:t xml:space="preserve">Podemos identificar ocho clases de iniciativas del sector privado en el desarrollo </w:t>
      </w:r>
      <w:r w:rsidR="00F82B4C" w:rsidRPr="00153074">
        <w:rPr>
          <w:lang w:val="es-ES_tradnl"/>
        </w:rPr>
        <w:t xml:space="preserve">según </w:t>
      </w:r>
      <w:r w:rsidRPr="00153074">
        <w:rPr>
          <w:lang w:val="es-ES_tradnl"/>
        </w:rPr>
        <w:t xml:space="preserve">el rol o función </w:t>
      </w:r>
      <w:r w:rsidR="00F82B4C" w:rsidRPr="00153074">
        <w:rPr>
          <w:lang w:val="es-ES_tradnl"/>
        </w:rPr>
        <w:t>que desempeñe</w:t>
      </w:r>
      <w:r w:rsidRPr="00153074">
        <w:rPr>
          <w:lang w:val="es-ES_tradnl"/>
        </w:rPr>
        <w:t xml:space="preserve"> la entidad pública (donante, acreedor, accionista, cliente o asegurador) y la entidad privada (operador de un proyecto lucrativo, subcontratista de obras públicas, receptor de beneficios no comerciales).</w:t>
      </w:r>
    </w:p>
    <w:p w:rsidR="009203BF" w:rsidRPr="00153074" w:rsidRDefault="00B1268C" w:rsidP="008D3287">
      <w:pPr>
        <w:pStyle w:val="Heading4"/>
        <w:rPr>
          <w:lang w:val="es-ES_tradnl"/>
        </w:rPr>
      </w:pPr>
      <w:r w:rsidRPr="00153074">
        <w:rPr>
          <w:lang w:val="es-ES_tradnl"/>
        </w:rPr>
        <w:t>Tabl</w:t>
      </w:r>
      <w:r w:rsidR="001F2C9B" w:rsidRPr="00153074">
        <w:rPr>
          <w:lang w:val="es-ES_tradnl"/>
        </w:rPr>
        <w:t>a 3</w:t>
      </w:r>
      <w:r w:rsidRPr="00153074">
        <w:rPr>
          <w:lang w:val="es-ES_tradnl"/>
        </w:rPr>
        <w:t>: T</w:t>
      </w:r>
      <w:r w:rsidR="00DB2CA3" w:rsidRPr="00153074">
        <w:rPr>
          <w:lang w:val="es-ES_tradnl"/>
        </w:rPr>
        <w:t>i</w:t>
      </w:r>
      <w:r w:rsidRPr="00153074">
        <w:rPr>
          <w:lang w:val="es-ES_tradnl"/>
        </w:rPr>
        <w:t>polog</w:t>
      </w:r>
      <w:r w:rsidR="001F2C9B" w:rsidRPr="00153074">
        <w:rPr>
          <w:lang w:val="es-ES_tradnl"/>
        </w:rPr>
        <w:t>ía de las iniciativa</w:t>
      </w:r>
      <w:r w:rsidR="007F3583" w:rsidRPr="00153074">
        <w:rPr>
          <w:lang w:val="es-ES_tradnl"/>
        </w:rPr>
        <w:t>s</w:t>
      </w: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324"/>
        <w:gridCol w:w="1325"/>
        <w:gridCol w:w="1325"/>
        <w:gridCol w:w="1325"/>
        <w:gridCol w:w="1325"/>
      </w:tblGrid>
      <w:tr w:rsidR="00B1268C" w:rsidRPr="00153074">
        <w:tc>
          <w:tcPr>
            <w:tcW w:w="2244"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rPr>
                <w:rFonts w:ascii="Arial" w:hAnsi="Arial" w:cs="Arial"/>
                <w:b/>
                <w:sz w:val="16"/>
                <w:szCs w:val="16"/>
                <w:lang w:val="es-ES_tradnl"/>
              </w:rPr>
            </w:pPr>
            <w:r w:rsidRPr="00153074">
              <w:rPr>
                <w:rFonts w:ascii="Arial" w:hAnsi="Arial" w:cs="Arial"/>
                <w:b/>
                <w:sz w:val="16"/>
                <w:szCs w:val="16"/>
                <w:lang w:val="es-ES_tradnl"/>
              </w:rPr>
              <w:t xml:space="preserve">Papel de la entidad pública </w:t>
            </w:r>
            <w:r w:rsidR="00B1268C" w:rsidRPr="00153074">
              <w:rPr>
                <w:rFonts w:ascii="Arial" w:hAnsi="Arial" w:cs="Arial"/>
                <w:b/>
                <w:sz w:val="16"/>
                <w:szCs w:val="16"/>
                <w:lang w:val="es-ES_tradnl"/>
              </w:rPr>
              <w:t>&gt;</w:t>
            </w:r>
          </w:p>
          <w:p w:rsidR="00B1268C" w:rsidRPr="00153074" w:rsidRDefault="001F2C9B" w:rsidP="00FF15C9">
            <w:pPr>
              <w:rPr>
                <w:rFonts w:ascii="Arial" w:hAnsi="Arial" w:cs="Arial"/>
                <w:b/>
                <w:sz w:val="16"/>
                <w:szCs w:val="16"/>
                <w:lang w:val="es-ES_tradnl"/>
              </w:rPr>
            </w:pPr>
            <w:r w:rsidRPr="00153074">
              <w:rPr>
                <w:rFonts w:ascii="Arial" w:hAnsi="Arial" w:cs="Arial"/>
                <w:b/>
                <w:sz w:val="16"/>
                <w:szCs w:val="16"/>
                <w:lang w:val="es-ES_tradnl"/>
              </w:rPr>
              <w:t>Papel de la entidad privada</w:t>
            </w:r>
          </w:p>
          <w:p w:rsidR="00731F08" w:rsidRPr="00153074" w:rsidRDefault="00731F08" w:rsidP="00FF15C9">
            <w:pPr>
              <w:rPr>
                <w:rFonts w:ascii="Arial" w:hAnsi="Arial" w:cs="Arial"/>
                <w:b/>
                <w:sz w:val="16"/>
                <w:szCs w:val="16"/>
                <w:lang w:val="es-ES_tradnl"/>
              </w:rPr>
            </w:pPr>
            <w:r w:rsidRPr="00153074">
              <w:rPr>
                <w:rFonts w:ascii="Arial" w:hAnsi="Arial" w:cs="Arial"/>
                <w:b/>
                <w:sz w:val="16"/>
                <w:szCs w:val="16"/>
                <w:lang w:val="es-ES_tradnl"/>
              </w:rPr>
              <w:t>v</w:t>
            </w:r>
          </w:p>
        </w:tc>
        <w:tc>
          <w:tcPr>
            <w:tcW w:w="1324"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b/>
                <w:sz w:val="16"/>
                <w:szCs w:val="16"/>
                <w:lang w:val="es-ES_tradnl"/>
              </w:rPr>
            </w:pPr>
            <w:r w:rsidRPr="00153074">
              <w:rPr>
                <w:rFonts w:ascii="Arial" w:hAnsi="Arial" w:cs="Arial"/>
                <w:b/>
                <w:sz w:val="16"/>
                <w:szCs w:val="16"/>
                <w:lang w:val="es-ES_tradnl"/>
              </w:rPr>
              <w:t>Donante</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b/>
                <w:sz w:val="16"/>
                <w:szCs w:val="16"/>
                <w:lang w:val="es-ES_tradnl"/>
              </w:rPr>
            </w:pPr>
            <w:r w:rsidRPr="00153074">
              <w:rPr>
                <w:rFonts w:ascii="Arial" w:hAnsi="Arial" w:cs="Arial"/>
                <w:b/>
                <w:sz w:val="16"/>
                <w:szCs w:val="16"/>
                <w:lang w:val="es-ES_tradnl"/>
              </w:rPr>
              <w:t>Acreedor</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b/>
                <w:sz w:val="16"/>
                <w:szCs w:val="16"/>
                <w:lang w:val="es-ES_tradnl"/>
              </w:rPr>
            </w:pPr>
            <w:r w:rsidRPr="00153074">
              <w:rPr>
                <w:rFonts w:ascii="Arial" w:hAnsi="Arial" w:cs="Arial"/>
                <w:b/>
                <w:sz w:val="16"/>
                <w:szCs w:val="16"/>
                <w:lang w:val="es-ES_tradnl"/>
              </w:rPr>
              <w:t>Accionista</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b/>
                <w:sz w:val="16"/>
                <w:szCs w:val="16"/>
                <w:lang w:val="es-ES_tradnl"/>
              </w:rPr>
            </w:pPr>
            <w:r w:rsidRPr="00153074">
              <w:rPr>
                <w:rFonts w:ascii="Arial" w:hAnsi="Arial" w:cs="Arial"/>
                <w:b/>
                <w:sz w:val="16"/>
                <w:szCs w:val="16"/>
                <w:lang w:val="es-ES_tradnl"/>
              </w:rPr>
              <w:t>Cliente</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b/>
                <w:sz w:val="16"/>
                <w:szCs w:val="16"/>
                <w:lang w:val="es-ES_tradnl"/>
              </w:rPr>
            </w:pPr>
            <w:r w:rsidRPr="00153074">
              <w:rPr>
                <w:rFonts w:ascii="Arial" w:hAnsi="Arial" w:cs="Arial"/>
                <w:b/>
                <w:sz w:val="16"/>
                <w:szCs w:val="16"/>
                <w:lang w:val="es-ES_tradnl"/>
              </w:rPr>
              <w:t>Asegurador</w:t>
            </w:r>
          </w:p>
        </w:tc>
      </w:tr>
      <w:tr w:rsidR="00B1268C" w:rsidRPr="00153074">
        <w:tc>
          <w:tcPr>
            <w:tcW w:w="2244"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rPr>
                <w:rFonts w:ascii="Arial" w:hAnsi="Arial" w:cs="Arial"/>
                <w:b/>
                <w:sz w:val="16"/>
                <w:szCs w:val="16"/>
                <w:lang w:val="es-ES_tradnl"/>
              </w:rPr>
            </w:pPr>
            <w:r w:rsidRPr="00153074">
              <w:rPr>
                <w:rFonts w:ascii="Arial" w:hAnsi="Arial" w:cs="Arial"/>
                <w:b/>
                <w:sz w:val="16"/>
                <w:szCs w:val="16"/>
                <w:lang w:val="es-ES_tradnl"/>
              </w:rPr>
              <w:t>Opera</w:t>
            </w:r>
            <w:r w:rsidR="001F2C9B" w:rsidRPr="00153074">
              <w:rPr>
                <w:rFonts w:ascii="Arial" w:hAnsi="Arial" w:cs="Arial"/>
                <w:b/>
                <w:sz w:val="16"/>
                <w:szCs w:val="16"/>
                <w:lang w:val="es-ES_tradnl"/>
              </w:rPr>
              <w:t>dor de un proyecto lucrativo</w:t>
            </w:r>
          </w:p>
        </w:tc>
        <w:tc>
          <w:tcPr>
            <w:tcW w:w="1324"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sz w:val="16"/>
                <w:szCs w:val="16"/>
                <w:lang w:val="es-ES_tradnl"/>
              </w:rPr>
            </w:pPr>
            <w:r w:rsidRPr="00153074">
              <w:rPr>
                <w:rFonts w:ascii="Arial" w:hAnsi="Arial" w:cs="Arial"/>
                <w:sz w:val="16"/>
                <w:szCs w:val="16"/>
                <w:lang w:val="es-ES_tradnl"/>
              </w:rPr>
              <w:t>Subsidios</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sz w:val="16"/>
                <w:szCs w:val="16"/>
                <w:lang w:val="es-ES_tradnl"/>
              </w:rPr>
            </w:pPr>
            <w:r w:rsidRPr="00153074">
              <w:rPr>
                <w:rFonts w:ascii="Arial" w:hAnsi="Arial" w:cs="Arial"/>
                <w:sz w:val="16"/>
                <w:szCs w:val="16"/>
                <w:lang w:val="es-ES_tradnl"/>
              </w:rPr>
              <w:t>Préstamos</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4E7A38" w:rsidP="00FF15C9">
            <w:pPr>
              <w:jc w:val="center"/>
              <w:rPr>
                <w:rFonts w:ascii="Arial" w:hAnsi="Arial" w:cs="Arial"/>
                <w:sz w:val="16"/>
                <w:szCs w:val="16"/>
                <w:lang w:val="es-ES_tradnl"/>
              </w:rPr>
            </w:pPr>
            <w:r w:rsidRPr="00153074">
              <w:rPr>
                <w:rFonts w:ascii="Arial" w:hAnsi="Arial" w:cs="Arial"/>
                <w:sz w:val="16"/>
                <w:szCs w:val="16"/>
                <w:lang w:val="es-ES_tradnl"/>
              </w:rPr>
              <w:t>Inversión en acciones</w:t>
            </w:r>
            <w:r w:rsidR="00B1268C" w:rsidRPr="00153074">
              <w:rPr>
                <w:rFonts w:ascii="Arial" w:hAnsi="Arial" w:cs="Arial"/>
                <w:sz w:val="16"/>
                <w:szCs w:val="16"/>
                <w:lang w:val="es-ES_tradnl"/>
              </w:rPr>
              <w:t>;</w:t>
            </w:r>
          </w:p>
          <w:p w:rsidR="00B1268C" w:rsidRPr="00153074" w:rsidRDefault="00E54F55" w:rsidP="00FF15C9">
            <w:pPr>
              <w:jc w:val="center"/>
              <w:rPr>
                <w:rFonts w:ascii="Arial" w:hAnsi="Arial" w:cs="Arial"/>
                <w:sz w:val="16"/>
                <w:szCs w:val="16"/>
                <w:lang w:val="es-ES_tradnl"/>
              </w:rPr>
            </w:pPr>
            <w:r w:rsidRPr="00153074">
              <w:rPr>
                <w:rFonts w:ascii="Arial" w:hAnsi="Arial" w:cs="Arial"/>
                <w:sz w:val="16"/>
                <w:szCs w:val="16"/>
                <w:lang w:val="es-ES_tradnl"/>
              </w:rPr>
              <w:t>APP</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E54F55" w:rsidP="00FF15C9">
            <w:pPr>
              <w:jc w:val="center"/>
              <w:rPr>
                <w:rFonts w:ascii="Arial" w:hAnsi="Arial" w:cs="Arial"/>
                <w:sz w:val="16"/>
                <w:szCs w:val="16"/>
                <w:lang w:val="es-ES_tradnl"/>
              </w:rPr>
            </w:pPr>
            <w:r w:rsidRPr="00153074">
              <w:rPr>
                <w:rFonts w:ascii="Arial" w:hAnsi="Arial" w:cs="Arial"/>
                <w:sz w:val="16"/>
                <w:szCs w:val="16"/>
                <w:lang w:val="es-ES_tradnl"/>
              </w:rPr>
              <w:t>APP</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jc w:val="center"/>
              <w:rPr>
                <w:rFonts w:ascii="Arial" w:hAnsi="Arial" w:cs="Arial"/>
                <w:sz w:val="16"/>
                <w:szCs w:val="16"/>
                <w:lang w:val="es-ES_tradnl"/>
              </w:rPr>
            </w:pPr>
            <w:r w:rsidRPr="00153074">
              <w:rPr>
                <w:rFonts w:ascii="Arial" w:hAnsi="Arial" w:cs="Arial"/>
                <w:sz w:val="16"/>
                <w:szCs w:val="16"/>
                <w:lang w:val="es-ES_tradnl"/>
              </w:rPr>
              <w:t>Garantías públicas</w:t>
            </w:r>
            <w:r w:rsidR="00B1268C" w:rsidRPr="00153074">
              <w:rPr>
                <w:rFonts w:ascii="Arial" w:hAnsi="Arial" w:cs="Arial"/>
                <w:sz w:val="16"/>
                <w:szCs w:val="16"/>
                <w:lang w:val="es-ES_tradnl"/>
              </w:rPr>
              <w:t>,</w:t>
            </w:r>
            <w:r w:rsidRPr="00153074">
              <w:rPr>
                <w:rFonts w:ascii="Arial" w:hAnsi="Arial" w:cs="Arial"/>
                <w:sz w:val="16"/>
                <w:szCs w:val="16"/>
                <w:lang w:val="es-ES_tradnl"/>
              </w:rPr>
              <w:t xml:space="preserve"> crédito a la exportación</w:t>
            </w:r>
          </w:p>
        </w:tc>
      </w:tr>
      <w:tr w:rsidR="00B1268C" w:rsidRPr="00153074">
        <w:tc>
          <w:tcPr>
            <w:tcW w:w="2244"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rPr>
                <w:rFonts w:ascii="Arial" w:hAnsi="Arial" w:cs="Arial"/>
                <w:b/>
                <w:sz w:val="16"/>
                <w:szCs w:val="16"/>
                <w:lang w:val="es-ES_tradnl"/>
              </w:rPr>
            </w:pPr>
            <w:r w:rsidRPr="00153074">
              <w:rPr>
                <w:rFonts w:ascii="Arial" w:hAnsi="Arial" w:cs="Arial"/>
                <w:b/>
                <w:sz w:val="16"/>
                <w:szCs w:val="16"/>
                <w:lang w:val="es-ES_tradnl"/>
              </w:rPr>
              <w:t>Subcontratista de obras públicas</w:t>
            </w:r>
          </w:p>
        </w:tc>
        <w:tc>
          <w:tcPr>
            <w:tcW w:w="1324"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E54F55" w:rsidP="00FF15C9">
            <w:pPr>
              <w:jc w:val="center"/>
              <w:rPr>
                <w:rFonts w:ascii="Arial" w:hAnsi="Arial" w:cs="Arial"/>
                <w:sz w:val="16"/>
                <w:szCs w:val="16"/>
                <w:lang w:val="es-ES_tradnl"/>
              </w:rPr>
            </w:pPr>
            <w:r w:rsidRPr="00153074">
              <w:rPr>
                <w:rFonts w:ascii="Arial" w:hAnsi="Arial" w:cs="Arial"/>
                <w:sz w:val="16"/>
                <w:szCs w:val="16"/>
                <w:lang w:val="es-ES_tradnl"/>
              </w:rPr>
              <w:t>APP</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1306E9" w:rsidP="00FF15C9">
            <w:pPr>
              <w:jc w:val="center"/>
              <w:rPr>
                <w:rFonts w:ascii="Arial" w:hAnsi="Arial" w:cs="Arial"/>
                <w:sz w:val="16"/>
                <w:szCs w:val="16"/>
                <w:lang w:val="es-ES_tradnl"/>
              </w:rPr>
            </w:pPr>
            <w:r w:rsidRPr="00153074">
              <w:rPr>
                <w:rFonts w:ascii="Arial" w:hAnsi="Arial" w:cs="Arial"/>
                <w:sz w:val="16"/>
                <w:szCs w:val="16"/>
                <w:lang w:val="es-ES_tradnl"/>
              </w:rPr>
              <w:t>Contratación pública</w:t>
            </w:r>
            <w:r w:rsidR="00B1268C" w:rsidRPr="00153074">
              <w:rPr>
                <w:rFonts w:ascii="Arial" w:hAnsi="Arial" w:cs="Arial"/>
                <w:sz w:val="16"/>
                <w:szCs w:val="16"/>
                <w:lang w:val="es-ES_tradnl"/>
              </w:rPr>
              <w:t>;</w:t>
            </w:r>
          </w:p>
          <w:p w:rsidR="00B1268C" w:rsidRPr="00153074" w:rsidRDefault="00E54F55" w:rsidP="00FF15C9">
            <w:pPr>
              <w:jc w:val="center"/>
              <w:rPr>
                <w:rFonts w:ascii="Arial" w:hAnsi="Arial" w:cs="Arial"/>
                <w:sz w:val="16"/>
                <w:szCs w:val="16"/>
                <w:lang w:val="es-ES_tradnl"/>
              </w:rPr>
            </w:pPr>
            <w:r w:rsidRPr="00153074">
              <w:rPr>
                <w:rFonts w:ascii="Arial" w:hAnsi="Arial" w:cs="Arial"/>
                <w:sz w:val="16"/>
                <w:szCs w:val="16"/>
                <w:lang w:val="es-ES_tradnl"/>
              </w:rPr>
              <w:t>APP</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r>
      <w:tr w:rsidR="00B1268C" w:rsidRPr="00153074">
        <w:tc>
          <w:tcPr>
            <w:tcW w:w="2244" w:type="dxa"/>
            <w:tcBorders>
              <w:top w:val="single" w:sz="4" w:space="0" w:color="auto"/>
              <w:left w:val="single" w:sz="4" w:space="0" w:color="auto"/>
              <w:bottom w:val="single" w:sz="4" w:space="0" w:color="auto"/>
              <w:right w:val="single" w:sz="4" w:space="0" w:color="auto"/>
            </w:tcBorders>
          </w:tcPr>
          <w:p w:rsidR="00B1268C" w:rsidRPr="00153074" w:rsidRDefault="001F2C9B" w:rsidP="00FF15C9">
            <w:pPr>
              <w:rPr>
                <w:rFonts w:ascii="Arial" w:hAnsi="Arial" w:cs="Arial"/>
                <w:b/>
                <w:sz w:val="16"/>
                <w:szCs w:val="16"/>
                <w:lang w:val="es-ES_tradnl"/>
              </w:rPr>
            </w:pPr>
            <w:r w:rsidRPr="00153074">
              <w:rPr>
                <w:rFonts w:ascii="Arial" w:hAnsi="Arial" w:cs="Arial"/>
                <w:b/>
                <w:sz w:val="16"/>
                <w:szCs w:val="16"/>
                <w:lang w:val="es-ES_tradnl"/>
              </w:rPr>
              <w:t>Receptor de beneficios no comerciales</w:t>
            </w:r>
          </w:p>
        </w:tc>
        <w:tc>
          <w:tcPr>
            <w:tcW w:w="1324" w:type="dxa"/>
            <w:tcBorders>
              <w:top w:val="single" w:sz="4" w:space="0" w:color="auto"/>
              <w:left w:val="single" w:sz="4" w:space="0" w:color="auto"/>
              <w:bottom w:val="single" w:sz="4" w:space="0" w:color="auto"/>
              <w:right w:val="single" w:sz="4" w:space="0" w:color="auto"/>
            </w:tcBorders>
          </w:tcPr>
          <w:p w:rsidR="00B1268C" w:rsidRPr="00153074" w:rsidRDefault="00615B9B" w:rsidP="00FF15C9">
            <w:pPr>
              <w:jc w:val="center"/>
              <w:rPr>
                <w:rFonts w:ascii="Arial" w:hAnsi="Arial" w:cs="Arial"/>
                <w:sz w:val="16"/>
                <w:szCs w:val="16"/>
                <w:lang w:val="es-ES_tradnl"/>
              </w:rPr>
            </w:pPr>
            <w:r w:rsidRPr="00153074">
              <w:rPr>
                <w:rFonts w:ascii="Arial" w:hAnsi="Arial" w:cs="Arial"/>
                <w:sz w:val="16"/>
                <w:szCs w:val="16"/>
                <w:lang w:val="es-ES_tradnl"/>
              </w:rPr>
              <w:t xml:space="preserve">Asociaciones locales y </w:t>
            </w:r>
            <w:r w:rsidRPr="00153074">
              <w:rPr>
                <w:rFonts w:ascii="Arial" w:hAnsi="Arial" w:cs="Arial"/>
                <w:spacing w:val="-8"/>
                <w:sz w:val="16"/>
                <w:szCs w:val="16"/>
                <w:lang w:val="es-ES_tradnl"/>
              </w:rPr>
              <w:t>establecimiento</w:t>
            </w:r>
            <w:r w:rsidRPr="00153074">
              <w:rPr>
                <w:rFonts w:ascii="Arial" w:hAnsi="Arial" w:cs="Arial"/>
                <w:sz w:val="16"/>
                <w:szCs w:val="16"/>
                <w:lang w:val="es-ES_tradnl"/>
              </w:rPr>
              <w:t xml:space="preserve"> de redes</w:t>
            </w:r>
            <w:r w:rsidR="00B1268C" w:rsidRPr="00153074">
              <w:rPr>
                <w:rFonts w:ascii="Arial" w:hAnsi="Arial" w:cs="Arial"/>
                <w:sz w:val="16"/>
                <w:szCs w:val="16"/>
                <w:lang w:val="es-ES_tradnl"/>
              </w:rPr>
              <w:t>;</w:t>
            </w:r>
          </w:p>
          <w:p w:rsidR="00B1268C" w:rsidRPr="00153074" w:rsidRDefault="001F2C9B" w:rsidP="00FF15C9">
            <w:pPr>
              <w:jc w:val="center"/>
              <w:rPr>
                <w:rFonts w:ascii="Arial" w:hAnsi="Arial" w:cs="Arial"/>
                <w:sz w:val="16"/>
                <w:szCs w:val="16"/>
                <w:lang w:val="es-ES_tradnl"/>
              </w:rPr>
            </w:pPr>
            <w:r w:rsidRPr="00153074">
              <w:rPr>
                <w:rFonts w:ascii="Arial" w:hAnsi="Arial" w:cs="Arial"/>
                <w:sz w:val="16"/>
                <w:szCs w:val="16"/>
                <w:lang w:val="es-ES_tradnl"/>
              </w:rPr>
              <w:t>desarrollo de capacidades</w:t>
            </w:r>
            <w:r w:rsidR="00B1268C" w:rsidRPr="00153074">
              <w:rPr>
                <w:rFonts w:ascii="Arial" w:hAnsi="Arial" w:cs="Arial"/>
                <w:sz w:val="16"/>
                <w:szCs w:val="16"/>
                <w:lang w:val="es-ES_tradnl"/>
              </w:rPr>
              <w:t>;</w:t>
            </w:r>
          </w:p>
          <w:p w:rsidR="00B1268C" w:rsidRPr="00153074" w:rsidRDefault="00CD2061" w:rsidP="00FF15C9">
            <w:pPr>
              <w:jc w:val="center"/>
              <w:rPr>
                <w:rFonts w:ascii="Arial" w:hAnsi="Arial" w:cs="Arial"/>
                <w:sz w:val="16"/>
                <w:szCs w:val="16"/>
                <w:lang w:val="es-ES_tradnl"/>
              </w:rPr>
            </w:pPr>
            <w:r w:rsidRPr="00153074">
              <w:rPr>
                <w:rFonts w:ascii="Arial" w:hAnsi="Arial" w:cs="Arial"/>
                <w:spacing w:val="-8"/>
                <w:sz w:val="16"/>
                <w:szCs w:val="16"/>
                <w:lang w:val="es-ES_tradnl"/>
              </w:rPr>
              <w:t>establecimiento</w:t>
            </w:r>
            <w:r w:rsidR="001F2C9B" w:rsidRPr="00153074">
              <w:rPr>
                <w:rFonts w:ascii="Arial" w:hAnsi="Arial" w:cs="Arial"/>
                <w:sz w:val="16"/>
                <w:szCs w:val="16"/>
                <w:lang w:val="es-ES_tradnl"/>
              </w:rPr>
              <w:t xml:space="preserve"> de normas</w:t>
            </w: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c>
          <w:tcPr>
            <w:tcW w:w="1325" w:type="dxa"/>
            <w:tcBorders>
              <w:top w:val="single" w:sz="4" w:space="0" w:color="auto"/>
              <w:left w:val="single" w:sz="4" w:space="0" w:color="auto"/>
              <w:bottom w:val="single" w:sz="4" w:space="0" w:color="auto"/>
              <w:right w:val="single" w:sz="4" w:space="0" w:color="auto"/>
            </w:tcBorders>
          </w:tcPr>
          <w:p w:rsidR="00B1268C" w:rsidRPr="00153074" w:rsidRDefault="00B1268C" w:rsidP="00FF15C9">
            <w:pPr>
              <w:jc w:val="center"/>
              <w:rPr>
                <w:rFonts w:ascii="Arial" w:hAnsi="Arial" w:cs="Arial"/>
                <w:sz w:val="16"/>
                <w:szCs w:val="16"/>
                <w:lang w:val="es-ES_tradnl"/>
              </w:rPr>
            </w:pPr>
          </w:p>
        </w:tc>
      </w:tr>
    </w:tbl>
    <w:p w:rsidR="00B1268C" w:rsidRPr="00153074" w:rsidRDefault="00B1268C" w:rsidP="007462FA">
      <w:pPr>
        <w:jc w:val="both"/>
        <w:rPr>
          <w:lang w:val="es-ES_tradnl"/>
        </w:rPr>
      </w:pPr>
    </w:p>
    <w:p w:rsidR="00B1268C" w:rsidRPr="00153074" w:rsidRDefault="00731F08" w:rsidP="007462FA">
      <w:pPr>
        <w:jc w:val="both"/>
        <w:rPr>
          <w:lang w:val="es-ES_tradnl"/>
        </w:rPr>
      </w:pPr>
      <w:r w:rsidRPr="00153074">
        <w:rPr>
          <w:lang w:val="es-ES_tradnl"/>
        </w:rPr>
        <w:t>El tipo de relación financiera o</w:t>
      </w:r>
      <w:r w:rsidR="00995D70" w:rsidRPr="00153074">
        <w:rPr>
          <w:lang w:val="es-ES_tradnl"/>
        </w:rPr>
        <w:t xml:space="preserve"> comercial determinará a su vez la función y responsabilidad de las entidades. A excepción de</w:t>
      </w:r>
      <w:r w:rsidR="00B1268C" w:rsidRPr="00153074">
        <w:rPr>
          <w:lang w:val="es-ES_tradnl"/>
        </w:rPr>
        <w:t xml:space="preserve"> </w:t>
      </w:r>
      <w:r w:rsidR="001306E9" w:rsidRPr="00153074">
        <w:rPr>
          <w:lang w:val="es-ES_tradnl"/>
        </w:rPr>
        <w:t>la contratación pública</w:t>
      </w:r>
      <w:r w:rsidR="00B1268C" w:rsidRPr="00153074">
        <w:rPr>
          <w:lang w:val="es-ES_tradnl"/>
        </w:rPr>
        <w:t xml:space="preserve"> </w:t>
      </w:r>
      <w:r w:rsidR="00995D70" w:rsidRPr="00153074">
        <w:rPr>
          <w:lang w:val="es-ES_tradnl"/>
        </w:rPr>
        <w:t>y</w:t>
      </w:r>
      <w:r w:rsidR="00B1268C" w:rsidRPr="00153074">
        <w:rPr>
          <w:lang w:val="es-ES_tradnl"/>
        </w:rPr>
        <w:t xml:space="preserve"> </w:t>
      </w:r>
      <w:r w:rsidR="001306E9" w:rsidRPr="00153074">
        <w:rPr>
          <w:lang w:val="es-ES_tradnl"/>
        </w:rPr>
        <w:t xml:space="preserve">las </w:t>
      </w:r>
      <w:r w:rsidR="00E54F55" w:rsidRPr="00153074">
        <w:rPr>
          <w:lang w:val="es-ES_tradnl"/>
        </w:rPr>
        <w:t>APP</w:t>
      </w:r>
      <w:r w:rsidR="00B1268C" w:rsidRPr="00153074">
        <w:rPr>
          <w:lang w:val="es-ES_tradnl"/>
        </w:rPr>
        <w:t xml:space="preserve">, </w:t>
      </w:r>
      <w:r w:rsidR="00995D70" w:rsidRPr="00153074">
        <w:rPr>
          <w:lang w:val="es-ES_tradnl"/>
        </w:rPr>
        <w:t xml:space="preserve">la entidad privada actúa siempre como receptora de apoyo público para </w:t>
      </w:r>
      <w:r w:rsidRPr="00153074">
        <w:rPr>
          <w:lang w:val="es-ES_tradnl"/>
        </w:rPr>
        <w:t>implementar</w:t>
      </w:r>
      <w:r w:rsidR="00995D70" w:rsidRPr="00153074">
        <w:rPr>
          <w:lang w:val="es-ES_tradnl"/>
        </w:rPr>
        <w:t xml:space="preserve"> un proyecto lucrativo</w:t>
      </w:r>
      <w:r w:rsidRPr="00153074">
        <w:rPr>
          <w:lang w:val="es-ES_tradnl"/>
        </w:rPr>
        <w:t xml:space="preserve"> exclusivamente </w:t>
      </w:r>
      <w:r w:rsidR="00995D70" w:rsidRPr="00153074">
        <w:rPr>
          <w:lang w:val="es-ES_tradnl"/>
        </w:rPr>
        <w:t>del sector privado: apoyo financiero (es decir subvenciones públicas, préstamos y ayudas</w:t>
      </w:r>
      <w:r w:rsidR="009F6457" w:rsidRPr="00153074">
        <w:rPr>
          <w:lang w:val="es-ES_tradnl"/>
        </w:rPr>
        <w:t xml:space="preserve"> a u</w:t>
      </w:r>
      <w:r w:rsidRPr="00153074">
        <w:rPr>
          <w:lang w:val="es-ES_tradnl"/>
        </w:rPr>
        <w:t>n proyecto exclusivamente privado</w:t>
      </w:r>
      <w:r w:rsidR="009F6457" w:rsidRPr="00153074">
        <w:rPr>
          <w:lang w:val="es-ES_tradnl"/>
        </w:rPr>
        <w:t xml:space="preserve">), </w:t>
      </w:r>
      <w:r w:rsidR="004E7A38" w:rsidRPr="00153074">
        <w:rPr>
          <w:lang w:val="es-ES_tradnl"/>
        </w:rPr>
        <w:t>inversión en acciones</w:t>
      </w:r>
      <w:r w:rsidR="00B1268C" w:rsidRPr="00153074">
        <w:rPr>
          <w:lang w:val="es-ES_tradnl"/>
        </w:rPr>
        <w:t xml:space="preserve"> (</w:t>
      </w:r>
      <w:r w:rsidR="00113E1F" w:rsidRPr="00153074">
        <w:rPr>
          <w:lang w:val="es-ES_tradnl"/>
        </w:rPr>
        <w:t>entidad pública que compra</w:t>
      </w:r>
      <w:r w:rsidR="009F6457" w:rsidRPr="00153074">
        <w:rPr>
          <w:lang w:val="es-ES_tradnl"/>
        </w:rPr>
        <w:t xml:space="preserve"> acciones en una entidad privada, ya sea una empresa o un</w:t>
      </w:r>
      <w:r w:rsidR="00B1268C" w:rsidRPr="00153074">
        <w:rPr>
          <w:lang w:val="es-ES_tradnl"/>
        </w:rPr>
        <w:t xml:space="preserve"> </w:t>
      </w:r>
      <w:r w:rsidR="009F6457" w:rsidRPr="00153074">
        <w:rPr>
          <w:lang w:val="es-ES_tradnl"/>
        </w:rPr>
        <w:t>fondo de capital privado</w:t>
      </w:r>
      <w:r w:rsidR="00B1268C" w:rsidRPr="00153074">
        <w:rPr>
          <w:lang w:val="es-ES_tradnl"/>
        </w:rPr>
        <w:t xml:space="preserve">), </w:t>
      </w:r>
      <w:r w:rsidR="009F6457" w:rsidRPr="00153074">
        <w:rPr>
          <w:lang w:val="es-ES_tradnl"/>
        </w:rPr>
        <w:t>asistencia financiera y seguro (programas de garantías públicas que cubren diversos riesgos de un proyecto privado: riesgos de incumplimiento crediticio,</w:t>
      </w:r>
      <w:r w:rsidR="00113E1F" w:rsidRPr="00153074">
        <w:rPr>
          <w:lang w:val="es-ES_tradnl"/>
        </w:rPr>
        <w:t xml:space="preserve"> de</w:t>
      </w:r>
      <w:r w:rsidR="00B1268C" w:rsidRPr="00153074">
        <w:rPr>
          <w:lang w:val="es-ES_tradnl"/>
        </w:rPr>
        <w:t xml:space="preserve"> </w:t>
      </w:r>
      <w:r w:rsidR="009F6457" w:rsidRPr="00153074">
        <w:rPr>
          <w:lang w:val="es-ES_tradnl"/>
        </w:rPr>
        <w:t>divisas, políticos, normativos).</w:t>
      </w:r>
    </w:p>
    <w:p w:rsidR="00B1268C" w:rsidRPr="00153074" w:rsidRDefault="00B1268C" w:rsidP="007462FA">
      <w:pPr>
        <w:jc w:val="both"/>
        <w:rPr>
          <w:rFonts w:ascii="Arial" w:hAnsi="Arial" w:cs="Arial"/>
          <w:sz w:val="20"/>
          <w:szCs w:val="20"/>
          <w:lang w:val="es-ES_tradnl"/>
        </w:rPr>
      </w:pPr>
    </w:p>
    <w:p w:rsidR="006B7FF7" w:rsidRPr="00153074" w:rsidRDefault="006B7FF7" w:rsidP="007462FA">
      <w:pPr>
        <w:jc w:val="both"/>
        <w:rPr>
          <w:lang w:val="es-ES_tradnl"/>
        </w:rPr>
      </w:pPr>
      <w:r w:rsidRPr="00153074">
        <w:rPr>
          <w:lang w:val="es-ES_tradnl"/>
        </w:rPr>
        <w:t xml:space="preserve">En el caso de </w:t>
      </w:r>
      <w:r w:rsidR="00113E1F" w:rsidRPr="00153074">
        <w:rPr>
          <w:lang w:val="es-ES_tradnl"/>
        </w:rPr>
        <w:t xml:space="preserve">la </w:t>
      </w:r>
      <w:r w:rsidR="001306E9" w:rsidRPr="00153074">
        <w:rPr>
          <w:lang w:val="es-ES_tradnl"/>
        </w:rPr>
        <w:t>contratación pública</w:t>
      </w:r>
      <w:r w:rsidRPr="00153074">
        <w:rPr>
          <w:lang w:val="es-ES_tradnl"/>
        </w:rPr>
        <w:t>,</w:t>
      </w:r>
      <w:r w:rsidR="005A3686" w:rsidRPr="00153074">
        <w:rPr>
          <w:lang w:val="es-ES_tradnl"/>
        </w:rPr>
        <w:t xml:space="preserve"> la entidad privada interviene como subcontratista o proveedor de servicios de un pr</w:t>
      </w:r>
      <w:r w:rsidR="00B76238" w:rsidRPr="00153074">
        <w:rPr>
          <w:lang w:val="es-ES_tradnl"/>
        </w:rPr>
        <w:t xml:space="preserve">oyecto público. La situación se complica con </w:t>
      </w:r>
      <w:r w:rsidR="005A3686" w:rsidRPr="00153074">
        <w:rPr>
          <w:lang w:val="es-ES_tradnl"/>
        </w:rPr>
        <w:t xml:space="preserve">las </w:t>
      </w:r>
      <w:r w:rsidR="00E54F55" w:rsidRPr="00153074">
        <w:rPr>
          <w:lang w:val="es-ES_tradnl"/>
        </w:rPr>
        <w:t>APP</w:t>
      </w:r>
      <w:r w:rsidR="005A3686" w:rsidRPr="00153074">
        <w:rPr>
          <w:lang w:val="es-ES_tradnl"/>
        </w:rPr>
        <w:t xml:space="preserve">, para las cuales el acuerdo de riesgo compartido y la </w:t>
      </w:r>
      <w:r w:rsidR="002A7792" w:rsidRPr="00153074">
        <w:rPr>
          <w:lang w:val="es-ES_tradnl"/>
        </w:rPr>
        <w:t>“</w:t>
      </w:r>
      <w:r w:rsidR="00113E1F" w:rsidRPr="00153074">
        <w:rPr>
          <w:lang w:val="es-ES_tradnl"/>
        </w:rPr>
        <w:t>propiedad</w:t>
      </w:r>
      <w:r w:rsidR="002A7792" w:rsidRPr="00153074">
        <w:rPr>
          <w:lang w:val="es-ES_tradnl"/>
        </w:rPr>
        <w:t>”</w:t>
      </w:r>
      <w:r w:rsidR="005A3686" w:rsidRPr="00153074">
        <w:rPr>
          <w:lang w:val="es-ES_tradnl"/>
        </w:rPr>
        <w:t xml:space="preserve"> del proyecto (independientemente de que el control sea privado o público</w:t>
      </w:r>
      <w:r w:rsidR="00113E1F" w:rsidRPr="00153074">
        <w:rPr>
          <w:lang w:val="es-ES_tradnl"/>
        </w:rPr>
        <w:t>)</w:t>
      </w:r>
      <w:r w:rsidR="005A3686" w:rsidRPr="00153074">
        <w:rPr>
          <w:lang w:val="es-ES_tradnl"/>
        </w:rPr>
        <w:t xml:space="preserve"> depende</w:t>
      </w:r>
      <w:r w:rsidR="00DB2CA3" w:rsidRPr="00153074">
        <w:rPr>
          <w:lang w:val="es-ES_tradnl"/>
        </w:rPr>
        <w:t>n</w:t>
      </w:r>
      <w:r w:rsidR="005A3686" w:rsidRPr="00153074">
        <w:rPr>
          <w:lang w:val="es-ES_tradnl"/>
        </w:rPr>
        <w:t xml:space="preserve"> de los acuerdos contractuales.</w:t>
      </w:r>
    </w:p>
    <w:p w:rsidR="005A3686" w:rsidRPr="00153074" w:rsidRDefault="005A3686" w:rsidP="007462FA">
      <w:pPr>
        <w:jc w:val="both"/>
        <w:rPr>
          <w:lang w:val="es-ES_tradnl"/>
        </w:rPr>
      </w:pPr>
    </w:p>
    <w:p w:rsidR="00B1268C" w:rsidRPr="00153074" w:rsidRDefault="005A3686" w:rsidP="007462FA">
      <w:pPr>
        <w:jc w:val="both"/>
        <w:rPr>
          <w:lang w:val="es-ES_tradnl"/>
        </w:rPr>
      </w:pPr>
      <w:r w:rsidRPr="00153074">
        <w:rPr>
          <w:lang w:val="es-ES_tradnl"/>
        </w:rPr>
        <w:t>Las asociaciones no comerciales tienen lugar cuando la entidad pública actúa como facilitador o co</w:t>
      </w:r>
      <w:r w:rsidR="00113E1F" w:rsidRPr="00153074">
        <w:rPr>
          <w:lang w:val="es-ES_tradnl"/>
        </w:rPr>
        <w:t xml:space="preserve">mo </w:t>
      </w:r>
      <w:r w:rsidRPr="00153074">
        <w:rPr>
          <w:lang w:val="es-ES_tradnl"/>
        </w:rPr>
        <w:t xml:space="preserve">operador de desarrollo de capacidades para beneficio directo de la entidad privada. </w:t>
      </w:r>
      <w:r w:rsidR="00B76238" w:rsidRPr="00153074">
        <w:rPr>
          <w:lang w:val="es-ES_tradnl"/>
        </w:rPr>
        <w:t>I</w:t>
      </w:r>
      <w:r w:rsidRPr="00153074">
        <w:rPr>
          <w:lang w:val="es-ES_tradnl"/>
        </w:rPr>
        <w:t xml:space="preserve">ncluyen asistencia técnica financiada por los donantes y subvenciones a la administración </w:t>
      </w:r>
      <w:r w:rsidR="00B76238" w:rsidRPr="00153074">
        <w:rPr>
          <w:lang w:val="es-ES_tradnl"/>
        </w:rPr>
        <w:t>pública</w:t>
      </w:r>
      <w:r w:rsidRPr="00153074">
        <w:rPr>
          <w:lang w:val="es-ES_tradnl"/>
        </w:rPr>
        <w:t xml:space="preserve"> receptora, para </w:t>
      </w:r>
      <w:r w:rsidR="00FC2B00" w:rsidRPr="00153074">
        <w:rPr>
          <w:lang w:val="es-ES_tradnl"/>
        </w:rPr>
        <w:t>contribuir al desarrollo de</w:t>
      </w:r>
      <w:r w:rsidRPr="00153074">
        <w:rPr>
          <w:lang w:val="es-ES_tradnl"/>
        </w:rPr>
        <w:t xml:space="preserve"> </w:t>
      </w:r>
      <w:r w:rsidR="002A7792" w:rsidRPr="00153074">
        <w:rPr>
          <w:lang w:val="es-ES_tradnl"/>
        </w:rPr>
        <w:t>“</w:t>
      </w:r>
      <w:r w:rsidRPr="00153074">
        <w:rPr>
          <w:lang w:val="es-ES_tradnl"/>
        </w:rPr>
        <w:t>alianzas</w:t>
      </w:r>
      <w:r w:rsidR="002A7792" w:rsidRPr="00153074">
        <w:rPr>
          <w:lang w:val="es-ES_tradnl"/>
        </w:rPr>
        <w:t>”</w:t>
      </w:r>
      <w:r w:rsidRPr="00153074">
        <w:rPr>
          <w:lang w:val="es-ES_tradnl"/>
        </w:rPr>
        <w:t xml:space="preserve"> y foros para que los grupos empresariales</w:t>
      </w:r>
      <w:r w:rsidR="0078125A" w:rsidRPr="00153074">
        <w:rPr>
          <w:lang w:val="es-ES_tradnl"/>
        </w:rPr>
        <w:t xml:space="preserve"> tengan un mejor acceso a los responsables políticos o al proceso de contratación pública</w:t>
      </w:r>
      <w:r w:rsidR="00B1268C" w:rsidRPr="00153074">
        <w:rPr>
          <w:lang w:val="es-ES_tradnl"/>
        </w:rPr>
        <w:t>, etc.</w:t>
      </w:r>
    </w:p>
    <w:p w:rsidR="00B1268C" w:rsidRPr="00153074" w:rsidRDefault="00B1268C" w:rsidP="007462FA">
      <w:pPr>
        <w:jc w:val="both"/>
        <w:rPr>
          <w:lang w:val="es-ES_tradnl"/>
        </w:rPr>
      </w:pPr>
      <w:bookmarkStart w:id="15" w:name="_Toc348354524"/>
    </w:p>
    <w:p w:rsidR="00B1268C" w:rsidRPr="00153074" w:rsidRDefault="000836C0" w:rsidP="00C90AC0">
      <w:pPr>
        <w:pStyle w:val="Heading2"/>
        <w:rPr>
          <w:lang w:val="es-ES_tradnl"/>
        </w:rPr>
      </w:pPr>
      <w:bookmarkStart w:id="16" w:name="_Toc369604903"/>
      <w:bookmarkStart w:id="17" w:name="_Toc230681459"/>
      <w:bookmarkStart w:id="18" w:name="_Toc359331968"/>
      <w:r w:rsidRPr="00153074">
        <w:rPr>
          <w:lang w:val="es-ES_tradnl"/>
        </w:rPr>
        <w:t xml:space="preserve">Relaciones </w:t>
      </w:r>
      <w:r w:rsidR="002C7B14" w:rsidRPr="00153074">
        <w:rPr>
          <w:lang w:val="es-ES_tradnl"/>
        </w:rPr>
        <w:t>comerciales</w:t>
      </w:r>
      <w:bookmarkEnd w:id="16"/>
      <w:r w:rsidRPr="00153074">
        <w:rPr>
          <w:lang w:val="es-ES_tradnl"/>
        </w:rPr>
        <w:t xml:space="preserve"> </w:t>
      </w:r>
      <w:bookmarkEnd w:id="17"/>
      <w:bookmarkEnd w:id="18"/>
    </w:p>
    <w:bookmarkEnd w:id="15"/>
    <w:p w:rsidR="000836C0" w:rsidRPr="00153074" w:rsidRDefault="000836C0" w:rsidP="007462FA">
      <w:pPr>
        <w:jc w:val="both"/>
        <w:rPr>
          <w:lang w:val="es-ES_tradnl"/>
        </w:rPr>
      </w:pPr>
      <w:r w:rsidRPr="00153074">
        <w:rPr>
          <w:lang w:val="es-ES_tradnl"/>
        </w:rPr>
        <w:t xml:space="preserve">Las relaciones </w:t>
      </w:r>
      <w:r w:rsidR="00FC2B00" w:rsidRPr="00153074">
        <w:rPr>
          <w:lang w:val="es-ES_tradnl"/>
        </w:rPr>
        <w:t>comerciales</w:t>
      </w:r>
      <w:r w:rsidRPr="00153074">
        <w:rPr>
          <w:lang w:val="es-ES_tradnl"/>
        </w:rPr>
        <w:t xml:space="preserve"> implican </w:t>
      </w:r>
      <w:r w:rsidR="00027E5F" w:rsidRPr="00153074">
        <w:rPr>
          <w:lang w:val="es-ES_tradnl"/>
        </w:rPr>
        <w:t>proporcionar</w:t>
      </w:r>
      <w:r w:rsidRPr="00153074">
        <w:rPr>
          <w:lang w:val="es-ES_tradnl"/>
        </w:rPr>
        <w:t xml:space="preserve"> apoyo público a proyectos del sector privado </w:t>
      </w:r>
      <w:r w:rsidR="00B76238" w:rsidRPr="00153074">
        <w:rPr>
          <w:lang w:val="es-ES_tradnl"/>
        </w:rPr>
        <w:t>por medio de</w:t>
      </w:r>
      <w:r w:rsidRPr="00153074">
        <w:rPr>
          <w:lang w:val="es-ES_tradnl"/>
        </w:rPr>
        <w:t xml:space="preserve"> préstamos y subvenciones, programas y garantías de seguro (que cubren los riesgos del proyecto que ningún asegurador privado </w:t>
      </w:r>
      <w:r w:rsidR="00027E5F" w:rsidRPr="00153074">
        <w:rPr>
          <w:lang w:val="es-ES_tradnl"/>
        </w:rPr>
        <w:t>d</w:t>
      </w:r>
      <w:r w:rsidRPr="00153074">
        <w:rPr>
          <w:lang w:val="es-ES_tradnl"/>
        </w:rPr>
        <w:t>el mercado puede cubrir, al menos a un precio razonable), o media</w:t>
      </w:r>
      <w:r w:rsidR="00027E5F" w:rsidRPr="00153074">
        <w:rPr>
          <w:lang w:val="es-ES_tradnl"/>
        </w:rPr>
        <w:t>nte inversiones</w:t>
      </w:r>
      <w:r w:rsidRPr="00153074">
        <w:rPr>
          <w:lang w:val="es-ES_tradnl"/>
        </w:rPr>
        <w:t xml:space="preserve"> en acciones (accionista minoritario</w:t>
      </w:r>
      <w:r w:rsidR="00B76238" w:rsidRPr="00153074">
        <w:rPr>
          <w:lang w:val="es-ES_tradnl"/>
        </w:rPr>
        <w:t>,</w:t>
      </w:r>
      <w:r w:rsidRPr="00153074">
        <w:rPr>
          <w:lang w:val="es-ES_tradnl"/>
        </w:rPr>
        <w:t xml:space="preserve"> en la mayoría de los casos sin derecho a voto). Alternativamente pueden implicar un proyecto </w:t>
      </w:r>
      <w:r w:rsidR="00FC2B00" w:rsidRPr="00153074">
        <w:rPr>
          <w:lang w:val="es-ES_tradnl"/>
        </w:rPr>
        <w:t>exclusivamente</w:t>
      </w:r>
      <w:r w:rsidRPr="00153074">
        <w:rPr>
          <w:lang w:val="es-ES_tradnl"/>
        </w:rPr>
        <w:t xml:space="preserve"> público en</w:t>
      </w:r>
      <w:r w:rsidR="00B76238" w:rsidRPr="00153074">
        <w:rPr>
          <w:lang w:val="es-ES_tradnl"/>
        </w:rPr>
        <w:t xml:space="preserve"> el que la entidad privada actúe</w:t>
      </w:r>
      <w:r w:rsidRPr="00153074">
        <w:rPr>
          <w:lang w:val="es-ES_tradnl"/>
        </w:rPr>
        <w:t xml:space="preserve"> como subcontratista o proveedor de servicios (</w:t>
      </w:r>
      <w:r w:rsidR="00FC2B00" w:rsidRPr="00153074">
        <w:rPr>
          <w:lang w:val="es-ES_tradnl"/>
        </w:rPr>
        <w:t xml:space="preserve">como es el </w:t>
      </w:r>
      <w:r w:rsidRPr="00153074">
        <w:rPr>
          <w:lang w:val="es-ES_tradnl"/>
        </w:rPr>
        <w:t xml:space="preserve">caso de </w:t>
      </w:r>
      <w:r w:rsidR="00FC2B00" w:rsidRPr="00153074">
        <w:rPr>
          <w:lang w:val="es-ES_tradnl"/>
        </w:rPr>
        <w:t xml:space="preserve">la </w:t>
      </w:r>
      <w:r w:rsidRPr="00153074">
        <w:rPr>
          <w:lang w:val="es-ES_tradnl"/>
        </w:rPr>
        <w:t xml:space="preserve">contratación pública tradicional) o pueden ser una </w:t>
      </w:r>
      <w:r w:rsidR="00027E5F" w:rsidRPr="00153074">
        <w:rPr>
          <w:lang w:val="es-ES_tradnl"/>
        </w:rPr>
        <w:t>combinación de ambos</w:t>
      </w:r>
      <w:r w:rsidRPr="00153074">
        <w:rPr>
          <w:lang w:val="es-ES_tradnl"/>
        </w:rPr>
        <w:t xml:space="preserve"> enfoques, como es el caso de las </w:t>
      </w:r>
      <w:r w:rsidR="00E54F55" w:rsidRPr="00153074">
        <w:rPr>
          <w:lang w:val="es-ES_tradnl"/>
        </w:rPr>
        <w:t>APP</w:t>
      </w:r>
      <w:r w:rsidR="00FD39ED" w:rsidRPr="00153074">
        <w:rPr>
          <w:lang w:val="es-ES_tradnl"/>
        </w:rPr>
        <w:t xml:space="preserve">. </w:t>
      </w:r>
      <w:r w:rsidR="00BB5612" w:rsidRPr="00153074">
        <w:rPr>
          <w:lang w:val="es-ES_tradnl"/>
        </w:rPr>
        <w:t>En l</w:t>
      </w:r>
      <w:r w:rsidRPr="00153074">
        <w:rPr>
          <w:lang w:val="es-ES_tradnl"/>
        </w:rPr>
        <w:t xml:space="preserve">a cooperación </w:t>
      </w:r>
      <w:r w:rsidR="00FC2B00" w:rsidRPr="00153074">
        <w:rPr>
          <w:lang w:val="es-ES_tradnl"/>
        </w:rPr>
        <w:t>comercial</w:t>
      </w:r>
      <w:r w:rsidR="00FD39ED" w:rsidRPr="00153074">
        <w:rPr>
          <w:lang w:val="es-ES_tradnl"/>
        </w:rPr>
        <w:t xml:space="preserve"> es probable que </w:t>
      </w:r>
      <w:r w:rsidR="00BB5612" w:rsidRPr="00153074">
        <w:rPr>
          <w:lang w:val="es-ES_tradnl"/>
        </w:rPr>
        <w:t>participen</w:t>
      </w:r>
      <w:r w:rsidR="00FD39ED" w:rsidRPr="00153074">
        <w:rPr>
          <w:lang w:val="es-ES_tradnl"/>
        </w:rPr>
        <w:t xml:space="preserve"> IFD y bancos públicos</w:t>
      </w:r>
      <w:r w:rsidR="000B3E65" w:rsidRPr="00153074">
        <w:rPr>
          <w:lang w:val="es-ES_tradnl"/>
        </w:rPr>
        <w:t>, y</w:t>
      </w:r>
      <w:r w:rsidR="00DB2CA3" w:rsidRPr="00153074">
        <w:rPr>
          <w:lang w:val="es-ES_tradnl"/>
        </w:rPr>
        <w:t xml:space="preserve"> </w:t>
      </w:r>
      <w:r w:rsidR="00FD39ED" w:rsidRPr="00153074">
        <w:rPr>
          <w:lang w:val="es-ES_tradnl"/>
        </w:rPr>
        <w:t xml:space="preserve">menos probable que </w:t>
      </w:r>
      <w:r w:rsidR="00BB5612" w:rsidRPr="00153074">
        <w:rPr>
          <w:lang w:val="es-ES_tradnl"/>
        </w:rPr>
        <w:t>participen</w:t>
      </w:r>
      <w:r w:rsidR="00FD39ED" w:rsidRPr="00153074">
        <w:rPr>
          <w:lang w:val="es-ES_tradnl"/>
        </w:rPr>
        <w:t xml:space="preserve"> agencias de la ayuda.</w:t>
      </w:r>
    </w:p>
    <w:p w:rsidR="00B1268C" w:rsidRPr="00153074" w:rsidRDefault="00B1268C" w:rsidP="008D3287">
      <w:pPr>
        <w:rPr>
          <w:lang w:val="es-ES_tradnl"/>
        </w:rPr>
      </w:pPr>
    </w:p>
    <w:p w:rsidR="00B1268C" w:rsidRPr="00153074" w:rsidRDefault="008E108A" w:rsidP="007462FA">
      <w:pPr>
        <w:pStyle w:val="Heading3"/>
        <w:rPr>
          <w:lang w:val="es-ES_tradnl"/>
        </w:rPr>
      </w:pPr>
      <w:bookmarkStart w:id="19" w:name="_Toc359331969"/>
      <w:bookmarkStart w:id="20" w:name="_Toc369604904"/>
      <w:r w:rsidRPr="00153074">
        <w:rPr>
          <w:lang w:val="es-ES_tradnl"/>
        </w:rPr>
        <w:t>Asistencia financiera e inversiones</w:t>
      </w:r>
      <w:bookmarkEnd w:id="19"/>
      <w:bookmarkEnd w:id="20"/>
    </w:p>
    <w:p w:rsidR="008E108A" w:rsidRPr="00153074" w:rsidRDefault="008E108A" w:rsidP="007462FA">
      <w:pPr>
        <w:jc w:val="both"/>
        <w:rPr>
          <w:lang w:val="es-ES_tradnl"/>
        </w:rPr>
      </w:pPr>
      <w:r w:rsidRPr="00153074">
        <w:rPr>
          <w:lang w:val="es-ES_tradnl"/>
        </w:rPr>
        <w:t xml:space="preserve">Los </w:t>
      </w:r>
      <w:r w:rsidRPr="00153074">
        <w:rPr>
          <w:i/>
          <w:lang w:val="es-ES_tradnl"/>
        </w:rPr>
        <w:t xml:space="preserve">préstamos y subvenciones </w:t>
      </w:r>
      <w:r w:rsidRPr="00153074">
        <w:rPr>
          <w:lang w:val="es-ES_tradnl"/>
        </w:rPr>
        <w:t xml:space="preserve">son históricamente la forma más </w:t>
      </w:r>
      <w:r w:rsidR="0091679C" w:rsidRPr="00153074">
        <w:rPr>
          <w:lang w:val="es-ES_tradnl"/>
        </w:rPr>
        <w:t>común</w:t>
      </w:r>
      <w:r w:rsidRPr="00153074">
        <w:rPr>
          <w:lang w:val="es-ES_tradnl"/>
        </w:rPr>
        <w:t xml:space="preserve"> de actividad del sector privado en </w:t>
      </w:r>
      <w:r w:rsidR="0091679C" w:rsidRPr="00153074">
        <w:rPr>
          <w:lang w:val="es-ES_tradnl"/>
        </w:rPr>
        <w:t xml:space="preserve">el </w:t>
      </w:r>
      <w:r w:rsidRPr="00153074">
        <w:rPr>
          <w:lang w:val="es-ES_tradnl"/>
        </w:rPr>
        <w:t xml:space="preserve">desarrollo. Una empresa o fondo del sector privado es un receptor directo de préstamos públicos – por lo general a una tasa de interés rebajada </w:t>
      </w:r>
      <w:r w:rsidR="005E7293" w:rsidRPr="00153074">
        <w:rPr>
          <w:lang w:val="es-ES_tradnl"/>
        </w:rPr>
        <w:t>–</w:t>
      </w:r>
      <w:r w:rsidRPr="00153074">
        <w:rPr>
          <w:lang w:val="es-ES_tradnl"/>
        </w:rPr>
        <w:t xml:space="preserve">, </w:t>
      </w:r>
      <w:r w:rsidR="000979D9" w:rsidRPr="00153074">
        <w:rPr>
          <w:lang w:val="es-ES_tradnl"/>
        </w:rPr>
        <w:t xml:space="preserve">de </w:t>
      </w:r>
      <w:r w:rsidRPr="00153074">
        <w:rPr>
          <w:lang w:val="es-ES_tradnl"/>
        </w:rPr>
        <w:t xml:space="preserve">subvenciones o </w:t>
      </w:r>
      <w:r w:rsidR="000979D9" w:rsidRPr="00153074">
        <w:rPr>
          <w:lang w:val="es-ES_tradnl"/>
        </w:rPr>
        <w:t xml:space="preserve">de </w:t>
      </w:r>
      <w:r w:rsidRPr="00153074">
        <w:rPr>
          <w:lang w:val="es-ES_tradnl"/>
        </w:rPr>
        <w:t>una combinación de ambos (préstamos s</w:t>
      </w:r>
      <w:r w:rsidR="0091679C" w:rsidRPr="00153074">
        <w:rPr>
          <w:lang w:val="es-ES_tradnl"/>
        </w:rPr>
        <w:t>ubvencionados a bajo interés). El operador p</w:t>
      </w:r>
      <w:r w:rsidRPr="00153074">
        <w:rPr>
          <w:lang w:val="es-ES_tradnl"/>
        </w:rPr>
        <w:t xml:space="preserve">rivado </w:t>
      </w:r>
      <w:r w:rsidR="0091679C" w:rsidRPr="00153074">
        <w:rPr>
          <w:lang w:val="es-ES_tradnl"/>
        </w:rPr>
        <w:t xml:space="preserve">controla </w:t>
      </w:r>
      <w:r w:rsidR="000979D9" w:rsidRPr="00153074">
        <w:rPr>
          <w:lang w:val="es-ES_tradnl"/>
        </w:rPr>
        <w:t>com</w:t>
      </w:r>
      <w:r w:rsidR="0091679C" w:rsidRPr="00153074">
        <w:rPr>
          <w:lang w:val="es-ES_tradnl"/>
        </w:rPr>
        <w:t>ple</w:t>
      </w:r>
      <w:r w:rsidR="000979D9" w:rsidRPr="00153074">
        <w:rPr>
          <w:lang w:val="es-ES_tradnl"/>
        </w:rPr>
        <w:t>t</w:t>
      </w:r>
      <w:r w:rsidR="0091679C" w:rsidRPr="00153074">
        <w:rPr>
          <w:lang w:val="es-ES_tradnl"/>
        </w:rPr>
        <w:t>amente</w:t>
      </w:r>
      <w:r w:rsidRPr="00153074">
        <w:rPr>
          <w:lang w:val="es-ES_tradnl"/>
        </w:rPr>
        <w:t xml:space="preserve"> la inversión, gesti</w:t>
      </w:r>
      <w:r w:rsidR="0091679C" w:rsidRPr="00153074">
        <w:rPr>
          <w:lang w:val="es-ES_tradnl"/>
        </w:rPr>
        <w:t>ona e</w:t>
      </w:r>
      <w:r w:rsidRPr="00153074">
        <w:rPr>
          <w:lang w:val="es-ES_tradnl"/>
        </w:rPr>
        <w:t>l diseño e implementación de los proyectos y asume los riesgos. La entidad pública ejerce una función de apoyo, normalmente como acreedor.</w:t>
      </w:r>
      <w:r w:rsidR="005E7293" w:rsidRPr="00153074">
        <w:rPr>
          <w:lang w:val="es-ES_tradnl"/>
        </w:rPr>
        <w:t xml:space="preserve"> Puede citarse c</w:t>
      </w:r>
      <w:r w:rsidR="00E42841" w:rsidRPr="00153074">
        <w:rPr>
          <w:lang w:val="es-ES_tradnl"/>
        </w:rPr>
        <w:t xml:space="preserve">omo ejemplo </w:t>
      </w:r>
      <w:r w:rsidRPr="00153074">
        <w:rPr>
          <w:lang w:val="es-ES_tradnl"/>
        </w:rPr>
        <w:t xml:space="preserve">las facilidades </w:t>
      </w:r>
      <w:r w:rsidR="00E42841" w:rsidRPr="00153074">
        <w:rPr>
          <w:lang w:val="es-ES_tradnl"/>
        </w:rPr>
        <w:t>en el crédito a la</w:t>
      </w:r>
      <w:r w:rsidRPr="00153074">
        <w:rPr>
          <w:lang w:val="es-ES_tradnl"/>
        </w:rPr>
        <w:t xml:space="preserve"> exportación, </w:t>
      </w:r>
      <w:r w:rsidR="004C61BB" w:rsidRPr="00153074">
        <w:rPr>
          <w:lang w:val="es-ES_tradnl"/>
        </w:rPr>
        <w:t>algunas</w:t>
      </w:r>
      <w:r w:rsidRPr="00153074">
        <w:rPr>
          <w:lang w:val="es-ES_tradnl"/>
        </w:rPr>
        <w:t xml:space="preserve"> ayuda</w:t>
      </w:r>
      <w:r w:rsidR="004C61BB" w:rsidRPr="00153074">
        <w:rPr>
          <w:lang w:val="es-ES_tradnl"/>
        </w:rPr>
        <w:t>s</w:t>
      </w:r>
      <w:r w:rsidRPr="00153074">
        <w:rPr>
          <w:lang w:val="es-ES_tradnl"/>
        </w:rPr>
        <w:t xml:space="preserve"> para proyectos comerciales y la financiación tradicional de proyectos de IFD. Las IFD</w:t>
      </w:r>
      <w:r w:rsidR="005E7293" w:rsidRPr="00153074">
        <w:rPr>
          <w:lang w:val="es-ES_tradnl"/>
        </w:rPr>
        <w:t>,</w:t>
      </w:r>
      <w:r w:rsidRPr="00153074">
        <w:rPr>
          <w:lang w:val="es-ES_tradnl"/>
        </w:rPr>
        <w:t xml:space="preserve"> también en colaboración con bancos comerciales y otros proveedores de servicios financieros</w:t>
      </w:r>
      <w:r w:rsidR="005E7293" w:rsidRPr="00153074">
        <w:rPr>
          <w:lang w:val="es-ES_tradnl"/>
        </w:rPr>
        <w:t>,</w:t>
      </w:r>
      <w:r w:rsidRPr="00153074">
        <w:rPr>
          <w:lang w:val="es-ES_tradnl"/>
        </w:rPr>
        <w:t xml:space="preserve"> pued</w:t>
      </w:r>
      <w:r w:rsidR="000979D9" w:rsidRPr="00153074">
        <w:rPr>
          <w:lang w:val="es-ES_tradnl"/>
        </w:rPr>
        <w:t>e</w:t>
      </w:r>
      <w:r w:rsidRPr="00153074">
        <w:rPr>
          <w:lang w:val="es-ES_tradnl"/>
        </w:rPr>
        <w:t xml:space="preserve">n desarrollar productos </w:t>
      </w:r>
      <w:r w:rsidR="0072035F" w:rsidRPr="00153074">
        <w:rPr>
          <w:lang w:val="es-ES_tradnl"/>
        </w:rPr>
        <w:t>de crédito</w:t>
      </w:r>
      <w:r w:rsidRPr="00153074">
        <w:rPr>
          <w:lang w:val="es-ES_tradnl"/>
        </w:rPr>
        <w:t xml:space="preserve"> del mercado que</w:t>
      </w:r>
      <w:r w:rsidR="00286888" w:rsidRPr="00153074">
        <w:rPr>
          <w:lang w:val="es-ES_tradnl"/>
        </w:rPr>
        <w:t xml:space="preserve"> ayuden a mejorar el acceso a la financiación en </w:t>
      </w:r>
      <w:r w:rsidR="0072035F" w:rsidRPr="00153074">
        <w:rPr>
          <w:lang w:val="es-ES_tradnl"/>
        </w:rPr>
        <w:t xml:space="preserve">los </w:t>
      </w:r>
      <w:r w:rsidR="00286888" w:rsidRPr="00153074">
        <w:rPr>
          <w:lang w:val="es-ES_tradnl"/>
        </w:rPr>
        <w:t>países en desarrollo. Por ejemplo,</w:t>
      </w:r>
      <w:r w:rsidR="00286888" w:rsidRPr="00153074">
        <w:rPr>
          <w:color w:val="222222"/>
          <w:lang w:val="es-ES_tradnl"/>
        </w:rPr>
        <w:t xml:space="preserve"> el Fondo Fiduciario UE-África para la Infraestructura proporciona subvenciones en apoyo a préstamos</w:t>
      </w:r>
      <w:r w:rsidR="007803E1" w:rsidRPr="00153074">
        <w:rPr>
          <w:color w:val="222222"/>
          <w:lang w:val="es-ES_tradnl"/>
        </w:rPr>
        <w:t xml:space="preserve"> </w:t>
      </w:r>
      <w:r w:rsidR="002A7792" w:rsidRPr="00153074">
        <w:rPr>
          <w:color w:val="222222"/>
          <w:lang w:val="es-ES_tradnl"/>
        </w:rPr>
        <w:t>“</w:t>
      </w:r>
      <w:r w:rsidR="007803E1" w:rsidRPr="00153074">
        <w:rPr>
          <w:color w:val="222222"/>
          <w:lang w:val="es-ES_tradnl"/>
        </w:rPr>
        <w:t>en condiciones normales</w:t>
      </w:r>
      <w:r w:rsidR="002A7792" w:rsidRPr="00153074">
        <w:rPr>
          <w:color w:val="222222"/>
          <w:lang w:val="es-ES_tradnl"/>
        </w:rPr>
        <w:t>”</w:t>
      </w:r>
      <w:r w:rsidR="007803E1" w:rsidRPr="00153074">
        <w:rPr>
          <w:color w:val="222222"/>
          <w:lang w:val="es-ES_tradnl"/>
        </w:rPr>
        <w:t xml:space="preserve"> (es decir préstamos con </w:t>
      </w:r>
      <w:r w:rsidR="002E0015" w:rsidRPr="00153074">
        <w:rPr>
          <w:color w:val="222222"/>
          <w:lang w:val="es-ES_tradnl"/>
        </w:rPr>
        <w:t>un tipo de</w:t>
      </w:r>
      <w:r w:rsidR="007803E1" w:rsidRPr="00153074">
        <w:rPr>
          <w:color w:val="222222"/>
          <w:lang w:val="es-ES_tradnl"/>
        </w:rPr>
        <w:t xml:space="preserve"> interés basad</w:t>
      </w:r>
      <w:r w:rsidR="002E0015" w:rsidRPr="00153074">
        <w:rPr>
          <w:color w:val="222222"/>
          <w:lang w:val="es-ES_tradnl"/>
        </w:rPr>
        <w:t>o en el</w:t>
      </w:r>
      <w:r w:rsidR="007803E1" w:rsidRPr="00153074">
        <w:rPr>
          <w:color w:val="222222"/>
          <w:lang w:val="es-ES_tradnl"/>
        </w:rPr>
        <w:t xml:space="preserve"> mercado)</w:t>
      </w:r>
      <w:r w:rsidR="005B0BC9" w:rsidRPr="00153074">
        <w:rPr>
          <w:color w:val="222222"/>
          <w:lang w:val="es-ES_tradnl"/>
        </w:rPr>
        <w:t xml:space="preserve"> con l</w:t>
      </w:r>
      <w:r w:rsidR="007803E1" w:rsidRPr="00153074">
        <w:rPr>
          <w:color w:val="222222"/>
          <w:lang w:val="es-ES_tradnl"/>
        </w:rPr>
        <w:t xml:space="preserve">as IFD para proyectos </w:t>
      </w:r>
      <w:r w:rsidR="002E0015" w:rsidRPr="00153074">
        <w:rPr>
          <w:color w:val="222222"/>
          <w:lang w:val="es-ES_tradnl"/>
        </w:rPr>
        <w:t xml:space="preserve">regionales </w:t>
      </w:r>
      <w:r w:rsidR="007803E1" w:rsidRPr="00153074">
        <w:rPr>
          <w:color w:val="222222"/>
          <w:lang w:val="es-ES_tradnl"/>
        </w:rPr>
        <w:t xml:space="preserve">de infraestructura en África. Las subvenciones adoptan la forma de </w:t>
      </w:r>
      <w:r w:rsidR="002E0015" w:rsidRPr="00153074">
        <w:rPr>
          <w:color w:val="222222"/>
          <w:lang w:val="es-ES_tradnl"/>
        </w:rPr>
        <w:t>bonificación de</w:t>
      </w:r>
      <w:r w:rsidR="007803E1" w:rsidRPr="00153074">
        <w:rPr>
          <w:color w:val="222222"/>
          <w:lang w:val="es-ES_tradnl"/>
        </w:rPr>
        <w:t xml:space="preserve"> tipo de interés o asistencia técnica al proyecto.</w:t>
      </w:r>
    </w:p>
    <w:p w:rsidR="008E108A" w:rsidRPr="00153074" w:rsidRDefault="008E108A" w:rsidP="007462FA">
      <w:pPr>
        <w:jc w:val="both"/>
        <w:rPr>
          <w:lang w:val="es-ES_tradnl"/>
        </w:rPr>
      </w:pPr>
    </w:p>
    <w:p w:rsidR="007803E1" w:rsidRPr="00153074" w:rsidRDefault="007803E1" w:rsidP="007462FA">
      <w:pPr>
        <w:jc w:val="both"/>
        <w:rPr>
          <w:lang w:val="es-ES_tradnl"/>
        </w:rPr>
      </w:pPr>
      <w:r w:rsidRPr="00153074">
        <w:rPr>
          <w:lang w:val="es-ES_tradnl"/>
        </w:rPr>
        <w:t>L</w:t>
      </w:r>
      <w:r w:rsidR="00F41C78" w:rsidRPr="00153074">
        <w:rPr>
          <w:lang w:val="es-ES_tradnl"/>
        </w:rPr>
        <w:t>a</w:t>
      </w:r>
      <w:r w:rsidRPr="00153074">
        <w:rPr>
          <w:lang w:val="es-ES_tradnl"/>
        </w:rPr>
        <w:t xml:space="preserve">s </w:t>
      </w:r>
      <w:r w:rsidRPr="00153074">
        <w:rPr>
          <w:i/>
          <w:lang w:val="es-ES_tradnl"/>
        </w:rPr>
        <w:t xml:space="preserve">garantías públicas </w:t>
      </w:r>
      <w:r w:rsidRPr="00153074">
        <w:rPr>
          <w:lang w:val="es-ES_tradnl"/>
        </w:rPr>
        <w:t xml:space="preserve">son </w:t>
      </w:r>
      <w:r w:rsidR="005E7293" w:rsidRPr="00153074">
        <w:rPr>
          <w:lang w:val="es-ES_tradnl"/>
        </w:rPr>
        <w:t>planes</w:t>
      </w:r>
      <w:r w:rsidRPr="00153074">
        <w:rPr>
          <w:lang w:val="es-ES_tradnl"/>
        </w:rPr>
        <w:t xml:space="preserve"> de seguros del </w:t>
      </w:r>
      <w:r w:rsidR="005E7293" w:rsidRPr="00153074">
        <w:rPr>
          <w:lang w:val="es-ES_tradnl"/>
        </w:rPr>
        <w:t>G</w:t>
      </w:r>
      <w:r w:rsidRPr="00153074">
        <w:rPr>
          <w:lang w:val="es-ES_tradnl"/>
        </w:rPr>
        <w:t>obierno que cubren determinados tipos de riesgos de un proyecto del sector privado.</w:t>
      </w:r>
      <w:r w:rsidR="00926293" w:rsidRPr="00153074">
        <w:rPr>
          <w:lang w:val="es-ES_tradnl"/>
        </w:rPr>
        <w:t xml:space="preserve"> Están destinada</w:t>
      </w:r>
      <w:r w:rsidRPr="00153074">
        <w:rPr>
          <w:lang w:val="es-ES_tradnl"/>
        </w:rPr>
        <w:t xml:space="preserve">s a mejorar el perfil global </w:t>
      </w:r>
      <w:r w:rsidR="002A7792" w:rsidRPr="00153074">
        <w:rPr>
          <w:lang w:val="es-ES_tradnl"/>
        </w:rPr>
        <w:t>“</w:t>
      </w:r>
      <w:r w:rsidRPr="00153074">
        <w:rPr>
          <w:lang w:val="es-ES_tradnl"/>
        </w:rPr>
        <w:t>riesgo- rentabilidad</w:t>
      </w:r>
      <w:r w:rsidR="002A7792" w:rsidRPr="00153074">
        <w:rPr>
          <w:lang w:val="es-ES_tradnl"/>
        </w:rPr>
        <w:t>”</w:t>
      </w:r>
      <w:r w:rsidRPr="00153074">
        <w:rPr>
          <w:lang w:val="es-ES_tradnl"/>
        </w:rPr>
        <w:t xml:space="preserve"> de</w:t>
      </w:r>
      <w:r w:rsidR="005B0BC9" w:rsidRPr="00153074">
        <w:rPr>
          <w:lang w:val="es-ES_tradnl"/>
        </w:rPr>
        <w:t>l</w:t>
      </w:r>
      <w:r w:rsidRPr="00153074">
        <w:rPr>
          <w:lang w:val="es-ES_tradnl"/>
        </w:rPr>
        <w:t xml:space="preserve"> proyecto del sector privado. La forma más </w:t>
      </w:r>
      <w:r w:rsidR="00454C15" w:rsidRPr="00153074">
        <w:rPr>
          <w:lang w:val="es-ES_tradnl"/>
        </w:rPr>
        <w:t>común</w:t>
      </w:r>
      <w:r w:rsidRPr="00153074">
        <w:rPr>
          <w:lang w:val="es-ES_tradnl"/>
        </w:rPr>
        <w:t xml:space="preserve"> es una garantía </w:t>
      </w:r>
      <w:r w:rsidR="00454C15" w:rsidRPr="00153074">
        <w:rPr>
          <w:lang w:val="es-ES_tradnl"/>
        </w:rPr>
        <w:t>del Estado</w:t>
      </w:r>
      <w:r w:rsidR="00336C07" w:rsidRPr="00153074">
        <w:rPr>
          <w:lang w:val="es-ES_tradnl"/>
        </w:rPr>
        <w:t xml:space="preserve"> sobre </w:t>
      </w:r>
      <w:r w:rsidR="00AD0BD0" w:rsidRPr="00153074">
        <w:rPr>
          <w:lang w:val="es-ES_tradnl"/>
        </w:rPr>
        <w:t xml:space="preserve">el riesgo de </w:t>
      </w:r>
      <w:r w:rsidR="00BA5836" w:rsidRPr="00153074">
        <w:rPr>
          <w:lang w:val="es-ES_tradnl"/>
        </w:rPr>
        <w:t>crédito</w:t>
      </w:r>
      <w:r w:rsidR="00AD0BD0" w:rsidRPr="00153074">
        <w:rPr>
          <w:lang w:val="es-ES_tradnl"/>
        </w:rPr>
        <w:t xml:space="preserve"> del proyecto, </w:t>
      </w:r>
      <w:r w:rsidR="00336C07" w:rsidRPr="00153074">
        <w:rPr>
          <w:lang w:val="es-ES_tradnl"/>
        </w:rPr>
        <w:t xml:space="preserve">o sobre los valores que financian este proyecto (por ejemplo, bonos de infraestructura, bonos verdes). </w:t>
      </w:r>
      <w:r w:rsidR="00407B09" w:rsidRPr="00153074">
        <w:rPr>
          <w:lang w:val="es-ES_tradnl"/>
        </w:rPr>
        <w:t>Las garantías</w:t>
      </w:r>
      <w:r w:rsidR="00336C07" w:rsidRPr="00153074">
        <w:rPr>
          <w:lang w:val="es-ES_tradnl"/>
        </w:rPr>
        <w:t xml:space="preserve"> permiten que el proyecto </w:t>
      </w:r>
      <w:r w:rsidR="00BA5836" w:rsidRPr="00153074">
        <w:rPr>
          <w:lang w:val="es-ES_tradnl"/>
        </w:rPr>
        <w:t>consiga una</w:t>
      </w:r>
      <w:r w:rsidR="00336C07" w:rsidRPr="00153074">
        <w:rPr>
          <w:lang w:val="es-ES_tradnl"/>
        </w:rPr>
        <w:t xml:space="preserve"> mejor clasifica</w:t>
      </w:r>
      <w:r w:rsidR="00BA5836" w:rsidRPr="00153074">
        <w:rPr>
          <w:lang w:val="es-ES_tradnl"/>
        </w:rPr>
        <w:t xml:space="preserve">ción </w:t>
      </w:r>
      <w:r w:rsidR="00336C07" w:rsidRPr="00153074">
        <w:rPr>
          <w:lang w:val="es-ES_tradnl"/>
        </w:rPr>
        <w:t>por</w:t>
      </w:r>
      <w:r w:rsidR="00BA5836" w:rsidRPr="00153074">
        <w:rPr>
          <w:lang w:val="es-ES_tradnl"/>
        </w:rPr>
        <w:t xml:space="preserve"> parte de</w:t>
      </w:r>
      <w:r w:rsidR="00336C07" w:rsidRPr="00153074">
        <w:rPr>
          <w:lang w:val="es-ES_tradnl"/>
        </w:rPr>
        <w:t xml:space="preserve"> las agencias de calificación crediticia y que obtenga por tanto </w:t>
      </w:r>
      <w:r w:rsidR="00F62F2B" w:rsidRPr="00153074">
        <w:rPr>
          <w:lang w:val="es-ES_tradnl"/>
        </w:rPr>
        <w:t xml:space="preserve">mejores </w:t>
      </w:r>
      <w:r w:rsidR="00336C07" w:rsidRPr="00153074">
        <w:rPr>
          <w:lang w:val="es-ES_tradnl"/>
        </w:rPr>
        <w:t>condiciones de financiación por parte de los inversores,</w:t>
      </w:r>
      <w:r w:rsidR="000B058F" w:rsidRPr="00153074">
        <w:rPr>
          <w:lang w:val="es-ES_tradnl"/>
        </w:rPr>
        <w:t xml:space="preserve"> reduciendo así el coste del capital y la deuda. </w:t>
      </w:r>
      <w:r w:rsidR="00407B09" w:rsidRPr="00153074">
        <w:rPr>
          <w:lang w:val="es-ES_tradnl"/>
        </w:rPr>
        <w:t xml:space="preserve">Las garantías </w:t>
      </w:r>
      <w:r w:rsidR="000B058F" w:rsidRPr="00153074">
        <w:rPr>
          <w:lang w:val="es-ES_tradnl"/>
        </w:rPr>
        <w:t>también incluyen seguro y facilidades de crédito a la exportación, un seguro de riesgo</w:t>
      </w:r>
      <w:r w:rsidR="00D66326" w:rsidRPr="00153074">
        <w:rPr>
          <w:lang w:val="es-ES_tradnl"/>
        </w:rPr>
        <w:t xml:space="preserve"> de tipo de cambio y </w:t>
      </w:r>
      <w:r w:rsidR="00213EB1" w:rsidRPr="00153074">
        <w:rPr>
          <w:lang w:val="es-ES_tradnl"/>
        </w:rPr>
        <w:t>servicios de apoyo</w:t>
      </w:r>
      <w:r w:rsidR="00D66326" w:rsidRPr="00153074">
        <w:rPr>
          <w:lang w:val="es-ES_tradnl"/>
        </w:rPr>
        <w:t xml:space="preserve"> subvencionados para las inversiones.</w:t>
      </w:r>
      <w:r w:rsidR="00FD310A" w:rsidRPr="00153074">
        <w:rPr>
          <w:lang w:val="es-ES_tradnl"/>
        </w:rPr>
        <w:t xml:space="preserve"> Los fondos de capital </w:t>
      </w:r>
      <w:r w:rsidR="00F62F2B" w:rsidRPr="00153074">
        <w:rPr>
          <w:lang w:val="es-ES_tradnl"/>
        </w:rPr>
        <w:t xml:space="preserve">de </w:t>
      </w:r>
      <w:r w:rsidR="00FD310A" w:rsidRPr="00153074">
        <w:rPr>
          <w:lang w:val="es-ES_tradnl"/>
        </w:rPr>
        <w:t xml:space="preserve">riesgo financiados/administrados por el </w:t>
      </w:r>
      <w:r w:rsidR="00213EB1" w:rsidRPr="00153074">
        <w:rPr>
          <w:lang w:val="es-ES_tradnl"/>
        </w:rPr>
        <w:t>Estado</w:t>
      </w:r>
      <w:r w:rsidR="00E342FC" w:rsidRPr="00153074">
        <w:rPr>
          <w:lang w:val="es-ES_tradnl"/>
        </w:rPr>
        <w:t xml:space="preserve"> también pueden </w:t>
      </w:r>
      <w:r w:rsidR="000718A2" w:rsidRPr="00153074">
        <w:rPr>
          <w:lang w:val="es-ES_tradnl"/>
        </w:rPr>
        <w:t xml:space="preserve">adoptar posturas de </w:t>
      </w:r>
      <w:r w:rsidR="002A7792" w:rsidRPr="00153074">
        <w:rPr>
          <w:lang w:val="es-ES_tradnl"/>
        </w:rPr>
        <w:t>“</w:t>
      </w:r>
      <w:r w:rsidR="000718A2" w:rsidRPr="00153074">
        <w:rPr>
          <w:lang w:val="es-ES_tradnl"/>
        </w:rPr>
        <w:t>primera pérdida de capital</w:t>
      </w:r>
      <w:r w:rsidR="002A7792" w:rsidRPr="00153074">
        <w:rPr>
          <w:lang w:val="es-ES_tradnl"/>
        </w:rPr>
        <w:t>”</w:t>
      </w:r>
      <w:r w:rsidR="000718A2" w:rsidRPr="00153074">
        <w:rPr>
          <w:lang w:val="es-ES_tradnl"/>
        </w:rPr>
        <w:t xml:space="preserve"> </w:t>
      </w:r>
      <w:r w:rsidR="00E342FC" w:rsidRPr="00153074">
        <w:rPr>
          <w:lang w:val="es-ES_tradnl"/>
        </w:rPr>
        <w:t>en el capital social del proyecto (</w:t>
      </w:r>
      <w:r w:rsidR="00EE3972" w:rsidRPr="00153074">
        <w:rPr>
          <w:lang w:val="es-ES_tradnl"/>
        </w:rPr>
        <w:t>es decir</w:t>
      </w:r>
      <w:r w:rsidR="00E342FC" w:rsidRPr="00153074">
        <w:rPr>
          <w:lang w:val="es-ES_tradnl"/>
        </w:rPr>
        <w:t xml:space="preserve">, en caso de que el proyecto fracase financieramente y necesite ser recapitalizado, las acciones del </w:t>
      </w:r>
      <w:r w:rsidR="00EE3972" w:rsidRPr="00153074">
        <w:rPr>
          <w:lang w:val="es-ES_tradnl"/>
        </w:rPr>
        <w:t>Estado</w:t>
      </w:r>
      <w:r w:rsidR="00E342FC" w:rsidRPr="00153074">
        <w:rPr>
          <w:lang w:val="es-ES_tradnl"/>
        </w:rPr>
        <w:t xml:space="preserve"> son absorbidas para garantizar</w:t>
      </w:r>
      <w:r w:rsidR="006D3CA1" w:rsidRPr="00153074">
        <w:rPr>
          <w:lang w:val="es-ES_tradnl"/>
        </w:rPr>
        <w:t xml:space="preserve"> </w:t>
      </w:r>
      <w:r w:rsidR="00EE3972" w:rsidRPr="00153074">
        <w:rPr>
          <w:lang w:val="es-ES_tradnl"/>
        </w:rPr>
        <w:t>que la</w:t>
      </w:r>
      <w:r w:rsidR="006D3CA1" w:rsidRPr="00153074">
        <w:rPr>
          <w:lang w:val="es-ES_tradnl"/>
        </w:rPr>
        <w:t xml:space="preserve"> nueva</w:t>
      </w:r>
      <w:r w:rsidR="00EE3972" w:rsidRPr="00153074">
        <w:rPr>
          <w:lang w:val="es-ES_tradnl"/>
        </w:rPr>
        <w:t xml:space="preserve"> recaudación</w:t>
      </w:r>
      <w:r w:rsidR="006D3CA1" w:rsidRPr="00153074">
        <w:rPr>
          <w:lang w:val="es-ES_tradnl"/>
        </w:rPr>
        <w:t xml:space="preserve"> de fondos no </w:t>
      </w:r>
      <w:r w:rsidR="00EE3972" w:rsidRPr="00153074">
        <w:rPr>
          <w:lang w:val="es-ES_tradnl"/>
        </w:rPr>
        <w:t>perjudique</w:t>
      </w:r>
      <w:r w:rsidR="006D3CA1" w:rsidRPr="00153074">
        <w:rPr>
          <w:lang w:val="es-ES_tradnl"/>
        </w:rPr>
        <w:t xml:space="preserve"> a los accionistas privados).</w:t>
      </w:r>
    </w:p>
    <w:p w:rsidR="00B1268C" w:rsidRPr="00153074" w:rsidRDefault="00B1268C" w:rsidP="008D3287">
      <w:pPr>
        <w:rPr>
          <w:lang w:val="es-ES_tradnl"/>
        </w:rPr>
      </w:pPr>
    </w:p>
    <w:p w:rsidR="00B1268C" w:rsidRPr="00153074" w:rsidRDefault="006D3CA1" w:rsidP="007462FA">
      <w:pPr>
        <w:jc w:val="both"/>
        <w:rPr>
          <w:lang w:val="es-ES_tradnl"/>
        </w:rPr>
      </w:pPr>
      <w:r w:rsidRPr="00153074">
        <w:rPr>
          <w:lang w:val="es-ES_tradnl"/>
        </w:rPr>
        <w:lastRenderedPageBreak/>
        <w:t xml:space="preserve">Con arreglo a un </w:t>
      </w:r>
      <w:r w:rsidR="00486637" w:rsidRPr="00153074">
        <w:rPr>
          <w:i/>
          <w:lang w:val="es-ES_tradnl"/>
        </w:rPr>
        <w:t>p</w:t>
      </w:r>
      <w:r w:rsidRPr="00153074">
        <w:rPr>
          <w:i/>
          <w:lang w:val="es-ES_tradnl"/>
        </w:rPr>
        <w:t>lan de i</w:t>
      </w:r>
      <w:r w:rsidR="004E7A38" w:rsidRPr="00153074">
        <w:rPr>
          <w:i/>
          <w:lang w:val="es-ES_tradnl"/>
        </w:rPr>
        <w:t xml:space="preserve">nversión </w:t>
      </w:r>
      <w:r w:rsidR="00D92FDC" w:rsidRPr="00153074">
        <w:rPr>
          <w:i/>
          <w:lang w:val="es-ES_tradnl"/>
        </w:rPr>
        <w:t>de capital</w:t>
      </w:r>
      <w:r w:rsidR="00B1268C" w:rsidRPr="00153074">
        <w:rPr>
          <w:i/>
          <w:lang w:val="es-ES_tradnl"/>
        </w:rPr>
        <w:t xml:space="preserve"> (</w:t>
      </w:r>
      <w:r w:rsidRPr="00153074">
        <w:rPr>
          <w:i/>
          <w:lang w:val="es-ES_tradnl"/>
        </w:rPr>
        <w:t xml:space="preserve">cartera </w:t>
      </w:r>
      <w:r w:rsidR="00127C00" w:rsidRPr="00153074">
        <w:rPr>
          <w:i/>
          <w:lang w:val="es-ES_tradnl"/>
        </w:rPr>
        <w:t xml:space="preserve">e </w:t>
      </w:r>
      <w:r w:rsidRPr="00153074">
        <w:rPr>
          <w:i/>
          <w:lang w:val="es-ES_tradnl"/>
        </w:rPr>
        <w:t>inversiones</w:t>
      </w:r>
      <w:r w:rsidR="00127C00" w:rsidRPr="00153074">
        <w:rPr>
          <w:i/>
          <w:lang w:val="es-ES_tradnl"/>
        </w:rPr>
        <w:t xml:space="preserve"> conjuntas</w:t>
      </w:r>
      <w:r w:rsidRPr="00153074">
        <w:rPr>
          <w:i/>
          <w:lang w:val="es-ES_tradnl"/>
        </w:rPr>
        <w:t xml:space="preserve">), </w:t>
      </w:r>
      <w:r w:rsidRPr="00153074">
        <w:rPr>
          <w:lang w:val="es-ES_tradnl"/>
        </w:rPr>
        <w:t>la entidad pública se</w:t>
      </w:r>
      <w:r w:rsidR="00127C00" w:rsidRPr="00153074">
        <w:rPr>
          <w:lang w:val="es-ES_tradnl"/>
        </w:rPr>
        <w:t xml:space="preserve"> convierte en accionista directa</w:t>
      </w:r>
      <w:r w:rsidRPr="00153074">
        <w:rPr>
          <w:lang w:val="es-ES_tradnl"/>
        </w:rPr>
        <w:t xml:space="preserve"> </w:t>
      </w:r>
      <w:r w:rsidR="00127C00" w:rsidRPr="00153074">
        <w:rPr>
          <w:lang w:val="es-ES_tradnl"/>
        </w:rPr>
        <w:t>de</w:t>
      </w:r>
      <w:r w:rsidRPr="00153074">
        <w:rPr>
          <w:lang w:val="es-ES_tradnl"/>
        </w:rPr>
        <w:t xml:space="preserve"> la empresa que gestiona </w:t>
      </w:r>
      <w:r w:rsidR="009A45CC" w:rsidRPr="00153074">
        <w:rPr>
          <w:lang w:val="es-ES_tradnl"/>
        </w:rPr>
        <w:t xml:space="preserve">el </w:t>
      </w:r>
      <w:r w:rsidRPr="00153074">
        <w:rPr>
          <w:lang w:val="es-ES_tradnl"/>
        </w:rPr>
        <w:t>proyecto (</w:t>
      </w:r>
      <w:r w:rsidR="00127C00" w:rsidRPr="00153074">
        <w:rPr>
          <w:lang w:val="es-ES_tradnl"/>
        </w:rPr>
        <w:t>i</w:t>
      </w:r>
      <w:r w:rsidRPr="00153074">
        <w:rPr>
          <w:lang w:val="es-ES_tradnl"/>
        </w:rPr>
        <w:t>nversión</w:t>
      </w:r>
      <w:r w:rsidR="00127C00" w:rsidRPr="00153074">
        <w:rPr>
          <w:lang w:val="es-ES_tradnl"/>
        </w:rPr>
        <w:t xml:space="preserve"> conjunta</w:t>
      </w:r>
      <w:r w:rsidRPr="00153074">
        <w:rPr>
          <w:lang w:val="es-ES_tradnl"/>
        </w:rPr>
        <w:t>) o bien</w:t>
      </w:r>
      <w:r w:rsidR="00663DCC" w:rsidRPr="00153074">
        <w:rPr>
          <w:lang w:val="es-ES_tradnl"/>
        </w:rPr>
        <w:t xml:space="preserve"> </w:t>
      </w:r>
      <w:r w:rsidR="00127C00" w:rsidRPr="00153074">
        <w:rPr>
          <w:lang w:val="es-ES_tradnl"/>
        </w:rPr>
        <w:t xml:space="preserve">adquiere </w:t>
      </w:r>
      <w:r w:rsidR="00663DCC" w:rsidRPr="00153074">
        <w:rPr>
          <w:lang w:val="es-ES_tradnl"/>
        </w:rPr>
        <w:t>acciones en un fondo de inversión que a su vez invierte en el proyecto privado</w:t>
      </w:r>
      <w:r w:rsidR="009A45CC" w:rsidRPr="00153074">
        <w:rPr>
          <w:lang w:val="es-ES_tradnl"/>
        </w:rPr>
        <w:t>,</w:t>
      </w:r>
      <w:r w:rsidR="00663DCC" w:rsidRPr="00153074">
        <w:rPr>
          <w:lang w:val="es-ES_tradnl"/>
        </w:rPr>
        <w:t xml:space="preserve"> </w:t>
      </w:r>
      <w:r w:rsidR="00127C00" w:rsidRPr="00153074">
        <w:rPr>
          <w:lang w:val="es-ES_tradnl"/>
        </w:rPr>
        <w:t xml:space="preserve">ya sea </w:t>
      </w:r>
      <w:r w:rsidR="00663DCC" w:rsidRPr="00153074">
        <w:rPr>
          <w:lang w:val="es-ES_tradnl"/>
        </w:rPr>
        <w:t xml:space="preserve">como acreedor o como accionista (cartera). En ambos casos, la inversión pública </w:t>
      </w:r>
      <w:r w:rsidR="00127C00" w:rsidRPr="00153074">
        <w:rPr>
          <w:lang w:val="es-ES_tradnl"/>
        </w:rPr>
        <w:t>de capital</w:t>
      </w:r>
      <w:r w:rsidR="00663DCC" w:rsidRPr="00153074">
        <w:rPr>
          <w:lang w:val="es-ES_tradnl"/>
        </w:rPr>
        <w:t xml:space="preserve"> </w:t>
      </w:r>
      <w:r w:rsidR="00143FBC" w:rsidRPr="00153074">
        <w:rPr>
          <w:lang w:val="es-ES_tradnl"/>
        </w:rPr>
        <w:t>se establece sobre unas condiciones</w:t>
      </w:r>
      <w:r w:rsidR="0026460A" w:rsidRPr="00153074">
        <w:rPr>
          <w:lang w:val="es-ES_tradnl"/>
        </w:rPr>
        <w:t xml:space="preserve"> comerciales y </w:t>
      </w:r>
      <w:r w:rsidR="007051DF" w:rsidRPr="00153074">
        <w:rPr>
          <w:lang w:val="es-ES_tradnl"/>
        </w:rPr>
        <w:t>de rentabilidad de la inversión estándares</w:t>
      </w:r>
      <w:r w:rsidR="00663DCC" w:rsidRPr="00153074">
        <w:rPr>
          <w:lang w:val="es-ES_tradnl"/>
        </w:rPr>
        <w:t xml:space="preserve">. Junto con los préstamos, este tipo de actividad del sector privado en el desarrollo es la </w:t>
      </w:r>
      <w:r w:rsidR="00127C00" w:rsidRPr="00153074">
        <w:rPr>
          <w:i/>
          <w:lang w:val="es-ES_tradnl"/>
        </w:rPr>
        <w:t xml:space="preserve">razón de ser </w:t>
      </w:r>
      <w:r w:rsidR="00663DCC" w:rsidRPr="00153074">
        <w:rPr>
          <w:lang w:val="es-ES_tradnl"/>
        </w:rPr>
        <w:t>de las IFD y constituye con diferencia la forma más importante, en términos de</w:t>
      </w:r>
      <w:r w:rsidR="0026460A" w:rsidRPr="00153074">
        <w:rPr>
          <w:lang w:val="es-ES_tradnl"/>
        </w:rPr>
        <w:t xml:space="preserve"> activos y flujos </w:t>
      </w:r>
      <w:r w:rsidR="00663DCC" w:rsidRPr="00153074">
        <w:rPr>
          <w:lang w:val="es-ES_tradnl"/>
        </w:rPr>
        <w:t>financieros</w:t>
      </w:r>
      <w:r w:rsidR="00B1268C" w:rsidRPr="00153074">
        <w:rPr>
          <w:lang w:val="es-ES_tradnl"/>
        </w:rPr>
        <w:t>.</w:t>
      </w:r>
    </w:p>
    <w:p w:rsidR="00B1268C" w:rsidRPr="00153074" w:rsidRDefault="00B1268C" w:rsidP="007462FA">
      <w:pPr>
        <w:pStyle w:val="ListParagraph"/>
        <w:ind w:left="0"/>
        <w:jc w:val="both"/>
        <w:rPr>
          <w:rFonts w:ascii="Arial" w:hAnsi="Arial" w:cs="Arial"/>
          <w:sz w:val="20"/>
          <w:szCs w:val="20"/>
          <w:lang w:val="es-ES_tradnl"/>
        </w:rPr>
      </w:pPr>
    </w:p>
    <w:p w:rsidR="00B1268C" w:rsidRPr="00153074" w:rsidRDefault="001306E9" w:rsidP="007462FA">
      <w:pPr>
        <w:pStyle w:val="Heading3"/>
        <w:rPr>
          <w:lang w:val="es-ES_tradnl"/>
        </w:rPr>
      </w:pPr>
      <w:bookmarkStart w:id="21" w:name="_Toc359331970"/>
      <w:bookmarkStart w:id="22" w:name="_Toc369604905"/>
      <w:r w:rsidRPr="00153074">
        <w:rPr>
          <w:lang w:val="es-ES_tradnl"/>
        </w:rPr>
        <w:t>La contratación pública</w:t>
      </w:r>
      <w:r w:rsidR="00B1268C" w:rsidRPr="00153074">
        <w:rPr>
          <w:lang w:val="es-ES_tradnl"/>
        </w:rPr>
        <w:t xml:space="preserve"> </w:t>
      </w:r>
      <w:r w:rsidRPr="00153074">
        <w:rPr>
          <w:lang w:val="es-ES_tradnl"/>
        </w:rPr>
        <w:t xml:space="preserve">y las </w:t>
      </w:r>
      <w:r w:rsidR="00E54F55" w:rsidRPr="00153074">
        <w:rPr>
          <w:lang w:val="es-ES_tradnl"/>
        </w:rPr>
        <w:t>APP</w:t>
      </w:r>
      <w:bookmarkEnd w:id="21"/>
      <w:bookmarkEnd w:id="22"/>
    </w:p>
    <w:p w:rsidR="00926293" w:rsidRPr="00153074" w:rsidRDefault="004F47E9" w:rsidP="007462FA">
      <w:pPr>
        <w:jc w:val="both"/>
        <w:rPr>
          <w:lang w:val="es-ES_tradnl"/>
        </w:rPr>
      </w:pPr>
      <w:r w:rsidRPr="00153074">
        <w:rPr>
          <w:lang w:val="es-ES_tradnl"/>
        </w:rPr>
        <w:t xml:space="preserve">En el caso de la </w:t>
      </w:r>
      <w:r w:rsidR="001306E9" w:rsidRPr="00153074">
        <w:rPr>
          <w:i/>
          <w:lang w:val="es-ES_tradnl"/>
        </w:rPr>
        <w:t>contratación pública</w:t>
      </w:r>
      <w:r w:rsidR="00B1268C" w:rsidRPr="00153074">
        <w:rPr>
          <w:lang w:val="es-ES_tradnl"/>
        </w:rPr>
        <w:t xml:space="preserve">, </w:t>
      </w:r>
      <w:r w:rsidR="00926293" w:rsidRPr="00153074">
        <w:rPr>
          <w:lang w:val="es-ES_tradnl"/>
        </w:rPr>
        <w:t xml:space="preserve">la entidad pública es </w:t>
      </w:r>
      <w:r w:rsidR="00926293" w:rsidRPr="00153074">
        <w:rPr>
          <w:i/>
          <w:lang w:val="es-ES_tradnl"/>
        </w:rPr>
        <w:t xml:space="preserve">el </w:t>
      </w:r>
      <w:r w:rsidR="00926293" w:rsidRPr="00153074">
        <w:rPr>
          <w:lang w:val="es-ES_tradnl"/>
        </w:rPr>
        <w:t xml:space="preserve">operador del proyecto y por tanto está a cargo de su diseño, desarrollo y </w:t>
      </w:r>
      <w:r w:rsidRPr="00153074">
        <w:rPr>
          <w:lang w:val="es-ES_tradnl"/>
        </w:rPr>
        <w:t>funcionamiento</w:t>
      </w:r>
      <w:r w:rsidR="00926293" w:rsidRPr="00153074">
        <w:rPr>
          <w:lang w:val="es-ES_tradnl"/>
        </w:rPr>
        <w:t xml:space="preserve"> (financiando normalmente </w:t>
      </w:r>
      <w:r w:rsidRPr="00153074">
        <w:rPr>
          <w:lang w:val="es-ES_tradnl"/>
        </w:rPr>
        <w:t>un importante</w:t>
      </w:r>
      <w:r w:rsidR="00926293" w:rsidRPr="00153074">
        <w:rPr>
          <w:lang w:val="es-ES_tradnl"/>
        </w:rPr>
        <w:t xml:space="preserve"> programa de infraestructura</w:t>
      </w:r>
      <w:r w:rsidR="00B92814" w:rsidRPr="00153074">
        <w:rPr>
          <w:lang w:val="es-ES_tradnl"/>
        </w:rPr>
        <w:t>,</w:t>
      </w:r>
      <w:r w:rsidR="00926293" w:rsidRPr="00153074">
        <w:rPr>
          <w:lang w:val="es-ES_tradnl"/>
        </w:rPr>
        <w:t xml:space="preserve"> como carreteras, acceso al agua, escuelas, etc.). Las empresas del sector privado son seleccionadas sobre la base</w:t>
      </w:r>
      <w:r w:rsidR="00D97B3D" w:rsidRPr="00153074">
        <w:rPr>
          <w:lang w:val="es-ES_tradnl"/>
        </w:rPr>
        <w:t xml:space="preserve"> de una licitación competitiva e intervienen como subcontratist</w:t>
      </w:r>
      <w:r w:rsidRPr="00153074">
        <w:rPr>
          <w:lang w:val="es-ES_tradnl"/>
        </w:rPr>
        <w:t>as y proveedores de servicios. La c</w:t>
      </w:r>
      <w:r w:rsidR="00D97B3D" w:rsidRPr="00153074">
        <w:rPr>
          <w:lang w:val="es-ES_tradnl"/>
        </w:rPr>
        <w:t xml:space="preserve">ontratación pública es la forma de participación en la cual la entidad pública tiene el máximo nivel de control sobre un proyecto. En el caso de países en desarrollo, la contratación pública está por lo general dirigida por los </w:t>
      </w:r>
      <w:r w:rsidR="00864464" w:rsidRPr="00153074">
        <w:rPr>
          <w:lang w:val="es-ES_tradnl"/>
        </w:rPr>
        <w:t>Gobierno</w:t>
      </w:r>
      <w:r w:rsidR="00D97B3D" w:rsidRPr="00153074">
        <w:rPr>
          <w:lang w:val="es-ES_tradnl"/>
        </w:rPr>
        <w:t>s receptores (y</w:t>
      </w:r>
      <w:r w:rsidR="00B92814" w:rsidRPr="00153074">
        <w:rPr>
          <w:lang w:val="es-ES_tradnl"/>
        </w:rPr>
        <w:t>,</w:t>
      </w:r>
      <w:r w:rsidR="00D97B3D" w:rsidRPr="00153074">
        <w:rPr>
          <w:lang w:val="es-ES_tradnl"/>
        </w:rPr>
        <w:t xml:space="preserve"> en </w:t>
      </w:r>
      <w:r w:rsidR="00BB5CA4" w:rsidRPr="00153074">
        <w:rPr>
          <w:lang w:val="es-ES_tradnl"/>
        </w:rPr>
        <w:t>cierta medida</w:t>
      </w:r>
      <w:r w:rsidR="00B92814" w:rsidRPr="00153074">
        <w:rPr>
          <w:lang w:val="es-ES_tradnl"/>
        </w:rPr>
        <w:t>,</w:t>
      </w:r>
      <w:r w:rsidR="00BB5CA4" w:rsidRPr="00153074">
        <w:rPr>
          <w:lang w:val="es-ES_tradnl"/>
        </w:rPr>
        <w:t xml:space="preserve"> el donante que la</w:t>
      </w:r>
      <w:r w:rsidR="00D97B3D" w:rsidRPr="00153074">
        <w:rPr>
          <w:lang w:val="es-ES_tradnl"/>
        </w:rPr>
        <w:t xml:space="preserve"> financia a través de apoyo presupuestario) y/o por bancos multilaterales de desarrollo.</w:t>
      </w:r>
    </w:p>
    <w:p w:rsidR="006A5FE7" w:rsidRPr="00153074" w:rsidRDefault="006A5FE7" w:rsidP="007462FA">
      <w:pPr>
        <w:jc w:val="both"/>
        <w:rPr>
          <w:lang w:val="es-ES_tradnl"/>
        </w:rPr>
      </w:pPr>
    </w:p>
    <w:p w:rsidR="00D97B3D" w:rsidRPr="00153074" w:rsidRDefault="00D97B3D" w:rsidP="007462FA">
      <w:pPr>
        <w:jc w:val="both"/>
        <w:rPr>
          <w:lang w:val="es-ES_tradnl"/>
        </w:rPr>
      </w:pPr>
      <w:r w:rsidRPr="00153074">
        <w:rPr>
          <w:lang w:val="es-ES_tradnl"/>
        </w:rPr>
        <w:t xml:space="preserve">Las </w:t>
      </w:r>
      <w:r w:rsidR="00486637" w:rsidRPr="00153074">
        <w:rPr>
          <w:i/>
          <w:lang w:val="es-ES_tradnl"/>
        </w:rPr>
        <w:t>a</w:t>
      </w:r>
      <w:r w:rsidRPr="00153074">
        <w:rPr>
          <w:i/>
          <w:lang w:val="es-ES_tradnl"/>
        </w:rPr>
        <w:t xml:space="preserve">sociaciones </w:t>
      </w:r>
      <w:r w:rsidR="00486637" w:rsidRPr="00153074">
        <w:rPr>
          <w:i/>
          <w:lang w:val="es-ES_tradnl"/>
        </w:rPr>
        <w:t>p</w:t>
      </w:r>
      <w:r w:rsidRPr="00153074">
        <w:rPr>
          <w:i/>
          <w:lang w:val="es-ES_tradnl"/>
        </w:rPr>
        <w:t>úblico-</w:t>
      </w:r>
      <w:r w:rsidR="00486637" w:rsidRPr="00153074">
        <w:rPr>
          <w:i/>
          <w:lang w:val="es-ES_tradnl"/>
        </w:rPr>
        <w:t>p</w:t>
      </w:r>
      <w:r w:rsidRPr="00153074">
        <w:rPr>
          <w:i/>
          <w:lang w:val="es-ES_tradnl"/>
        </w:rPr>
        <w:t xml:space="preserve">rivadas </w:t>
      </w:r>
      <w:r w:rsidRPr="00153074">
        <w:rPr>
          <w:lang w:val="es-ES_tradnl"/>
        </w:rPr>
        <w:t xml:space="preserve">son acuerdos contractuales entre </w:t>
      </w:r>
      <w:r w:rsidR="002A7792" w:rsidRPr="00153074">
        <w:rPr>
          <w:lang w:val="es-ES_tradnl"/>
        </w:rPr>
        <w:t>“</w:t>
      </w:r>
      <w:r w:rsidRPr="00153074">
        <w:rPr>
          <w:lang w:val="es-ES_tradnl"/>
        </w:rPr>
        <w:t xml:space="preserve">el Gobierno y uno o </w:t>
      </w:r>
      <w:r w:rsidR="00486637" w:rsidRPr="00153074">
        <w:rPr>
          <w:lang w:val="es-ES_tradnl"/>
        </w:rPr>
        <w:t>varios asoci</w:t>
      </w:r>
      <w:r w:rsidRPr="00153074">
        <w:rPr>
          <w:lang w:val="es-ES_tradnl"/>
        </w:rPr>
        <w:t>ados privados (que pueden incluir operadores y financi</w:t>
      </w:r>
      <w:r w:rsidR="00365036" w:rsidRPr="00153074">
        <w:rPr>
          <w:lang w:val="es-ES_tradnl"/>
        </w:rPr>
        <w:t>adore</w:t>
      </w:r>
      <w:r w:rsidRPr="00153074">
        <w:rPr>
          <w:lang w:val="es-ES_tradnl"/>
        </w:rPr>
        <w:t>s)</w:t>
      </w:r>
      <w:r w:rsidR="0082750E" w:rsidRPr="00153074">
        <w:rPr>
          <w:lang w:val="es-ES_tradnl"/>
        </w:rPr>
        <w:t xml:space="preserve"> con arreglo a l</w:t>
      </w:r>
      <w:r w:rsidR="008A723D" w:rsidRPr="00153074">
        <w:rPr>
          <w:lang w:val="es-ES_tradnl"/>
        </w:rPr>
        <w:t>o</w:t>
      </w:r>
      <w:r w:rsidR="0082750E" w:rsidRPr="00153074">
        <w:rPr>
          <w:lang w:val="es-ES_tradnl"/>
        </w:rPr>
        <w:t>s cuales los</w:t>
      </w:r>
      <w:r w:rsidR="009E32AC" w:rsidRPr="00153074">
        <w:rPr>
          <w:lang w:val="es-ES_tradnl"/>
        </w:rPr>
        <w:t xml:space="preserve"> asociados privados </w:t>
      </w:r>
      <w:r w:rsidR="00365036" w:rsidRPr="00153074">
        <w:rPr>
          <w:lang w:val="es-ES_tradnl"/>
        </w:rPr>
        <w:t>proveen</w:t>
      </w:r>
      <w:r w:rsidR="0082750E" w:rsidRPr="00153074">
        <w:rPr>
          <w:lang w:val="es-ES_tradnl"/>
        </w:rPr>
        <w:t xml:space="preserve"> </w:t>
      </w:r>
      <w:r w:rsidR="00365036" w:rsidRPr="00153074">
        <w:rPr>
          <w:lang w:val="es-ES_tradnl"/>
        </w:rPr>
        <w:t>un</w:t>
      </w:r>
      <w:r w:rsidR="0082750E" w:rsidRPr="00153074">
        <w:rPr>
          <w:lang w:val="es-ES_tradnl"/>
        </w:rPr>
        <w:t xml:space="preserve"> servicio de </w:t>
      </w:r>
      <w:r w:rsidR="00FA7282" w:rsidRPr="00153074">
        <w:rPr>
          <w:lang w:val="es-ES_tradnl"/>
        </w:rPr>
        <w:t xml:space="preserve">tal </w:t>
      </w:r>
      <w:r w:rsidR="0082750E" w:rsidRPr="00153074">
        <w:rPr>
          <w:lang w:val="es-ES_tradnl"/>
        </w:rPr>
        <w:t>manera que los objetivos de prestación de servicios de</w:t>
      </w:r>
      <w:r w:rsidR="00486637" w:rsidRPr="00153074">
        <w:rPr>
          <w:lang w:val="es-ES_tradnl"/>
        </w:rPr>
        <w:t>l</w:t>
      </w:r>
      <w:r w:rsidR="0082750E" w:rsidRPr="00153074">
        <w:rPr>
          <w:lang w:val="es-ES_tradnl"/>
        </w:rPr>
        <w:t xml:space="preserve"> Gobiern</w:t>
      </w:r>
      <w:r w:rsidR="00486637" w:rsidRPr="00153074">
        <w:rPr>
          <w:lang w:val="es-ES_tradnl"/>
        </w:rPr>
        <w:t>o</w:t>
      </w:r>
      <w:r w:rsidR="0082750E" w:rsidRPr="00153074">
        <w:rPr>
          <w:lang w:val="es-ES_tradnl"/>
        </w:rPr>
        <w:t xml:space="preserve"> se </w:t>
      </w:r>
      <w:r w:rsidR="00486637" w:rsidRPr="00153074">
        <w:rPr>
          <w:i/>
          <w:lang w:val="es-ES_tradnl"/>
        </w:rPr>
        <w:t>ajuste</w:t>
      </w:r>
      <w:r w:rsidR="0082750E" w:rsidRPr="00153074">
        <w:rPr>
          <w:i/>
          <w:lang w:val="es-ES_tradnl"/>
        </w:rPr>
        <w:t xml:space="preserve">n a los objetivos de ganancias </w:t>
      </w:r>
      <w:r w:rsidR="0082750E" w:rsidRPr="00153074">
        <w:rPr>
          <w:lang w:val="es-ES_tradnl"/>
        </w:rPr>
        <w:t>de</w:t>
      </w:r>
      <w:r w:rsidR="008A723D" w:rsidRPr="00153074">
        <w:rPr>
          <w:lang w:val="es-ES_tradnl"/>
        </w:rPr>
        <w:t xml:space="preserve"> los asociados privados, y en lo</w:t>
      </w:r>
      <w:r w:rsidR="0082750E" w:rsidRPr="00153074">
        <w:rPr>
          <w:lang w:val="es-ES_tradnl"/>
        </w:rPr>
        <w:t xml:space="preserve">s cuales la eficacia del ajuste depende de una </w:t>
      </w:r>
      <w:r w:rsidR="0082750E" w:rsidRPr="00153074">
        <w:rPr>
          <w:i/>
          <w:lang w:val="es-ES_tradnl"/>
        </w:rPr>
        <w:t xml:space="preserve">transferencia </w:t>
      </w:r>
      <w:r w:rsidR="00365036" w:rsidRPr="00153074">
        <w:rPr>
          <w:i/>
          <w:lang w:val="es-ES_tradnl"/>
        </w:rPr>
        <w:t xml:space="preserve">adecuada </w:t>
      </w:r>
      <w:r w:rsidR="0082750E" w:rsidRPr="00153074">
        <w:rPr>
          <w:i/>
          <w:lang w:val="es-ES_tradnl"/>
        </w:rPr>
        <w:t xml:space="preserve">de </w:t>
      </w:r>
      <w:r w:rsidR="00365036" w:rsidRPr="00153074">
        <w:rPr>
          <w:i/>
          <w:lang w:val="es-ES_tradnl"/>
        </w:rPr>
        <w:t xml:space="preserve">los </w:t>
      </w:r>
      <w:r w:rsidR="0082750E" w:rsidRPr="00153074">
        <w:rPr>
          <w:i/>
          <w:lang w:val="es-ES_tradnl"/>
        </w:rPr>
        <w:t>riesgo</w:t>
      </w:r>
      <w:r w:rsidR="00365036" w:rsidRPr="00153074">
        <w:rPr>
          <w:i/>
          <w:lang w:val="es-ES_tradnl"/>
        </w:rPr>
        <w:t>s</w:t>
      </w:r>
      <w:r w:rsidR="0082750E" w:rsidRPr="00153074">
        <w:rPr>
          <w:i/>
          <w:lang w:val="es-ES_tradnl"/>
        </w:rPr>
        <w:t xml:space="preserve"> a los asociados privados</w:t>
      </w:r>
      <w:r w:rsidR="002A7792" w:rsidRPr="00153074">
        <w:rPr>
          <w:lang w:val="es-ES_tradnl"/>
        </w:rPr>
        <w:t>”</w:t>
      </w:r>
      <w:r w:rsidR="0082750E" w:rsidRPr="00153074">
        <w:rPr>
          <w:lang w:val="es-ES_tradnl"/>
        </w:rPr>
        <w:t xml:space="preserve"> (OCDE 2008). </w:t>
      </w:r>
    </w:p>
    <w:p w:rsidR="00B1268C" w:rsidRPr="00153074" w:rsidRDefault="00B1268C" w:rsidP="007462FA">
      <w:pPr>
        <w:pStyle w:val="ListParagraph"/>
        <w:ind w:left="0"/>
        <w:jc w:val="both"/>
        <w:rPr>
          <w:rFonts w:ascii="Arial" w:hAnsi="Arial" w:cs="Arial"/>
          <w:sz w:val="20"/>
          <w:szCs w:val="20"/>
          <w:lang w:val="es-ES_tradnl"/>
        </w:rPr>
      </w:pPr>
    </w:p>
    <w:p w:rsidR="00B1268C" w:rsidRPr="00153074" w:rsidRDefault="00AB3931" w:rsidP="007462FA">
      <w:pPr>
        <w:jc w:val="both"/>
        <w:rPr>
          <w:lang w:val="es-ES_tradnl"/>
        </w:rPr>
      </w:pPr>
      <w:r w:rsidRPr="00153074">
        <w:rPr>
          <w:lang w:val="es-ES_tradnl"/>
        </w:rPr>
        <w:t xml:space="preserve">El acuerdo más </w:t>
      </w:r>
      <w:r w:rsidR="0001535E" w:rsidRPr="00153074">
        <w:rPr>
          <w:lang w:val="es-ES_tradnl"/>
        </w:rPr>
        <w:t>común</w:t>
      </w:r>
      <w:r w:rsidRPr="00153074">
        <w:rPr>
          <w:lang w:val="es-ES_tradnl"/>
        </w:rPr>
        <w:t xml:space="preserve"> de </w:t>
      </w:r>
      <w:r w:rsidR="00E54F55" w:rsidRPr="00153074">
        <w:rPr>
          <w:lang w:val="es-ES_tradnl"/>
        </w:rPr>
        <w:t>APP</w:t>
      </w:r>
      <w:r w:rsidRPr="00153074">
        <w:rPr>
          <w:lang w:val="es-ES_tradnl"/>
        </w:rPr>
        <w:t xml:space="preserve"> es el denominado </w:t>
      </w:r>
      <w:r w:rsidR="00B1268C" w:rsidRPr="00153074">
        <w:rPr>
          <w:lang w:val="es-ES_tradnl"/>
        </w:rPr>
        <w:t>DBFO</w:t>
      </w:r>
      <w:r w:rsidRPr="00153074">
        <w:rPr>
          <w:lang w:val="es-ES_tradnl"/>
        </w:rPr>
        <w:t xml:space="preserve"> (por sus siglas en inglés), que significa </w:t>
      </w:r>
      <w:r w:rsidR="002A7792" w:rsidRPr="00153074">
        <w:rPr>
          <w:bCs/>
          <w:lang w:val="es-ES_tradnl"/>
        </w:rPr>
        <w:t>“</w:t>
      </w:r>
      <w:r w:rsidRPr="00153074">
        <w:rPr>
          <w:bCs/>
          <w:lang w:val="es-ES_tradnl"/>
        </w:rPr>
        <w:t>Diseño, Construcción, Finanzas y Ejecución</w:t>
      </w:r>
      <w:r w:rsidR="002A7792" w:rsidRPr="00153074">
        <w:rPr>
          <w:bCs/>
          <w:lang w:val="es-ES_tradnl"/>
        </w:rPr>
        <w:t>”</w:t>
      </w:r>
      <w:r w:rsidR="0001535E" w:rsidRPr="00153074">
        <w:rPr>
          <w:bCs/>
          <w:lang w:val="es-ES_tradnl"/>
        </w:rPr>
        <w:t>,</w:t>
      </w:r>
      <w:r w:rsidRPr="00153074">
        <w:rPr>
          <w:bCs/>
          <w:lang w:val="es-ES_tradnl"/>
        </w:rPr>
        <w:t xml:space="preserve"> y por lo general se aplica a la infraestructura púb</w:t>
      </w:r>
      <w:r w:rsidR="0001535E" w:rsidRPr="00153074">
        <w:rPr>
          <w:bCs/>
          <w:lang w:val="es-ES_tradnl"/>
        </w:rPr>
        <w:t>l</w:t>
      </w:r>
      <w:r w:rsidRPr="00153074">
        <w:rPr>
          <w:bCs/>
          <w:lang w:val="es-ES_tradnl"/>
        </w:rPr>
        <w:t xml:space="preserve">ica (un puente, un </w:t>
      </w:r>
      <w:r w:rsidR="00DB2CA3" w:rsidRPr="00153074">
        <w:rPr>
          <w:bCs/>
          <w:lang w:val="es-ES_tradnl"/>
        </w:rPr>
        <w:t>túnel</w:t>
      </w:r>
      <w:r w:rsidRPr="00153074">
        <w:rPr>
          <w:bCs/>
          <w:lang w:val="es-ES_tradnl"/>
        </w:rPr>
        <w:t xml:space="preserve">, un sistema </w:t>
      </w:r>
      <w:r w:rsidR="0001535E" w:rsidRPr="00153074">
        <w:rPr>
          <w:bCs/>
          <w:lang w:val="es-ES_tradnl"/>
        </w:rPr>
        <w:t>ferroviario</w:t>
      </w:r>
      <w:r w:rsidRPr="00153074">
        <w:rPr>
          <w:bCs/>
          <w:lang w:val="es-ES_tradnl"/>
        </w:rPr>
        <w:t xml:space="preserve">, un sistema de suministro de agua) o un servicio público (una escuela, un hospital, una cárcel) por un operador privado. </w:t>
      </w:r>
      <w:r w:rsidR="001306E9" w:rsidRPr="00153074">
        <w:rPr>
          <w:lang w:val="es-ES_tradnl"/>
        </w:rPr>
        <w:t xml:space="preserve">Las </w:t>
      </w:r>
      <w:r w:rsidR="00E54F55" w:rsidRPr="00153074">
        <w:rPr>
          <w:lang w:val="es-ES_tradnl"/>
        </w:rPr>
        <w:t>APP</w:t>
      </w:r>
      <w:r w:rsidR="002B73F0" w:rsidRPr="00153074">
        <w:rPr>
          <w:lang w:val="es-ES_tradnl"/>
        </w:rPr>
        <w:t xml:space="preserve"> se sitúan a medio camino entre</w:t>
      </w:r>
      <w:r w:rsidR="00B1268C" w:rsidRPr="00153074">
        <w:rPr>
          <w:lang w:val="es-ES_tradnl"/>
        </w:rPr>
        <w:t xml:space="preserve"> </w:t>
      </w:r>
      <w:r w:rsidR="001306E9" w:rsidRPr="00153074">
        <w:rPr>
          <w:lang w:val="es-ES_tradnl"/>
        </w:rPr>
        <w:t>la contratación pública</w:t>
      </w:r>
      <w:r w:rsidR="002B73F0" w:rsidRPr="00153074">
        <w:rPr>
          <w:lang w:val="es-ES_tradnl"/>
        </w:rPr>
        <w:t xml:space="preserve"> tradicional y las concesiones. Un Gobierno adquiere una </w:t>
      </w:r>
      <w:r w:rsidR="002A7792" w:rsidRPr="00153074">
        <w:rPr>
          <w:lang w:val="es-ES_tradnl"/>
        </w:rPr>
        <w:t>“</w:t>
      </w:r>
      <w:r w:rsidR="002B73F0" w:rsidRPr="00153074">
        <w:rPr>
          <w:lang w:val="es-ES_tradnl"/>
        </w:rPr>
        <w:t>corriente de servicios que el asociado privado genera con el activo</w:t>
      </w:r>
      <w:r w:rsidR="002A7792" w:rsidRPr="00153074">
        <w:rPr>
          <w:lang w:val="es-ES_tradnl"/>
        </w:rPr>
        <w:t>”</w:t>
      </w:r>
      <w:r w:rsidR="002B73F0" w:rsidRPr="00153074">
        <w:rPr>
          <w:lang w:val="es-ES_tradnl"/>
        </w:rPr>
        <w:t xml:space="preserve"> y cuya </w:t>
      </w:r>
      <w:r w:rsidR="0001535E" w:rsidRPr="00153074">
        <w:rPr>
          <w:lang w:val="es-ES_tradnl"/>
        </w:rPr>
        <w:t>propiedad</w:t>
      </w:r>
      <w:r w:rsidR="002B73F0" w:rsidRPr="00153074">
        <w:rPr>
          <w:lang w:val="es-ES_tradnl"/>
        </w:rPr>
        <w:t xml:space="preserve"> y responsabilidad del mantenimiento </w:t>
      </w:r>
      <w:r w:rsidR="0001535E" w:rsidRPr="00153074">
        <w:rPr>
          <w:lang w:val="es-ES_tradnl"/>
        </w:rPr>
        <w:t>son de</w:t>
      </w:r>
      <w:r w:rsidR="002B73F0" w:rsidRPr="00153074">
        <w:rPr>
          <w:lang w:val="es-ES_tradnl"/>
        </w:rPr>
        <w:t>l operador privado</w:t>
      </w:r>
      <w:r w:rsidR="00B1268C" w:rsidRPr="00153074">
        <w:rPr>
          <w:lang w:val="es-ES_tradnl"/>
        </w:rPr>
        <w:t xml:space="preserve"> (</w:t>
      </w:r>
      <w:r w:rsidR="003A4EDB" w:rsidRPr="00153074">
        <w:rPr>
          <w:lang w:val="es-ES_tradnl"/>
        </w:rPr>
        <w:t>OCDE</w:t>
      </w:r>
      <w:r w:rsidR="00B1268C" w:rsidRPr="00153074">
        <w:rPr>
          <w:lang w:val="es-ES_tradnl"/>
        </w:rPr>
        <w:t xml:space="preserve"> 2008)</w:t>
      </w:r>
      <w:r w:rsidR="002B73F0" w:rsidRPr="00153074">
        <w:rPr>
          <w:lang w:val="es-ES_tradnl"/>
        </w:rPr>
        <w:t xml:space="preserve">. Por otra parte, </w:t>
      </w:r>
      <w:r w:rsidR="001306E9" w:rsidRPr="00153074">
        <w:rPr>
          <w:lang w:val="es-ES_tradnl"/>
        </w:rPr>
        <w:t xml:space="preserve">las </w:t>
      </w:r>
      <w:r w:rsidR="00E54F55" w:rsidRPr="00153074">
        <w:rPr>
          <w:lang w:val="es-ES_tradnl"/>
        </w:rPr>
        <w:t>APP</w:t>
      </w:r>
      <w:r w:rsidR="000741AE" w:rsidRPr="00153074">
        <w:rPr>
          <w:lang w:val="es-ES_tradnl"/>
        </w:rPr>
        <w:t xml:space="preserve"> se rigen por el derecho contractual privado,</w:t>
      </w:r>
      <w:r w:rsidR="00B1268C" w:rsidRPr="00153074">
        <w:rPr>
          <w:lang w:val="es-ES_tradnl"/>
        </w:rPr>
        <w:t xml:space="preserve"> </w:t>
      </w:r>
      <w:r w:rsidR="000741AE" w:rsidRPr="00153074">
        <w:rPr>
          <w:lang w:val="es-ES_tradnl"/>
        </w:rPr>
        <w:t>con unos requisitos de transparencia y publicación de información menos exigentes que bajo el derecho</w:t>
      </w:r>
      <w:r w:rsidR="008A30DA" w:rsidRPr="00153074">
        <w:rPr>
          <w:lang w:val="es-ES_tradnl"/>
        </w:rPr>
        <w:t xml:space="preserve"> (administración</w:t>
      </w:r>
      <w:r w:rsidR="000741AE" w:rsidRPr="00153074">
        <w:rPr>
          <w:lang w:val="es-ES_tradnl"/>
        </w:rPr>
        <w:t>)</w:t>
      </w:r>
      <w:r w:rsidR="008A30DA" w:rsidRPr="00153074">
        <w:rPr>
          <w:lang w:val="es-ES_tradnl"/>
        </w:rPr>
        <w:t xml:space="preserve"> </w:t>
      </w:r>
      <w:r w:rsidR="000741AE" w:rsidRPr="00153074">
        <w:rPr>
          <w:lang w:val="es-ES_tradnl"/>
        </w:rPr>
        <w:t>de la</w:t>
      </w:r>
      <w:r w:rsidR="001306E9" w:rsidRPr="00153074">
        <w:rPr>
          <w:lang w:val="es-ES_tradnl"/>
        </w:rPr>
        <w:t xml:space="preserve"> contratación </w:t>
      </w:r>
      <w:r w:rsidR="008A30DA" w:rsidRPr="00153074">
        <w:rPr>
          <w:lang w:val="es-ES_tradnl"/>
        </w:rPr>
        <w:t xml:space="preserve">no </w:t>
      </w:r>
      <w:r w:rsidR="001306E9" w:rsidRPr="00153074">
        <w:rPr>
          <w:lang w:val="es-ES_tradnl"/>
        </w:rPr>
        <w:t>pública</w:t>
      </w:r>
      <w:r w:rsidR="00B1268C" w:rsidRPr="00153074">
        <w:rPr>
          <w:lang w:val="es-ES_tradnl"/>
        </w:rPr>
        <w:t>.</w:t>
      </w:r>
    </w:p>
    <w:p w:rsidR="00B1268C" w:rsidRPr="00153074" w:rsidRDefault="00B1268C" w:rsidP="007462FA">
      <w:pPr>
        <w:jc w:val="both"/>
        <w:rPr>
          <w:lang w:val="es-ES_tradnl"/>
        </w:rPr>
      </w:pPr>
    </w:p>
    <w:p w:rsidR="00B1268C" w:rsidRPr="00153074" w:rsidRDefault="006F246A" w:rsidP="00C90AC0">
      <w:pPr>
        <w:pStyle w:val="Heading2"/>
        <w:rPr>
          <w:lang w:val="es-ES_tradnl"/>
        </w:rPr>
      </w:pPr>
      <w:bookmarkStart w:id="23" w:name="_Toc359331971"/>
      <w:bookmarkStart w:id="24" w:name="_Toc369604906"/>
      <w:r w:rsidRPr="00153074">
        <w:rPr>
          <w:lang w:val="es-ES_tradnl"/>
        </w:rPr>
        <w:t xml:space="preserve">Establecimiento de </w:t>
      </w:r>
      <w:r w:rsidR="00EC49B1" w:rsidRPr="00153074">
        <w:rPr>
          <w:lang w:val="es-ES_tradnl"/>
        </w:rPr>
        <w:t>redes</w:t>
      </w:r>
      <w:r w:rsidRPr="00153074">
        <w:rPr>
          <w:lang w:val="es-ES_tradnl"/>
        </w:rPr>
        <w:t xml:space="preserve"> y </w:t>
      </w:r>
      <w:r w:rsidR="002C7B14" w:rsidRPr="00153074">
        <w:rPr>
          <w:lang w:val="es-ES_tradnl"/>
        </w:rPr>
        <w:t>promoción</w:t>
      </w:r>
      <w:r w:rsidRPr="00153074">
        <w:rPr>
          <w:lang w:val="es-ES_tradnl"/>
        </w:rPr>
        <w:t xml:space="preserve"> de políticas</w:t>
      </w:r>
      <w:bookmarkEnd w:id="23"/>
      <w:bookmarkEnd w:id="24"/>
    </w:p>
    <w:p w:rsidR="00155BB8" w:rsidRPr="00153074" w:rsidRDefault="00155BB8" w:rsidP="007462FA">
      <w:pPr>
        <w:jc w:val="both"/>
        <w:rPr>
          <w:lang w:val="es-ES_tradnl"/>
        </w:rPr>
      </w:pPr>
      <w:r w:rsidRPr="00153074">
        <w:rPr>
          <w:lang w:val="es-ES_tradnl"/>
        </w:rPr>
        <w:t xml:space="preserve">Las relaciones no comerciales incluyen ayudas públicas basadas en subvenciones que, a diferencia de las relaciones comerciales, no están </w:t>
      </w:r>
      <w:r w:rsidR="00EC49B1" w:rsidRPr="00153074">
        <w:rPr>
          <w:lang w:val="es-ES_tradnl"/>
        </w:rPr>
        <w:t>enfocadas en</w:t>
      </w:r>
      <w:r w:rsidRPr="00153074">
        <w:rPr>
          <w:lang w:val="es-ES_tradnl"/>
        </w:rPr>
        <w:t xml:space="preserve"> un resultado económicamente tangible (por ejemplo</w:t>
      </w:r>
      <w:r w:rsidR="00EC49B1" w:rsidRPr="00153074">
        <w:rPr>
          <w:lang w:val="es-ES_tradnl"/>
        </w:rPr>
        <w:t xml:space="preserve"> la</w:t>
      </w:r>
      <w:r w:rsidRPr="00153074">
        <w:rPr>
          <w:lang w:val="es-ES_tradnl"/>
        </w:rPr>
        <w:t xml:space="preserve"> construcción de un puente,</w:t>
      </w:r>
      <w:r w:rsidR="00EC49B1" w:rsidRPr="00153074">
        <w:rPr>
          <w:lang w:val="es-ES_tradnl"/>
        </w:rPr>
        <w:t xml:space="preserve"> la</w:t>
      </w:r>
      <w:r w:rsidRPr="00153074">
        <w:rPr>
          <w:lang w:val="es-ES_tradnl"/>
        </w:rPr>
        <w:t xml:space="preserve"> inversión en capacidades productivas de una firma local) sino más bien </w:t>
      </w:r>
      <w:r w:rsidR="00EC49B1" w:rsidRPr="00153074">
        <w:rPr>
          <w:lang w:val="es-ES_tradnl"/>
        </w:rPr>
        <w:t>en</w:t>
      </w:r>
      <w:r w:rsidRPr="00153074">
        <w:rPr>
          <w:lang w:val="es-ES_tradnl"/>
        </w:rPr>
        <w:t xml:space="preserve"> resultados no tangibles (</w:t>
      </w:r>
      <w:r w:rsidR="00EC49B1" w:rsidRPr="00153074">
        <w:rPr>
          <w:lang w:val="es-ES_tradnl"/>
        </w:rPr>
        <w:t xml:space="preserve">es decir, </w:t>
      </w:r>
      <w:r w:rsidRPr="00153074">
        <w:rPr>
          <w:lang w:val="es-ES_tradnl"/>
        </w:rPr>
        <w:t xml:space="preserve">facilitación del </w:t>
      </w:r>
      <w:r w:rsidR="002A7792" w:rsidRPr="00153074">
        <w:rPr>
          <w:lang w:val="es-ES_tradnl"/>
        </w:rPr>
        <w:t>“</w:t>
      </w:r>
      <w:r w:rsidRPr="00153074">
        <w:rPr>
          <w:lang w:val="es-ES_tradnl"/>
        </w:rPr>
        <w:t>acceso</w:t>
      </w:r>
      <w:r w:rsidR="002A7792" w:rsidRPr="00153074">
        <w:rPr>
          <w:lang w:val="es-ES_tradnl"/>
        </w:rPr>
        <w:t>”</w:t>
      </w:r>
      <w:r w:rsidRPr="00153074">
        <w:rPr>
          <w:lang w:val="es-ES_tradnl"/>
        </w:rPr>
        <w:t xml:space="preserve"> del sector privado extranjero a mercados nacionales, a la contratación pública nacional o a los responsables de políticas).</w:t>
      </w:r>
    </w:p>
    <w:p w:rsidR="00B1268C" w:rsidRPr="00153074" w:rsidRDefault="00B1268C" w:rsidP="008D3287">
      <w:pPr>
        <w:rPr>
          <w:lang w:val="es-ES_tradnl"/>
        </w:rPr>
      </w:pPr>
    </w:p>
    <w:p w:rsidR="00B1268C" w:rsidRPr="00153074" w:rsidRDefault="00B1268C" w:rsidP="007462FA">
      <w:pPr>
        <w:pStyle w:val="Heading3"/>
        <w:rPr>
          <w:lang w:val="es-ES_tradnl"/>
        </w:rPr>
      </w:pPr>
      <w:bookmarkStart w:id="25" w:name="_Toc359331972"/>
      <w:bookmarkStart w:id="26" w:name="_Toc369604907"/>
      <w:r w:rsidRPr="00153074">
        <w:rPr>
          <w:lang w:val="es-ES_tradnl"/>
        </w:rPr>
        <w:t>Cofinan</w:t>
      </w:r>
      <w:r w:rsidR="00155BB8" w:rsidRPr="00153074">
        <w:rPr>
          <w:lang w:val="es-ES_tradnl"/>
        </w:rPr>
        <w:t xml:space="preserve">ciación de </w:t>
      </w:r>
      <w:bookmarkEnd w:id="25"/>
      <w:r w:rsidR="00155BB8" w:rsidRPr="00153074">
        <w:rPr>
          <w:lang w:val="es-ES_tradnl"/>
        </w:rPr>
        <w:t>asociados locales y establecimiento de redes</w:t>
      </w:r>
      <w:bookmarkEnd w:id="26"/>
    </w:p>
    <w:p w:rsidR="00B1268C" w:rsidRPr="00153074" w:rsidRDefault="00A06CED" w:rsidP="007462FA">
      <w:pPr>
        <w:jc w:val="both"/>
        <w:rPr>
          <w:lang w:val="es-ES_tradnl"/>
        </w:rPr>
      </w:pPr>
      <w:r w:rsidRPr="00153074">
        <w:rPr>
          <w:lang w:val="es-ES_tradnl"/>
        </w:rPr>
        <w:t xml:space="preserve">La mayoría de las agencias gubernamentales </w:t>
      </w:r>
      <w:r w:rsidR="00EC49B1" w:rsidRPr="00153074">
        <w:rPr>
          <w:lang w:val="es-ES_tradnl"/>
        </w:rPr>
        <w:t xml:space="preserve">de ayuda </w:t>
      </w:r>
      <w:r w:rsidRPr="00153074">
        <w:rPr>
          <w:lang w:val="es-ES_tradnl"/>
        </w:rPr>
        <w:t>cuentan con una línea presupuestaria específica para asignar subvenciones al establecimiento de redes dirigido por empresas privadas y a proyectos pro-bono (filantrópicos)</w:t>
      </w:r>
      <w:r w:rsidR="00C16C9D" w:rsidRPr="00153074">
        <w:rPr>
          <w:lang w:val="es-ES_tradnl"/>
        </w:rPr>
        <w:t xml:space="preserve"> en países en desarrollo. Estas líneas presupuestarias suelen denominarse </w:t>
      </w:r>
      <w:r w:rsidR="002A7792" w:rsidRPr="00153074">
        <w:rPr>
          <w:lang w:val="es-ES_tradnl"/>
        </w:rPr>
        <w:t>“</w:t>
      </w:r>
      <w:r w:rsidR="00C16C9D" w:rsidRPr="00153074">
        <w:rPr>
          <w:lang w:val="es-ES_tradnl"/>
        </w:rPr>
        <w:t>fondos</w:t>
      </w:r>
      <w:r w:rsidR="002A7792" w:rsidRPr="00153074">
        <w:rPr>
          <w:lang w:val="es-ES_tradnl"/>
        </w:rPr>
        <w:t>”</w:t>
      </w:r>
      <w:r w:rsidR="00354C3C" w:rsidRPr="00153074">
        <w:rPr>
          <w:lang w:val="es-ES_tradnl"/>
        </w:rPr>
        <w:t>,</w:t>
      </w:r>
      <w:r w:rsidR="00C16C9D" w:rsidRPr="00153074">
        <w:rPr>
          <w:lang w:val="es-ES_tradnl"/>
        </w:rPr>
        <w:t xml:space="preserve"> aunque la utilización de</w:t>
      </w:r>
      <w:r w:rsidR="00354C3C" w:rsidRPr="00153074">
        <w:rPr>
          <w:lang w:val="es-ES_tradnl"/>
        </w:rPr>
        <w:t xml:space="preserve"> este</w:t>
      </w:r>
      <w:r w:rsidR="00C16C9D" w:rsidRPr="00153074">
        <w:rPr>
          <w:lang w:val="es-ES_tradnl"/>
        </w:rPr>
        <w:t xml:space="preserve"> término podría </w:t>
      </w:r>
      <w:r w:rsidR="00354C3C" w:rsidRPr="00153074">
        <w:rPr>
          <w:lang w:val="es-ES_tradnl"/>
        </w:rPr>
        <w:t>inducir</w:t>
      </w:r>
      <w:r w:rsidR="00C16C9D" w:rsidRPr="00153074">
        <w:rPr>
          <w:lang w:val="es-ES_tradnl"/>
        </w:rPr>
        <w:t xml:space="preserve"> a error puesto que bajo estos programas no se trata de obtener un rendimiento de la inversión. La financiación basada en subvenciones suele proporcionarse sobre una base de costos compartidos</w:t>
      </w:r>
      <w:r w:rsidR="000C58DD" w:rsidRPr="00153074">
        <w:rPr>
          <w:lang w:val="es-ES_tradnl"/>
        </w:rPr>
        <w:t xml:space="preserve"> a una empresa multinacional (</w:t>
      </w:r>
      <w:r w:rsidR="00354C3C" w:rsidRPr="00153074">
        <w:rPr>
          <w:lang w:val="es-ES_tradnl"/>
        </w:rPr>
        <w:t xml:space="preserve">es decir, </w:t>
      </w:r>
      <w:r w:rsidR="000C58DD" w:rsidRPr="00153074">
        <w:rPr>
          <w:lang w:val="es-ES_tradnl"/>
        </w:rPr>
        <w:t>la subvención pública debe ir acompañada de una financiación equivalente del sector privado) para financiar obj</w:t>
      </w:r>
      <w:r w:rsidR="004B5294" w:rsidRPr="00153074">
        <w:rPr>
          <w:lang w:val="es-ES_tradnl"/>
        </w:rPr>
        <w:t>etivos no comerciales, inter ali</w:t>
      </w:r>
      <w:r w:rsidR="000C58DD" w:rsidRPr="00153074">
        <w:rPr>
          <w:lang w:val="es-ES_tradnl"/>
        </w:rPr>
        <w:t xml:space="preserve">a: promover asociaciones locales </w:t>
      </w:r>
      <w:r w:rsidR="000C58DD" w:rsidRPr="00153074">
        <w:rPr>
          <w:lang w:val="es-ES_tradnl"/>
        </w:rPr>
        <w:lastRenderedPageBreak/>
        <w:t>con empresas nacionales, normas sociales o medioambientales en la cadena de suministro, o mejorar las actividades filantrópicas independientes y con intereses propios de la empresa.</w:t>
      </w:r>
      <w:r w:rsidR="009401FE" w:rsidRPr="00153074">
        <w:rPr>
          <w:lang w:val="es-ES_tradnl"/>
        </w:rPr>
        <w:t xml:space="preserve"> Pueden citarse como ejemplos diversos</w:t>
      </w:r>
      <w:r w:rsidR="00B1268C" w:rsidRPr="00153074">
        <w:rPr>
          <w:lang w:val="es-ES_tradnl"/>
        </w:rPr>
        <w:t xml:space="preserve"> </w:t>
      </w:r>
      <w:r w:rsidR="00F65E55" w:rsidRPr="00153074">
        <w:rPr>
          <w:lang w:val="es-ES_tradnl"/>
        </w:rPr>
        <w:t xml:space="preserve">los </w:t>
      </w:r>
      <w:r w:rsidR="006B74EA" w:rsidRPr="00153074">
        <w:rPr>
          <w:lang w:val="es-ES_tradnl"/>
        </w:rPr>
        <w:t>Fondos de capital riesgo por sector del Ministerio Británico para el Desarrollo Internacional</w:t>
      </w:r>
      <w:r w:rsidR="00B1268C" w:rsidRPr="00153074">
        <w:rPr>
          <w:lang w:val="es-ES_tradnl"/>
        </w:rPr>
        <w:t xml:space="preserve"> </w:t>
      </w:r>
      <w:r w:rsidR="009401FE" w:rsidRPr="00153074">
        <w:rPr>
          <w:lang w:val="es-ES_tradnl"/>
        </w:rPr>
        <w:t>como, por ejemplo el</w:t>
      </w:r>
      <w:r w:rsidR="00B1268C" w:rsidRPr="00153074">
        <w:rPr>
          <w:lang w:val="es-ES_tradnl"/>
        </w:rPr>
        <w:t xml:space="preserve"> </w:t>
      </w:r>
      <w:r w:rsidR="0062341A" w:rsidRPr="00153074">
        <w:rPr>
          <w:lang w:val="es-ES_tradnl"/>
        </w:rPr>
        <w:t>Food Retail Industry Challenge Fund (</w:t>
      </w:r>
      <w:r w:rsidR="00B91D95" w:rsidRPr="00153074">
        <w:rPr>
          <w:lang w:val="es-ES_tradnl"/>
        </w:rPr>
        <w:t>Fondo de capital de riesgo del sector minorista de la alimentación</w:t>
      </w:r>
      <w:r w:rsidR="0062341A" w:rsidRPr="00153074">
        <w:rPr>
          <w:lang w:val="es-ES_tradnl"/>
        </w:rPr>
        <w:t>)</w:t>
      </w:r>
      <w:r w:rsidR="00B1268C" w:rsidRPr="00153074">
        <w:rPr>
          <w:lang w:val="es-ES_tradnl"/>
        </w:rPr>
        <w:t xml:space="preserve">, </w:t>
      </w:r>
      <w:r w:rsidR="009401FE" w:rsidRPr="00153074">
        <w:rPr>
          <w:lang w:val="es-ES_tradnl"/>
        </w:rPr>
        <w:t>el</w:t>
      </w:r>
      <w:r w:rsidR="00B1268C" w:rsidRPr="00153074">
        <w:rPr>
          <w:lang w:val="es-ES_tradnl"/>
        </w:rPr>
        <w:t xml:space="preserve"> Dutch Private Sector Investment Programme</w:t>
      </w:r>
      <w:r w:rsidR="0062341A" w:rsidRPr="00153074">
        <w:rPr>
          <w:lang w:val="es-ES_tradnl"/>
        </w:rPr>
        <w:t xml:space="preserve"> (Programa holandés de inversión del sector privado)</w:t>
      </w:r>
      <w:r w:rsidR="00B1268C" w:rsidRPr="00153074">
        <w:rPr>
          <w:lang w:val="es-ES_tradnl"/>
        </w:rPr>
        <w:t xml:space="preserve">, </w:t>
      </w:r>
      <w:r w:rsidR="009401FE" w:rsidRPr="00153074">
        <w:rPr>
          <w:lang w:val="es-ES_tradnl"/>
        </w:rPr>
        <w:t>el</w:t>
      </w:r>
      <w:r w:rsidR="0062341A" w:rsidRPr="00153074">
        <w:rPr>
          <w:lang w:val="es-ES_tradnl"/>
        </w:rPr>
        <w:t xml:space="preserve"> programa danés </w:t>
      </w:r>
      <w:r w:rsidR="00B1268C" w:rsidRPr="00153074">
        <w:rPr>
          <w:lang w:val="es-ES_tradnl"/>
        </w:rPr>
        <w:t xml:space="preserve">Danida Business-to-Business </w:t>
      </w:r>
      <w:r w:rsidR="009401FE" w:rsidRPr="00153074">
        <w:rPr>
          <w:lang w:val="es-ES_tradnl"/>
        </w:rPr>
        <w:t>y la</w:t>
      </w:r>
      <w:r w:rsidR="00B1268C" w:rsidRPr="00153074">
        <w:rPr>
          <w:lang w:val="es-ES_tradnl"/>
        </w:rPr>
        <w:t xml:space="preserve"> </w:t>
      </w:r>
      <w:r w:rsidR="00A74708" w:rsidRPr="00153074">
        <w:rPr>
          <w:lang w:val="es-ES_tradnl"/>
        </w:rPr>
        <w:t xml:space="preserve">Alianza Mundial para el Desarrollo de </w:t>
      </w:r>
      <w:r w:rsidR="00B1268C" w:rsidRPr="00153074">
        <w:rPr>
          <w:lang w:val="es-ES_tradnl"/>
        </w:rPr>
        <w:t>USAID.</w:t>
      </w:r>
    </w:p>
    <w:p w:rsidR="00B1268C" w:rsidRPr="00153074" w:rsidRDefault="00B1268C" w:rsidP="007462FA">
      <w:pPr>
        <w:pStyle w:val="ListParagraph"/>
        <w:ind w:left="0"/>
        <w:jc w:val="both"/>
        <w:rPr>
          <w:rFonts w:ascii="Arial" w:hAnsi="Arial" w:cs="Arial"/>
          <w:i/>
          <w:sz w:val="20"/>
          <w:szCs w:val="20"/>
          <w:lang w:val="es-ES_tradnl"/>
        </w:rPr>
      </w:pPr>
    </w:p>
    <w:p w:rsidR="00B1268C" w:rsidRPr="00153074" w:rsidRDefault="00E65923" w:rsidP="007462FA">
      <w:pPr>
        <w:pStyle w:val="Heading3"/>
        <w:rPr>
          <w:lang w:val="es-ES_tradnl"/>
        </w:rPr>
      </w:pPr>
      <w:bookmarkStart w:id="27" w:name="_Toc359331973"/>
      <w:bookmarkStart w:id="28" w:name="_Toc369604908"/>
      <w:r w:rsidRPr="00153074">
        <w:rPr>
          <w:lang w:val="es-ES_tradnl"/>
        </w:rPr>
        <w:t>Servicios de asesoramiento y programas de desarrollo de capacidades</w:t>
      </w:r>
      <w:bookmarkEnd w:id="27"/>
      <w:bookmarkEnd w:id="28"/>
    </w:p>
    <w:p w:rsidR="00B1268C" w:rsidRPr="00153074" w:rsidRDefault="00E65923" w:rsidP="007462FA">
      <w:pPr>
        <w:jc w:val="both"/>
        <w:rPr>
          <w:lang w:val="es-ES_tradnl"/>
        </w:rPr>
      </w:pPr>
      <w:r w:rsidRPr="00153074">
        <w:rPr>
          <w:lang w:val="es-ES_tradnl"/>
        </w:rPr>
        <w:t xml:space="preserve">El desarrollo de capacidades de la administración del </w:t>
      </w:r>
      <w:r w:rsidR="00864464" w:rsidRPr="00153074">
        <w:rPr>
          <w:lang w:val="es-ES_tradnl"/>
        </w:rPr>
        <w:t>Gobierno</w:t>
      </w:r>
      <w:r w:rsidRPr="00153074">
        <w:rPr>
          <w:lang w:val="es-ES_tradnl"/>
        </w:rPr>
        <w:t xml:space="preserve"> receptor es fundamental para la mayoría de los organismos de ayuda. Los programas de capacidades centrados en el sector privado incluyen facilitación comercial (como parte de los programas de ayuda al comercio), servicios</w:t>
      </w:r>
      <w:r w:rsidR="006A670B" w:rsidRPr="00153074">
        <w:rPr>
          <w:lang w:val="es-ES_tradnl"/>
        </w:rPr>
        <w:t xml:space="preserve"> </w:t>
      </w:r>
      <w:r w:rsidR="006E1F04" w:rsidRPr="00153074">
        <w:rPr>
          <w:lang w:val="es-ES_tradnl"/>
        </w:rPr>
        <w:t xml:space="preserve">a </w:t>
      </w:r>
      <w:r w:rsidR="006A670B" w:rsidRPr="00153074">
        <w:rPr>
          <w:lang w:val="es-ES_tradnl"/>
        </w:rPr>
        <w:t>pequeña</w:t>
      </w:r>
      <w:r w:rsidR="006E1F04" w:rsidRPr="00153074">
        <w:rPr>
          <w:lang w:val="es-ES_tradnl"/>
        </w:rPr>
        <w:t xml:space="preserve">s y medianas empresas, apoyo a la iniciativa empresarial </w:t>
      </w:r>
      <w:r w:rsidR="006A670B" w:rsidRPr="00153074">
        <w:rPr>
          <w:lang w:val="es-ES_tradnl"/>
        </w:rPr>
        <w:t>a través de formación, y transferencia de innovación técnica. Los donantes también pueden ofrecer servicios de asesoramiento directo</w:t>
      </w:r>
      <w:r w:rsidR="006E1F04" w:rsidRPr="00153074">
        <w:rPr>
          <w:lang w:val="es-ES_tradnl"/>
        </w:rPr>
        <w:t xml:space="preserve"> a</w:t>
      </w:r>
      <w:r w:rsidR="006A670B" w:rsidRPr="00153074">
        <w:rPr>
          <w:lang w:val="es-ES_tradnl"/>
        </w:rPr>
        <w:t xml:space="preserve"> empresas </w:t>
      </w:r>
      <w:r w:rsidR="006E1F04" w:rsidRPr="00153074">
        <w:rPr>
          <w:lang w:val="es-ES_tradnl"/>
        </w:rPr>
        <w:t xml:space="preserve">extranjeras </w:t>
      </w:r>
      <w:r w:rsidR="006A670B" w:rsidRPr="00153074">
        <w:rPr>
          <w:lang w:val="es-ES_tradnl"/>
        </w:rPr>
        <w:t>del sector privado.</w:t>
      </w:r>
      <w:r w:rsidR="00B1268C" w:rsidRPr="00153074">
        <w:rPr>
          <w:lang w:val="es-ES_tradnl"/>
        </w:rPr>
        <w:t xml:space="preserve"> </w:t>
      </w:r>
      <w:r w:rsidR="00D55C04" w:rsidRPr="00153074">
        <w:rPr>
          <w:lang w:val="es-ES_tradnl"/>
        </w:rPr>
        <w:t>La Corporación Financiera Internacional (CFI) del Banco Mundial es un buen ejemplo</w:t>
      </w:r>
      <w:r w:rsidR="006A670B" w:rsidRPr="00153074">
        <w:rPr>
          <w:lang w:val="es-ES_tradnl"/>
        </w:rPr>
        <w:t xml:space="preserve"> de esto</w:t>
      </w:r>
      <w:r w:rsidR="006E1F04" w:rsidRPr="00153074">
        <w:rPr>
          <w:lang w:val="es-ES_tradnl"/>
        </w:rPr>
        <w:t>. E</w:t>
      </w:r>
      <w:r w:rsidR="006A670B" w:rsidRPr="00153074">
        <w:rPr>
          <w:lang w:val="es-ES_tradnl"/>
        </w:rPr>
        <w:t>ntre las iniciativas bilaterales dirigidas por donantes, el</w:t>
      </w:r>
      <w:r w:rsidR="00B1268C" w:rsidRPr="00153074">
        <w:rPr>
          <w:lang w:val="es-ES_tradnl"/>
        </w:rPr>
        <w:t xml:space="preserve"> USAID Private Capital Group for Africa</w:t>
      </w:r>
      <w:r w:rsidR="00B1268C" w:rsidRPr="00153074">
        <w:rPr>
          <w:rStyle w:val="FootnoteReference"/>
          <w:rFonts w:ascii="Arial" w:hAnsi="Arial" w:cs="Arial"/>
          <w:sz w:val="20"/>
          <w:szCs w:val="20"/>
          <w:lang w:val="es-ES_tradnl"/>
        </w:rPr>
        <w:footnoteReference w:id="2"/>
      </w:r>
      <w:r w:rsidR="00B1268C" w:rsidRPr="00153074">
        <w:rPr>
          <w:lang w:val="es-ES_tradnl"/>
        </w:rPr>
        <w:t xml:space="preserve"> </w:t>
      </w:r>
      <w:r w:rsidR="006A670B" w:rsidRPr="00153074">
        <w:rPr>
          <w:lang w:val="es-ES_tradnl"/>
        </w:rPr>
        <w:t xml:space="preserve">ofrece servicios de asesoramiento a </w:t>
      </w:r>
      <w:r w:rsidR="006E1F04" w:rsidRPr="00153074">
        <w:rPr>
          <w:lang w:val="es-ES_tradnl"/>
        </w:rPr>
        <w:t>los fondos de inversión privada</w:t>
      </w:r>
      <w:r w:rsidR="006A670B" w:rsidRPr="00153074">
        <w:rPr>
          <w:lang w:val="es-ES_tradnl"/>
        </w:rPr>
        <w:t xml:space="preserve"> en el </w:t>
      </w:r>
      <w:r w:rsidR="002A7792" w:rsidRPr="00153074">
        <w:rPr>
          <w:lang w:val="es-ES_tradnl"/>
        </w:rPr>
        <w:t>“</w:t>
      </w:r>
      <w:r w:rsidR="006A670B" w:rsidRPr="00153074">
        <w:rPr>
          <w:lang w:val="es-ES_tradnl"/>
        </w:rPr>
        <w:t xml:space="preserve">diseño de plataformas </w:t>
      </w:r>
      <w:r w:rsidR="00595E79" w:rsidRPr="00153074">
        <w:rPr>
          <w:lang w:val="es-ES_tradnl"/>
        </w:rPr>
        <w:t xml:space="preserve">de </w:t>
      </w:r>
      <w:r w:rsidR="006A670B" w:rsidRPr="00153074">
        <w:rPr>
          <w:lang w:val="es-ES_tradnl"/>
        </w:rPr>
        <w:t>inversión expandibles,</w:t>
      </w:r>
      <w:r w:rsidR="000E1951" w:rsidRPr="00153074">
        <w:rPr>
          <w:lang w:val="es-ES_tradnl"/>
        </w:rPr>
        <w:t xml:space="preserve"> y la identificación de asociados estratégicos de desarrollo de proyectos en áreas de máximo impacto potencial, como por ejemplo los sectores de la energía, la sanidad y la agricultura</w:t>
      </w:r>
      <w:r w:rsidR="002A7792" w:rsidRPr="00153074">
        <w:rPr>
          <w:lang w:val="es-ES_tradnl"/>
        </w:rPr>
        <w:t>”</w:t>
      </w:r>
      <w:r w:rsidR="00B1268C" w:rsidRPr="00153074">
        <w:rPr>
          <w:lang w:val="es-ES_tradnl"/>
        </w:rPr>
        <w:t xml:space="preserve">, </w:t>
      </w:r>
      <w:r w:rsidR="000E1951" w:rsidRPr="00153074">
        <w:rPr>
          <w:lang w:val="es-ES_tradnl"/>
        </w:rPr>
        <w:t xml:space="preserve">incluyendo </w:t>
      </w:r>
      <w:r w:rsidR="002A7792" w:rsidRPr="00153074">
        <w:rPr>
          <w:lang w:val="es-ES_tradnl"/>
        </w:rPr>
        <w:t>“</w:t>
      </w:r>
      <w:r w:rsidR="000E1951" w:rsidRPr="00153074">
        <w:rPr>
          <w:lang w:val="es-ES_tradnl"/>
        </w:rPr>
        <w:t>negocia</w:t>
      </w:r>
      <w:r w:rsidR="000773A1" w:rsidRPr="00153074">
        <w:rPr>
          <w:lang w:val="es-ES_tradnl"/>
        </w:rPr>
        <w:t>r</w:t>
      </w:r>
      <w:r w:rsidR="000E1951" w:rsidRPr="00153074">
        <w:rPr>
          <w:lang w:val="es-ES_tradnl"/>
        </w:rPr>
        <w:t xml:space="preserve"> como un asesor independiente, representando la transacción</w:t>
      </w:r>
      <w:r w:rsidR="002A7792" w:rsidRPr="00153074">
        <w:rPr>
          <w:lang w:val="es-ES_tradnl"/>
        </w:rPr>
        <w:t>”</w:t>
      </w:r>
      <w:r w:rsidR="00B1268C" w:rsidRPr="00153074">
        <w:rPr>
          <w:lang w:val="es-ES_tradnl"/>
        </w:rPr>
        <w:t>.</w:t>
      </w:r>
      <w:r w:rsidR="00721735" w:rsidRPr="00153074">
        <w:rPr>
          <w:lang w:val="es-ES_tradnl"/>
        </w:rPr>
        <w:t xml:space="preserve"> </w:t>
      </w:r>
      <w:r w:rsidR="000E1951" w:rsidRPr="00153074">
        <w:rPr>
          <w:lang w:val="es-ES_tradnl"/>
        </w:rPr>
        <w:t xml:space="preserve">Otro ejemplo, como lo subraya el </w:t>
      </w:r>
      <w:r w:rsidR="00B1268C" w:rsidRPr="00153074">
        <w:rPr>
          <w:lang w:val="es-ES_tradnl"/>
        </w:rPr>
        <w:t xml:space="preserve">ECDPM, </w:t>
      </w:r>
      <w:r w:rsidR="000E1951" w:rsidRPr="00153074">
        <w:rPr>
          <w:lang w:val="es-ES_tradnl"/>
        </w:rPr>
        <w:t xml:space="preserve">es el </w:t>
      </w:r>
      <w:r w:rsidR="00554089" w:rsidRPr="00153074">
        <w:rPr>
          <w:lang w:val="es-ES_tradnl"/>
        </w:rPr>
        <w:t xml:space="preserve">Grupo de Desarrollo </w:t>
      </w:r>
      <w:r w:rsidR="00F77ED4" w:rsidRPr="00153074">
        <w:rPr>
          <w:lang w:val="es-ES_tradnl"/>
        </w:rPr>
        <w:t>para</w:t>
      </w:r>
      <w:r w:rsidR="00554089" w:rsidRPr="00153074">
        <w:rPr>
          <w:lang w:val="es-ES_tradnl"/>
        </w:rPr>
        <w:t xml:space="preserve"> Infraestructura</w:t>
      </w:r>
      <w:r w:rsidR="00F77ED4" w:rsidRPr="00153074">
        <w:rPr>
          <w:lang w:val="es-ES_tradnl"/>
        </w:rPr>
        <w:t>s</w:t>
      </w:r>
      <w:r w:rsidR="00554089" w:rsidRPr="00153074">
        <w:rPr>
          <w:lang w:val="es-ES_tradnl"/>
        </w:rPr>
        <w:t xml:space="preserve"> Privada</w:t>
      </w:r>
      <w:r w:rsidR="00F77ED4" w:rsidRPr="00153074">
        <w:rPr>
          <w:lang w:val="es-ES_tradnl"/>
        </w:rPr>
        <w:t>s</w:t>
      </w:r>
      <w:r w:rsidR="000E1951" w:rsidRPr="00153074">
        <w:rPr>
          <w:color w:val="222222"/>
          <w:lang w:val="es-ES_tradnl"/>
        </w:rPr>
        <w:t>, una iniciativa de donantes múltiples</w:t>
      </w:r>
      <w:r w:rsidR="00326CF2" w:rsidRPr="00153074">
        <w:rPr>
          <w:color w:val="222222"/>
          <w:lang w:val="es-ES_tradnl"/>
        </w:rPr>
        <w:t>, entre los que se encuentra</w:t>
      </w:r>
      <w:r w:rsidR="00B1268C" w:rsidRPr="00153074">
        <w:rPr>
          <w:color w:val="222222"/>
          <w:lang w:val="es-ES_tradnl"/>
        </w:rPr>
        <w:t xml:space="preserve"> </w:t>
      </w:r>
      <w:r w:rsidR="00D55C04" w:rsidRPr="00153074">
        <w:rPr>
          <w:color w:val="222222"/>
          <w:lang w:val="es-ES_tradnl"/>
        </w:rPr>
        <w:t>el Banco Mundial y la CFI</w:t>
      </w:r>
      <w:r w:rsidR="00326CF2" w:rsidRPr="00153074">
        <w:rPr>
          <w:color w:val="222222"/>
          <w:lang w:val="es-ES_tradnl"/>
        </w:rPr>
        <w:t xml:space="preserve">, </w:t>
      </w:r>
      <w:r w:rsidR="00D55C04" w:rsidRPr="00153074">
        <w:rPr>
          <w:color w:val="222222"/>
          <w:lang w:val="es-ES_tradnl"/>
        </w:rPr>
        <w:t>que proporciona una amplia gama de servicios de apoyo financiero, práctico y estratégico para promover negocios y</w:t>
      </w:r>
      <w:r w:rsidR="000E1951" w:rsidRPr="00153074">
        <w:rPr>
          <w:color w:val="222222"/>
          <w:lang w:val="es-ES_tradnl"/>
        </w:rPr>
        <w:t xml:space="preserve"> empresas conjuntas </w:t>
      </w:r>
      <w:r w:rsidR="00B1268C" w:rsidRPr="00153074">
        <w:rPr>
          <w:color w:val="222222"/>
          <w:lang w:val="es-ES_tradnl"/>
        </w:rPr>
        <w:t>(ECDPM 2012, DFID 2012)</w:t>
      </w:r>
      <w:r w:rsidR="00771C04" w:rsidRPr="00153074">
        <w:rPr>
          <w:color w:val="222222"/>
          <w:lang w:val="es-ES_tradnl"/>
        </w:rPr>
        <w:t>.</w:t>
      </w:r>
    </w:p>
    <w:p w:rsidR="00B1268C" w:rsidRPr="00153074" w:rsidRDefault="00B1268C" w:rsidP="008D3287">
      <w:pPr>
        <w:rPr>
          <w:lang w:val="es-ES_tradnl"/>
        </w:rPr>
      </w:pPr>
    </w:p>
    <w:p w:rsidR="00B1268C" w:rsidRPr="00153074" w:rsidRDefault="003841C6" w:rsidP="007462FA">
      <w:pPr>
        <w:pStyle w:val="Heading3"/>
        <w:rPr>
          <w:lang w:val="es-ES_tradnl"/>
        </w:rPr>
      </w:pPr>
      <w:bookmarkStart w:id="29" w:name="_Toc359331974"/>
      <w:bookmarkStart w:id="30" w:name="_Toc369604909"/>
      <w:r w:rsidRPr="00153074">
        <w:rPr>
          <w:lang w:val="es-ES_tradnl"/>
        </w:rPr>
        <w:t>Establecimiento de normas y promoción de políticas</w:t>
      </w:r>
      <w:bookmarkEnd w:id="29"/>
      <w:bookmarkEnd w:id="30"/>
    </w:p>
    <w:p w:rsidR="00B1268C" w:rsidRPr="00153074" w:rsidRDefault="003841C6" w:rsidP="007462FA">
      <w:pPr>
        <w:jc w:val="both"/>
        <w:rPr>
          <w:lang w:val="es-ES_tradnl"/>
        </w:rPr>
      </w:pPr>
      <w:r w:rsidRPr="00153074">
        <w:rPr>
          <w:lang w:val="es-ES_tradnl"/>
        </w:rPr>
        <w:t xml:space="preserve">Por último, las relaciones comerciales pueden presentarse como foros de diálogo entre el </w:t>
      </w:r>
      <w:r w:rsidR="00864464" w:rsidRPr="00153074">
        <w:rPr>
          <w:lang w:val="es-ES_tradnl"/>
        </w:rPr>
        <w:t>Gobierno</w:t>
      </w:r>
      <w:r w:rsidRPr="00153074">
        <w:rPr>
          <w:lang w:val="es-ES_tradnl"/>
        </w:rPr>
        <w:t xml:space="preserve"> y otros responsables políticos por una parte, y el sector privado y </w:t>
      </w:r>
      <w:r w:rsidR="002A7792" w:rsidRPr="00153074">
        <w:rPr>
          <w:lang w:val="es-ES_tradnl"/>
        </w:rPr>
        <w:t>“</w:t>
      </w:r>
      <w:r w:rsidRPr="00153074">
        <w:rPr>
          <w:lang w:val="es-ES_tradnl"/>
        </w:rPr>
        <w:t>otros medios interesados</w:t>
      </w:r>
      <w:r w:rsidR="002A7792" w:rsidRPr="00153074">
        <w:rPr>
          <w:lang w:val="es-ES_tradnl"/>
        </w:rPr>
        <w:t>”</w:t>
      </w:r>
      <w:r w:rsidRPr="00153074">
        <w:rPr>
          <w:lang w:val="es-ES_tradnl"/>
        </w:rPr>
        <w:t xml:space="preserve"> por otra. En la mayoría de los casos, los foros son establecidos para y por grupos del sector privado con el objetivo de desarrollar y aplicar normas o estándares</w:t>
      </w:r>
      <w:r w:rsidR="001D72F1" w:rsidRPr="00153074">
        <w:rPr>
          <w:lang w:val="es-ES_tradnl"/>
        </w:rPr>
        <w:t xml:space="preserve"> de carácter optativo, o principios generales para lograr algú</w:t>
      </w:r>
      <w:r w:rsidR="005B7C9B" w:rsidRPr="00153074">
        <w:rPr>
          <w:lang w:val="es-ES_tradnl"/>
        </w:rPr>
        <w:t>n objetivo específico en materia de</w:t>
      </w:r>
      <w:r w:rsidR="001D72F1" w:rsidRPr="00153074">
        <w:rPr>
          <w:lang w:val="es-ES_tradnl"/>
        </w:rPr>
        <w:t xml:space="preserve"> sostenibilidad o pobreza relacionado con la ONU. La gran mayoría de las iniciativas están centradas en el sector extractivo energético, y</w:t>
      </w:r>
      <w:r w:rsidR="007F63DA" w:rsidRPr="00153074">
        <w:rPr>
          <w:lang w:val="es-ES_tradnl"/>
        </w:rPr>
        <w:t>,</w:t>
      </w:r>
      <w:r w:rsidR="001D72F1" w:rsidRPr="00153074">
        <w:rPr>
          <w:lang w:val="es-ES_tradnl"/>
        </w:rPr>
        <w:t xml:space="preserve"> geográficamente</w:t>
      </w:r>
      <w:r w:rsidR="007F63DA" w:rsidRPr="00153074">
        <w:rPr>
          <w:lang w:val="es-ES_tradnl"/>
        </w:rPr>
        <w:t>,</w:t>
      </w:r>
      <w:r w:rsidR="001D72F1" w:rsidRPr="00153074">
        <w:rPr>
          <w:lang w:val="es-ES_tradnl"/>
        </w:rPr>
        <w:t xml:space="preserve"> en África. Pueden citarse como ejemplos la</w:t>
      </w:r>
      <w:r w:rsidR="00B67BD5" w:rsidRPr="00153074">
        <w:rPr>
          <w:lang w:val="es-ES_tradnl"/>
        </w:rPr>
        <w:t xml:space="preserve"> </w:t>
      </w:r>
      <w:r w:rsidR="005B7C9B" w:rsidRPr="00153074">
        <w:rPr>
          <w:lang w:val="es-ES_tradnl"/>
        </w:rPr>
        <w:t>I</w:t>
      </w:r>
      <w:r w:rsidR="005B7C9B" w:rsidRPr="00153074">
        <w:rPr>
          <w:bCs/>
          <w:lang w:val="es-ES_tradnl"/>
        </w:rPr>
        <w:t>niciativa para la Transparencia de las Industrias Extractivas (EITI)</w:t>
      </w:r>
      <w:r w:rsidR="00B67BD5" w:rsidRPr="00153074">
        <w:rPr>
          <w:lang w:val="es-ES_tradnl"/>
        </w:rPr>
        <w:t xml:space="preserve">, </w:t>
      </w:r>
      <w:r w:rsidR="005B7C9B" w:rsidRPr="00153074">
        <w:rPr>
          <w:lang w:val="es-ES_tradnl"/>
        </w:rPr>
        <w:t>la Carta de Recursos Naturales</w:t>
      </w:r>
      <w:r w:rsidR="00B67BD5" w:rsidRPr="00153074">
        <w:rPr>
          <w:lang w:val="es-ES_tradnl"/>
        </w:rPr>
        <w:t>,</w:t>
      </w:r>
      <w:r w:rsidR="001D72F1" w:rsidRPr="00153074">
        <w:rPr>
          <w:lang w:val="es-ES_tradnl"/>
        </w:rPr>
        <w:t xml:space="preserve"> el proceso </w:t>
      </w:r>
      <w:r w:rsidR="00B67BD5" w:rsidRPr="00153074">
        <w:rPr>
          <w:lang w:val="es-ES_tradnl"/>
        </w:rPr>
        <w:t>Kimberley (</w:t>
      </w:r>
      <w:r w:rsidR="001D72F1" w:rsidRPr="00153074">
        <w:rPr>
          <w:lang w:val="es-ES_tradnl"/>
        </w:rPr>
        <w:t>centrado en los diamantes</w:t>
      </w:r>
      <w:r w:rsidR="00B67BD5" w:rsidRPr="00153074">
        <w:rPr>
          <w:lang w:val="es-ES_tradnl"/>
        </w:rPr>
        <w:t>)</w:t>
      </w:r>
      <w:r w:rsidR="00B67BD5" w:rsidRPr="00153074">
        <w:rPr>
          <w:rStyle w:val="FootnoteReference"/>
          <w:rFonts w:ascii="Arial" w:hAnsi="Arial" w:cs="Arial"/>
          <w:sz w:val="20"/>
          <w:szCs w:val="20"/>
          <w:lang w:val="es-ES_tradnl"/>
        </w:rPr>
        <w:footnoteReference w:id="3"/>
      </w:r>
      <w:r w:rsidR="00B67BD5" w:rsidRPr="00153074">
        <w:rPr>
          <w:lang w:val="es-ES_tradnl"/>
        </w:rPr>
        <w:t>,</w:t>
      </w:r>
      <w:r w:rsidR="001D72F1" w:rsidRPr="00153074">
        <w:rPr>
          <w:lang w:val="es-ES_tradnl"/>
        </w:rPr>
        <w:t xml:space="preserve"> la iniciativa </w:t>
      </w:r>
      <w:r w:rsidR="005B7C9B" w:rsidRPr="00153074">
        <w:rPr>
          <w:lang w:val="es-ES_tradnl"/>
        </w:rPr>
        <w:t>Aplicación de Leyes</w:t>
      </w:r>
      <w:r w:rsidR="00B67BD5" w:rsidRPr="00153074">
        <w:rPr>
          <w:lang w:val="es-ES_tradnl"/>
        </w:rPr>
        <w:t xml:space="preserve">, </w:t>
      </w:r>
      <w:r w:rsidR="005B7C9B" w:rsidRPr="00153074">
        <w:rPr>
          <w:lang w:val="es-ES_tradnl"/>
        </w:rPr>
        <w:t xml:space="preserve">Gobernanza y Comercio Forestales </w:t>
      </w:r>
      <w:r w:rsidR="00B67BD5" w:rsidRPr="00153074">
        <w:rPr>
          <w:lang w:val="es-ES_tradnl"/>
        </w:rPr>
        <w:t>(FLEGT)</w:t>
      </w:r>
      <w:r w:rsidR="00B67BD5" w:rsidRPr="00153074">
        <w:rPr>
          <w:rStyle w:val="FootnoteReference"/>
          <w:rFonts w:ascii="Arial" w:hAnsi="Arial" w:cs="Arial"/>
          <w:sz w:val="20"/>
          <w:szCs w:val="20"/>
          <w:lang w:val="es-ES_tradnl"/>
        </w:rPr>
        <w:footnoteReference w:id="4"/>
      </w:r>
      <w:r w:rsidR="00B67BD5" w:rsidRPr="00153074">
        <w:rPr>
          <w:lang w:val="es-ES_tradnl"/>
        </w:rPr>
        <w:t>,</w:t>
      </w:r>
      <w:r w:rsidR="001D72F1" w:rsidRPr="00153074">
        <w:rPr>
          <w:lang w:val="es-ES_tradnl"/>
        </w:rPr>
        <w:t xml:space="preserve"> la iniciativa </w:t>
      </w:r>
      <w:r w:rsidR="00781705" w:rsidRPr="00153074">
        <w:rPr>
          <w:lang w:val="es-ES_tradnl"/>
        </w:rPr>
        <w:t>Transparencia del Sector de la Construcción</w:t>
      </w:r>
      <w:r w:rsidR="00B67BD5" w:rsidRPr="00153074">
        <w:rPr>
          <w:lang w:val="es-ES_tradnl"/>
        </w:rPr>
        <w:t xml:space="preserve"> (CoST)</w:t>
      </w:r>
      <w:r w:rsidR="00B67BD5" w:rsidRPr="00153074">
        <w:rPr>
          <w:rStyle w:val="FootnoteReference"/>
          <w:rFonts w:ascii="Arial" w:hAnsi="Arial" w:cs="Arial"/>
          <w:sz w:val="20"/>
          <w:szCs w:val="20"/>
          <w:lang w:val="es-ES_tradnl"/>
        </w:rPr>
        <w:footnoteReference w:id="5"/>
      </w:r>
      <w:r w:rsidR="00781705" w:rsidRPr="00153074">
        <w:rPr>
          <w:lang w:val="es-ES_tradnl"/>
        </w:rPr>
        <w:t>,</w:t>
      </w:r>
      <w:r w:rsidR="00B67BD5" w:rsidRPr="00153074">
        <w:rPr>
          <w:lang w:val="es-ES_tradnl"/>
        </w:rPr>
        <w:t xml:space="preserve"> </w:t>
      </w:r>
      <w:r w:rsidR="00781705" w:rsidRPr="00153074">
        <w:rPr>
          <w:lang w:val="es-ES_tradnl"/>
        </w:rPr>
        <w:t>el Pacto Mundial</w:t>
      </w:r>
      <w:r w:rsidR="001D72F1" w:rsidRPr="00153074">
        <w:rPr>
          <w:lang w:val="es-ES_tradnl"/>
        </w:rPr>
        <w:t xml:space="preserve">, </w:t>
      </w:r>
      <w:r w:rsidR="00781705" w:rsidRPr="00153074">
        <w:rPr>
          <w:lang w:val="es-ES_tradnl"/>
        </w:rPr>
        <w:t>etc</w:t>
      </w:r>
      <w:r w:rsidR="00B67BD5" w:rsidRPr="00153074">
        <w:rPr>
          <w:lang w:val="es-ES_tradnl"/>
        </w:rPr>
        <w:t>.</w:t>
      </w:r>
    </w:p>
    <w:p w:rsidR="00B1268C" w:rsidRPr="00153074" w:rsidRDefault="00B1268C" w:rsidP="007462FA">
      <w:pPr>
        <w:jc w:val="both"/>
        <w:rPr>
          <w:rFonts w:ascii="Arial" w:hAnsi="Arial" w:cs="Arial"/>
          <w:sz w:val="20"/>
          <w:szCs w:val="20"/>
          <w:lang w:val="es-ES_tradnl"/>
        </w:rPr>
      </w:pPr>
    </w:p>
    <w:p w:rsidR="007462FA" w:rsidRPr="00153074" w:rsidRDefault="005B7C9B" w:rsidP="00C31BC3">
      <w:pPr>
        <w:jc w:val="both"/>
        <w:rPr>
          <w:rFonts w:ascii="Arial" w:hAnsi="Arial" w:cs="Arial"/>
          <w:sz w:val="20"/>
          <w:szCs w:val="20"/>
          <w:lang w:val="es-ES_tradnl"/>
        </w:rPr>
      </w:pPr>
      <w:bookmarkStart w:id="31" w:name="_Toc230681462"/>
      <w:bookmarkStart w:id="32" w:name="_Toc348354526"/>
      <w:r w:rsidRPr="00153074">
        <w:rPr>
          <w:lang w:val="es-ES_tradnl"/>
        </w:rPr>
        <w:t xml:space="preserve"> </w:t>
      </w:r>
      <w:r w:rsidR="004B1292" w:rsidRPr="00153074">
        <w:rPr>
          <w:lang w:val="es-ES_tradnl"/>
        </w:rPr>
        <w:br w:type="page"/>
      </w:r>
    </w:p>
    <w:p w:rsidR="00B1268C" w:rsidRPr="00153074" w:rsidRDefault="00113706" w:rsidP="00C31BC3">
      <w:pPr>
        <w:pStyle w:val="Heading1"/>
        <w:shd w:val="clear" w:color="auto" w:fill="C2D69B"/>
        <w:spacing w:before="0" w:after="120"/>
        <w:rPr>
          <w:b/>
          <w:spacing w:val="20"/>
          <w:sz w:val="36"/>
          <w:u w:val="single"/>
          <w:lang w:val="es-ES_tradnl"/>
        </w:rPr>
      </w:pPr>
      <w:bookmarkStart w:id="33" w:name="_Toc359331975"/>
      <w:bookmarkStart w:id="34" w:name="_Toc369604910"/>
      <w:r w:rsidRPr="00153074">
        <w:rPr>
          <w:b/>
          <w:spacing w:val="20"/>
          <w:sz w:val="36"/>
          <w:u w:val="single"/>
          <w:lang w:val="es-ES_tradnl"/>
        </w:rPr>
        <w:lastRenderedPageBreak/>
        <w:t xml:space="preserve">La </w:t>
      </w:r>
      <w:r w:rsidR="00135060" w:rsidRPr="00153074">
        <w:rPr>
          <w:b/>
          <w:spacing w:val="20"/>
          <w:sz w:val="36"/>
          <w:u w:val="single"/>
          <w:lang w:val="es-ES_tradnl"/>
        </w:rPr>
        <w:t>P</w:t>
      </w:r>
      <w:r w:rsidR="00526E0A" w:rsidRPr="00153074">
        <w:rPr>
          <w:b/>
          <w:spacing w:val="20"/>
          <w:sz w:val="36"/>
          <w:u w:val="single"/>
          <w:lang w:val="es-ES_tradnl"/>
        </w:rPr>
        <w:t>ujante</w:t>
      </w:r>
      <w:r w:rsidRPr="00153074">
        <w:rPr>
          <w:b/>
          <w:spacing w:val="20"/>
          <w:sz w:val="36"/>
          <w:u w:val="single"/>
          <w:lang w:val="es-ES_tradnl"/>
        </w:rPr>
        <w:t xml:space="preserve"> </w:t>
      </w:r>
      <w:r w:rsidR="00135060" w:rsidRPr="00153074">
        <w:rPr>
          <w:b/>
          <w:spacing w:val="20"/>
          <w:sz w:val="36"/>
          <w:u w:val="single"/>
          <w:lang w:val="es-ES_tradnl"/>
        </w:rPr>
        <w:t>A</w:t>
      </w:r>
      <w:r w:rsidRPr="00153074">
        <w:rPr>
          <w:b/>
          <w:spacing w:val="20"/>
          <w:sz w:val="36"/>
          <w:u w:val="single"/>
          <w:lang w:val="es-ES_tradnl"/>
        </w:rPr>
        <w:t xml:space="preserve">genda </w:t>
      </w:r>
      <w:r w:rsidR="00135060" w:rsidRPr="00153074">
        <w:rPr>
          <w:b/>
          <w:spacing w:val="20"/>
          <w:sz w:val="36"/>
          <w:u w:val="single"/>
          <w:lang w:val="es-ES_tradnl"/>
        </w:rPr>
        <w:t>I</w:t>
      </w:r>
      <w:r w:rsidRPr="00153074">
        <w:rPr>
          <w:b/>
          <w:spacing w:val="20"/>
          <w:sz w:val="36"/>
          <w:u w:val="single"/>
          <w:lang w:val="es-ES_tradnl"/>
        </w:rPr>
        <w:t>nternacional</w:t>
      </w:r>
      <w:bookmarkEnd w:id="31"/>
      <w:bookmarkEnd w:id="33"/>
      <w:bookmarkEnd w:id="34"/>
    </w:p>
    <w:p w:rsidR="00E726F8" w:rsidRPr="00153074" w:rsidRDefault="00113706" w:rsidP="007462FA">
      <w:pPr>
        <w:jc w:val="both"/>
        <w:rPr>
          <w:lang w:val="es-ES_tradnl"/>
        </w:rPr>
      </w:pPr>
      <w:r w:rsidRPr="00153074">
        <w:rPr>
          <w:rFonts w:cs="Arial"/>
          <w:szCs w:val="22"/>
          <w:lang w:val="es-ES_tradnl"/>
        </w:rPr>
        <w:t>Varios foros i</w:t>
      </w:r>
      <w:r w:rsidR="00DB2CA3" w:rsidRPr="00153074">
        <w:rPr>
          <w:rFonts w:cs="Arial"/>
          <w:szCs w:val="22"/>
          <w:lang w:val="es-ES_tradnl"/>
        </w:rPr>
        <w:t>n</w:t>
      </w:r>
      <w:r w:rsidRPr="00153074">
        <w:rPr>
          <w:rFonts w:cs="Arial"/>
          <w:szCs w:val="22"/>
          <w:lang w:val="es-ES_tradnl"/>
        </w:rPr>
        <w:t>ternacionales y regionales abordan el sector privado para el desarrollo como un</w:t>
      </w:r>
      <w:r w:rsidR="00393225" w:rsidRPr="00153074">
        <w:rPr>
          <w:rFonts w:cs="Arial"/>
          <w:szCs w:val="22"/>
          <w:lang w:val="es-ES_tradnl"/>
        </w:rPr>
        <w:t xml:space="preserve">a esfera </w:t>
      </w:r>
      <w:r w:rsidRPr="00153074">
        <w:rPr>
          <w:rFonts w:cs="Arial"/>
          <w:szCs w:val="22"/>
          <w:lang w:val="es-ES_tradnl"/>
        </w:rPr>
        <w:t>polític</w:t>
      </w:r>
      <w:r w:rsidR="00393225" w:rsidRPr="00153074">
        <w:rPr>
          <w:rFonts w:cs="Arial"/>
          <w:szCs w:val="22"/>
          <w:lang w:val="es-ES_tradnl"/>
        </w:rPr>
        <w:t>a</w:t>
      </w:r>
      <w:r w:rsidRPr="00153074">
        <w:rPr>
          <w:rFonts w:cs="Arial"/>
          <w:szCs w:val="22"/>
          <w:lang w:val="es-ES_tradnl"/>
        </w:rPr>
        <w:t xml:space="preserve"> independiente. La </w:t>
      </w:r>
      <w:r w:rsidRPr="00153074">
        <w:rPr>
          <w:lang w:val="es-ES_tradnl"/>
        </w:rPr>
        <w:t>Alianza de Busan</w:t>
      </w:r>
      <w:r w:rsidR="00206E6E" w:rsidRPr="00153074">
        <w:rPr>
          <w:lang w:val="es-ES_tradnl"/>
        </w:rPr>
        <w:t xml:space="preserve">, </w:t>
      </w:r>
      <w:r w:rsidRPr="00153074">
        <w:rPr>
          <w:lang w:val="es-ES_tradnl"/>
        </w:rPr>
        <w:t>uno de los</w:t>
      </w:r>
      <w:r w:rsidR="00206E6E" w:rsidRPr="00153074">
        <w:rPr>
          <w:lang w:val="es-ES_tradnl"/>
        </w:rPr>
        <w:t xml:space="preserve"> foros</w:t>
      </w:r>
      <w:r w:rsidRPr="00153074">
        <w:rPr>
          <w:lang w:val="es-ES_tradnl"/>
        </w:rPr>
        <w:t xml:space="preserve"> </w:t>
      </w:r>
      <w:r w:rsidR="00C450AD" w:rsidRPr="00153074">
        <w:rPr>
          <w:lang w:val="es-ES_tradnl"/>
        </w:rPr>
        <w:t>más importantes</w:t>
      </w:r>
      <w:r w:rsidR="00206E6E" w:rsidRPr="00153074">
        <w:rPr>
          <w:lang w:val="es-ES_tradnl"/>
        </w:rPr>
        <w:t>, r</w:t>
      </w:r>
      <w:r w:rsidRPr="00153074">
        <w:rPr>
          <w:lang w:val="es-ES_tradnl"/>
        </w:rPr>
        <w:t xml:space="preserve">econoce </w:t>
      </w:r>
      <w:r w:rsidR="002A7792" w:rsidRPr="00153074">
        <w:rPr>
          <w:lang w:val="es-ES_tradnl"/>
        </w:rPr>
        <w:t>“</w:t>
      </w:r>
      <w:r w:rsidRPr="00153074">
        <w:rPr>
          <w:lang w:val="es-ES_tradnl"/>
        </w:rPr>
        <w:t xml:space="preserve">el papel central del sector privado </w:t>
      </w:r>
      <w:r w:rsidR="00E726F8" w:rsidRPr="00153074">
        <w:rPr>
          <w:lang w:val="es-ES_tradnl"/>
        </w:rPr>
        <w:t xml:space="preserve">en el fomento de la innovación, la creación de riqueza, ingresos y </w:t>
      </w:r>
      <w:r w:rsidR="00C450AD" w:rsidRPr="00153074">
        <w:rPr>
          <w:lang w:val="es-ES_tradnl"/>
        </w:rPr>
        <w:t>empleo</w:t>
      </w:r>
      <w:r w:rsidR="00E726F8" w:rsidRPr="00153074">
        <w:rPr>
          <w:lang w:val="es-ES_tradnl"/>
        </w:rPr>
        <w:t>,</w:t>
      </w:r>
      <w:r w:rsidR="00C450AD" w:rsidRPr="00153074">
        <w:rPr>
          <w:lang w:val="es-ES_tradnl"/>
        </w:rPr>
        <w:t xml:space="preserve"> la</w:t>
      </w:r>
      <w:r w:rsidR="00E726F8" w:rsidRPr="00153074">
        <w:rPr>
          <w:lang w:val="es-ES_tradnl"/>
        </w:rPr>
        <w:t xml:space="preserve"> movilización de recursos nacionales y</w:t>
      </w:r>
      <w:r w:rsidR="00C450AD" w:rsidRPr="00153074">
        <w:rPr>
          <w:lang w:val="es-ES_tradnl"/>
        </w:rPr>
        <w:t>,</w:t>
      </w:r>
      <w:r w:rsidR="00E726F8" w:rsidRPr="00153074">
        <w:rPr>
          <w:lang w:val="es-ES_tradnl"/>
        </w:rPr>
        <w:t xml:space="preserve"> a su vez</w:t>
      </w:r>
      <w:r w:rsidR="00C450AD" w:rsidRPr="00153074">
        <w:rPr>
          <w:lang w:val="es-ES_tradnl"/>
        </w:rPr>
        <w:t>,</w:t>
      </w:r>
      <w:r w:rsidR="00E726F8" w:rsidRPr="00153074">
        <w:rPr>
          <w:lang w:val="es-ES_tradnl"/>
        </w:rPr>
        <w:t xml:space="preserve"> la contribución a la reducción de la pobreza</w:t>
      </w:r>
      <w:r w:rsidRPr="00153074">
        <w:rPr>
          <w:lang w:val="es-ES_tradnl"/>
        </w:rPr>
        <w:t xml:space="preserve"> </w:t>
      </w:r>
      <w:r w:rsidR="0059203D" w:rsidRPr="00153074">
        <w:rPr>
          <w:lang w:val="es-ES_tradnl"/>
        </w:rPr>
        <w:t>(</w:t>
      </w:r>
      <w:r w:rsidR="003A4EDB" w:rsidRPr="00153074">
        <w:rPr>
          <w:lang w:val="es-ES_tradnl"/>
        </w:rPr>
        <w:t>OCDE</w:t>
      </w:r>
      <w:r w:rsidR="00FF15C9" w:rsidRPr="00153074">
        <w:rPr>
          <w:lang w:val="es-ES_tradnl"/>
        </w:rPr>
        <w:t xml:space="preserve"> 2011a</w:t>
      </w:r>
      <w:r w:rsidR="0059203D" w:rsidRPr="00153074">
        <w:rPr>
          <w:lang w:val="es-ES_tradnl"/>
        </w:rPr>
        <w:t>)</w:t>
      </w:r>
      <w:r w:rsidR="002A7792" w:rsidRPr="00153074">
        <w:rPr>
          <w:lang w:val="es-ES_tradnl"/>
        </w:rPr>
        <w:t>”</w:t>
      </w:r>
      <w:r w:rsidR="0059203D" w:rsidRPr="00153074">
        <w:rPr>
          <w:lang w:val="es-ES_tradnl"/>
        </w:rPr>
        <w:t xml:space="preserve">. </w:t>
      </w:r>
      <w:r w:rsidR="00E726F8" w:rsidRPr="00153074">
        <w:rPr>
          <w:lang w:val="es-ES_tradnl"/>
        </w:rPr>
        <w:t xml:space="preserve">Además explica detalladamente las expectativas para el sector privado y el desarrollo, </w:t>
      </w:r>
      <w:r w:rsidR="00206E6E" w:rsidRPr="00153074">
        <w:rPr>
          <w:lang w:val="es-ES_tradnl"/>
        </w:rPr>
        <w:t>haciendo hincapié en</w:t>
      </w:r>
      <w:r w:rsidR="00E726F8" w:rsidRPr="00153074">
        <w:rPr>
          <w:lang w:val="es-ES_tradnl"/>
        </w:rPr>
        <w:t xml:space="preserve"> algunas áreas </w:t>
      </w:r>
      <w:r w:rsidR="00C450AD" w:rsidRPr="00153074">
        <w:rPr>
          <w:lang w:val="es-ES_tradnl"/>
        </w:rPr>
        <w:t>indiscutibles</w:t>
      </w:r>
      <w:r w:rsidR="00393225" w:rsidRPr="00153074">
        <w:rPr>
          <w:lang w:val="es-ES_tradnl"/>
        </w:rPr>
        <w:t>,</w:t>
      </w:r>
      <w:r w:rsidR="00E726F8" w:rsidRPr="00153074">
        <w:rPr>
          <w:lang w:val="es-ES_tradnl"/>
        </w:rPr>
        <w:t xml:space="preserve"> como la mejora de los </w:t>
      </w:r>
      <w:r w:rsidR="00C450AD" w:rsidRPr="00153074">
        <w:rPr>
          <w:lang w:val="es-ES_tradnl"/>
        </w:rPr>
        <w:t>marcos reguladores</w:t>
      </w:r>
      <w:r w:rsidR="00E726F8" w:rsidRPr="00153074">
        <w:rPr>
          <w:lang w:val="es-ES_tradnl"/>
        </w:rPr>
        <w:t xml:space="preserve"> para la inversión y la participación de</w:t>
      </w:r>
      <w:r w:rsidR="00393225" w:rsidRPr="00153074">
        <w:rPr>
          <w:lang w:val="es-ES_tradnl"/>
        </w:rPr>
        <w:t>l</w:t>
      </w:r>
      <w:r w:rsidR="00E726F8" w:rsidRPr="00153074">
        <w:rPr>
          <w:lang w:val="es-ES_tradnl"/>
        </w:rPr>
        <w:t xml:space="preserve"> sector privado en</w:t>
      </w:r>
      <w:r w:rsidR="00970E6B" w:rsidRPr="00153074">
        <w:rPr>
          <w:lang w:val="es-ES_tradnl"/>
        </w:rPr>
        <w:t xml:space="preserve"> </w:t>
      </w:r>
      <w:r w:rsidR="00FF64A4" w:rsidRPr="00153074">
        <w:rPr>
          <w:lang w:val="es-ES_tradnl"/>
        </w:rPr>
        <w:t>la competencia</w:t>
      </w:r>
      <w:r w:rsidR="00970E6B" w:rsidRPr="00153074">
        <w:rPr>
          <w:lang w:val="es-ES_tradnl"/>
        </w:rPr>
        <w:t xml:space="preserve"> de las estrategias de desarrollo nacional.</w:t>
      </w:r>
    </w:p>
    <w:p w:rsidR="0059203D" w:rsidRPr="00153074" w:rsidRDefault="0059203D" w:rsidP="007462FA">
      <w:pPr>
        <w:jc w:val="both"/>
        <w:rPr>
          <w:rFonts w:ascii="Arial" w:hAnsi="Arial" w:cs="Arial"/>
          <w:sz w:val="20"/>
          <w:szCs w:val="20"/>
          <w:lang w:val="es-ES_tradnl"/>
        </w:rPr>
      </w:pPr>
    </w:p>
    <w:p w:rsidR="0059203D" w:rsidRPr="00153074" w:rsidRDefault="00970E6B" w:rsidP="007462FA">
      <w:pPr>
        <w:jc w:val="both"/>
        <w:rPr>
          <w:lang w:val="es-ES_tradnl"/>
        </w:rPr>
      </w:pPr>
      <w:r w:rsidRPr="00153074">
        <w:rPr>
          <w:lang w:val="es-ES_tradnl"/>
        </w:rPr>
        <w:t>En un intento por</w:t>
      </w:r>
      <w:r w:rsidR="00004F07" w:rsidRPr="00153074">
        <w:rPr>
          <w:lang w:val="es-ES_tradnl"/>
        </w:rPr>
        <w:t xml:space="preserve"> seguir adelante con los compromisos </w:t>
      </w:r>
      <w:r w:rsidR="00393225" w:rsidRPr="00153074">
        <w:rPr>
          <w:lang w:val="es-ES_tradnl"/>
        </w:rPr>
        <w:t>contraídos</w:t>
      </w:r>
      <w:r w:rsidR="00004F07" w:rsidRPr="00153074">
        <w:rPr>
          <w:lang w:val="es-ES_tradnl"/>
        </w:rPr>
        <w:t xml:space="preserve"> en Busan, se estableció un grupo de múltiples partes interesadas</w:t>
      </w:r>
      <w:r w:rsidR="00FF64A4" w:rsidRPr="00153074">
        <w:rPr>
          <w:lang w:val="es-ES_tradnl"/>
        </w:rPr>
        <w:t>,</w:t>
      </w:r>
      <w:r w:rsidR="00004F07" w:rsidRPr="00153074">
        <w:rPr>
          <w:lang w:val="es-ES_tradnl"/>
        </w:rPr>
        <w:t xml:space="preserve"> formado principalmente por </w:t>
      </w:r>
      <w:r w:rsidR="00864464" w:rsidRPr="00153074">
        <w:rPr>
          <w:lang w:val="es-ES_tradnl"/>
        </w:rPr>
        <w:t>Gobierno</w:t>
      </w:r>
      <w:r w:rsidR="00004F07" w:rsidRPr="00153074">
        <w:rPr>
          <w:lang w:val="es-ES_tradnl"/>
        </w:rPr>
        <w:t xml:space="preserve">s donantes, organizaciones multilaterales y </w:t>
      </w:r>
      <w:r w:rsidR="00FF64A4" w:rsidRPr="00153074">
        <w:rPr>
          <w:lang w:val="es-ES_tradnl"/>
        </w:rPr>
        <w:t>varias</w:t>
      </w:r>
      <w:r w:rsidR="00004F07" w:rsidRPr="00153074">
        <w:rPr>
          <w:lang w:val="es-ES_tradnl"/>
        </w:rPr>
        <w:t xml:space="preserve"> organizaciones empresariales internacionales, bajo los auspicios de los </w:t>
      </w:r>
      <w:r w:rsidR="002A7792" w:rsidRPr="00153074">
        <w:rPr>
          <w:lang w:val="es-ES_tradnl"/>
        </w:rPr>
        <w:t>“</w:t>
      </w:r>
      <w:r w:rsidR="00004F07" w:rsidRPr="00153074">
        <w:rPr>
          <w:lang w:val="es-ES_tradnl"/>
        </w:rPr>
        <w:t>Bloques Temáticos</w:t>
      </w:r>
      <w:r w:rsidR="002A7792" w:rsidRPr="00153074">
        <w:rPr>
          <w:lang w:val="es-ES_tradnl"/>
        </w:rPr>
        <w:t>”</w:t>
      </w:r>
      <w:r w:rsidR="00004F07" w:rsidRPr="00153074">
        <w:rPr>
          <w:lang w:val="es-ES_tradnl"/>
        </w:rPr>
        <w:t xml:space="preserve"> de Busan presentados durante el </w:t>
      </w:r>
      <w:r w:rsidR="00393225" w:rsidRPr="00153074">
        <w:rPr>
          <w:lang w:val="es-ES_tradnl"/>
        </w:rPr>
        <w:t>IV</w:t>
      </w:r>
      <w:r w:rsidR="00004F07" w:rsidRPr="00153074">
        <w:rPr>
          <w:lang w:val="es-ES_tradnl"/>
        </w:rPr>
        <w:t xml:space="preserve"> Foro de Alto Nivel sobre la Eficacia de la Ayuda. El grupo de múltiples partes interesadas</w:t>
      </w:r>
      <w:r w:rsidR="007A731A" w:rsidRPr="00153074">
        <w:rPr>
          <w:lang w:val="es-ES_tradnl"/>
        </w:rPr>
        <w:t xml:space="preserve"> se </w:t>
      </w:r>
      <w:r w:rsidR="00FF64A4" w:rsidRPr="00153074">
        <w:rPr>
          <w:lang w:val="es-ES_tradnl"/>
        </w:rPr>
        <w:t>convocó</w:t>
      </w:r>
      <w:r w:rsidR="007A731A" w:rsidRPr="00153074">
        <w:rPr>
          <w:lang w:val="es-ES_tradnl"/>
        </w:rPr>
        <w:t xml:space="preserve"> con el objetivo de </w:t>
      </w:r>
      <w:r w:rsidR="002A7792" w:rsidRPr="00153074">
        <w:rPr>
          <w:lang w:val="es-ES_tradnl"/>
        </w:rPr>
        <w:t>“</w:t>
      </w:r>
      <w:r w:rsidR="007A731A" w:rsidRPr="00153074">
        <w:rPr>
          <w:lang w:val="es-ES_tradnl"/>
        </w:rPr>
        <w:t>desarrollar iniciativas concretas para mejorar la interpretación del papel del sector privado en el desarrollo y compartir lecciones aprendidas, a fin de proponer acciones específicas para una mayor eficacia de</w:t>
      </w:r>
      <w:r w:rsidR="00FF64A4" w:rsidRPr="00153074">
        <w:rPr>
          <w:lang w:val="es-ES_tradnl"/>
        </w:rPr>
        <w:t>l</w:t>
      </w:r>
      <w:r w:rsidR="007A731A" w:rsidRPr="00153074">
        <w:rPr>
          <w:lang w:val="es-ES_tradnl"/>
        </w:rPr>
        <w:t xml:space="preserve"> desarrollo</w:t>
      </w:r>
      <w:r w:rsidR="002A7792" w:rsidRPr="00153074">
        <w:rPr>
          <w:lang w:val="es-ES_tradnl"/>
        </w:rPr>
        <w:t>”</w:t>
      </w:r>
      <w:r w:rsidR="0059203D" w:rsidRPr="00153074">
        <w:rPr>
          <w:lang w:val="es-ES_tradnl"/>
        </w:rPr>
        <w:t xml:space="preserve"> (</w:t>
      </w:r>
      <w:r w:rsidR="003A4EDB" w:rsidRPr="00153074">
        <w:rPr>
          <w:lang w:val="es-ES_tradnl"/>
        </w:rPr>
        <w:t>OCDE</w:t>
      </w:r>
      <w:r w:rsidR="0059203D" w:rsidRPr="00153074">
        <w:rPr>
          <w:lang w:val="es-ES_tradnl"/>
        </w:rPr>
        <w:t xml:space="preserve"> 2011b).</w:t>
      </w:r>
    </w:p>
    <w:p w:rsidR="007A731A" w:rsidRPr="00153074" w:rsidRDefault="007A731A" w:rsidP="007462FA">
      <w:pPr>
        <w:jc w:val="both"/>
        <w:rPr>
          <w:lang w:val="es-ES_tradnl"/>
        </w:rPr>
      </w:pPr>
    </w:p>
    <w:p w:rsidR="0059203D" w:rsidRPr="00153074" w:rsidRDefault="007A731A" w:rsidP="007462FA">
      <w:pPr>
        <w:jc w:val="both"/>
        <w:rPr>
          <w:lang w:val="es-ES_tradnl"/>
        </w:rPr>
      </w:pPr>
      <w:r w:rsidRPr="00153074">
        <w:rPr>
          <w:lang w:val="es-ES_tradnl"/>
        </w:rPr>
        <w:t>Asimismo, las Cumbres del G20 en Seúl y en Los Cabos</w:t>
      </w:r>
      <w:r w:rsidR="00AC0880" w:rsidRPr="00153074">
        <w:rPr>
          <w:lang w:val="es-ES_tradnl"/>
        </w:rPr>
        <w:t>,</w:t>
      </w:r>
      <w:r w:rsidRPr="00153074">
        <w:rPr>
          <w:lang w:val="es-ES_tradnl"/>
        </w:rPr>
        <w:t xml:space="preserve"> en 2010 y 2012 respectivamente</w:t>
      </w:r>
      <w:r w:rsidR="00AC0880" w:rsidRPr="00153074">
        <w:rPr>
          <w:lang w:val="es-ES_tradnl"/>
        </w:rPr>
        <w:t>,</w:t>
      </w:r>
      <w:r w:rsidRPr="00153074">
        <w:rPr>
          <w:lang w:val="es-ES_tradnl"/>
        </w:rPr>
        <w:t xml:space="preserve"> hicieron hincapié en el papel del sector privado en el programa de desarrollo. Un Grupo de Trabajo (GT) del G20 sobre </w:t>
      </w:r>
      <w:r w:rsidR="00AC0880" w:rsidRPr="00153074">
        <w:rPr>
          <w:lang w:val="es-ES_tradnl"/>
        </w:rPr>
        <w:t>D</w:t>
      </w:r>
      <w:r w:rsidRPr="00153074">
        <w:rPr>
          <w:lang w:val="es-ES_tradnl"/>
        </w:rPr>
        <w:t>esarrollo ha elaborado una serie de recomendaciones políticas a tal fin, inclusive por medio de</w:t>
      </w:r>
      <w:r w:rsidR="00E01FE0" w:rsidRPr="00153074">
        <w:rPr>
          <w:lang w:val="es-ES_tradnl"/>
        </w:rPr>
        <w:t xml:space="preserve"> colaboración </w:t>
      </w:r>
      <w:r w:rsidR="002A7792" w:rsidRPr="00153074">
        <w:rPr>
          <w:lang w:val="es-ES_tradnl"/>
        </w:rPr>
        <w:t>“</w:t>
      </w:r>
      <w:r w:rsidR="0038526A" w:rsidRPr="00153074">
        <w:rPr>
          <w:lang w:val="es-ES_tradnl"/>
        </w:rPr>
        <w:t>interinstitucional</w:t>
      </w:r>
      <w:r w:rsidR="002A7792" w:rsidRPr="00153074">
        <w:rPr>
          <w:lang w:val="es-ES_tradnl"/>
        </w:rPr>
        <w:t>”</w:t>
      </w:r>
      <w:r w:rsidR="00E01FE0" w:rsidRPr="00153074">
        <w:rPr>
          <w:lang w:val="es-ES_tradnl"/>
        </w:rPr>
        <w:t>, a saber la OIT, la UNCTAD, la OCDE, el PNUD y</w:t>
      </w:r>
      <w:r w:rsidR="00283BD6" w:rsidRPr="00153074">
        <w:rPr>
          <w:lang w:val="es-ES_tradnl"/>
        </w:rPr>
        <w:t xml:space="preserve"> </w:t>
      </w:r>
      <w:r w:rsidR="00E01FE0" w:rsidRPr="00153074">
        <w:rPr>
          <w:lang w:val="es-ES_tradnl"/>
        </w:rPr>
        <w:t xml:space="preserve">el Banco Mundial. El enfoque se ha </w:t>
      </w:r>
      <w:r w:rsidR="004D521D" w:rsidRPr="00153074">
        <w:rPr>
          <w:lang w:val="es-ES_tradnl"/>
        </w:rPr>
        <w:t>centrado</w:t>
      </w:r>
      <w:r w:rsidR="00E01FE0" w:rsidRPr="00153074">
        <w:rPr>
          <w:lang w:val="es-ES_tradnl"/>
        </w:rPr>
        <w:t xml:space="preserve"> en la promoción de la inversión privada, tanto extranjera como nacional, para apoyar el desarrollo y la creación de empleo, y en las asociaciones público-privadas</w:t>
      </w:r>
      <w:r w:rsidR="004D521D" w:rsidRPr="00153074">
        <w:rPr>
          <w:lang w:val="es-ES_tradnl"/>
        </w:rPr>
        <w:t>,</w:t>
      </w:r>
      <w:r w:rsidR="00E01FE0" w:rsidRPr="00153074">
        <w:rPr>
          <w:lang w:val="es-ES_tradnl"/>
        </w:rPr>
        <w:t xml:space="preserve"> para financiar las necesidades de infraestructura. Hace poco, bajo la presidencia rusa de</w:t>
      </w:r>
      <w:r w:rsidR="000A01B7" w:rsidRPr="00153074">
        <w:rPr>
          <w:lang w:val="es-ES_tradnl"/>
        </w:rPr>
        <w:t>l</w:t>
      </w:r>
      <w:r w:rsidR="00E01FE0" w:rsidRPr="00153074">
        <w:rPr>
          <w:lang w:val="es-ES_tradnl"/>
        </w:rPr>
        <w:t xml:space="preserve"> G20, los Ministros de Finanzas del G20 encomendaron a la OCDE desarrollar nuevos Principios del G20 sobre </w:t>
      </w:r>
      <w:r w:rsidR="002A7792" w:rsidRPr="00153074">
        <w:rPr>
          <w:lang w:val="es-ES_tradnl"/>
        </w:rPr>
        <w:t>“</w:t>
      </w:r>
      <w:r w:rsidR="00E01FE0" w:rsidRPr="00153074">
        <w:rPr>
          <w:lang w:val="es-ES_tradnl"/>
        </w:rPr>
        <w:t>inversión a largo plazo</w:t>
      </w:r>
      <w:r w:rsidR="002A7792" w:rsidRPr="00153074">
        <w:rPr>
          <w:lang w:val="es-ES_tradnl"/>
        </w:rPr>
        <w:t>”</w:t>
      </w:r>
      <w:r w:rsidR="00E01FE0" w:rsidRPr="00153074">
        <w:rPr>
          <w:lang w:val="es-ES_tradnl"/>
        </w:rPr>
        <w:t xml:space="preserve"> por parte de los inversores institucionales,</w:t>
      </w:r>
      <w:r w:rsidR="00BB3BEB" w:rsidRPr="00153074">
        <w:rPr>
          <w:lang w:val="es-ES_tradnl"/>
        </w:rPr>
        <w:t xml:space="preserve"> y en ese caso también se hizo </w:t>
      </w:r>
      <w:r w:rsidR="0038526A" w:rsidRPr="00153074">
        <w:rPr>
          <w:lang w:val="es-ES_tradnl"/>
        </w:rPr>
        <w:t xml:space="preserve">un </w:t>
      </w:r>
      <w:r w:rsidR="00BB3BEB" w:rsidRPr="00153074">
        <w:rPr>
          <w:lang w:val="es-ES_tradnl"/>
        </w:rPr>
        <w:t>importante hincapié en la financiación de infraestructura privada</w:t>
      </w:r>
      <w:r w:rsidR="0059203D" w:rsidRPr="00153074">
        <w:rPr>
          <w:rStyle w:val="FootnoteReference"/>
          <w:lang w:val="es-ES_tradnl"/>
        </w:rPr>
        <w:footnoteReference w:id="6"/>
      </w:r>
      <w:r w:rsidR="0059203D" w:rsidRPr="00153074">
        <w:rPr>
          <w:lang w:val="es-ES_tradnl"/>
        </w:rPr>
        <w:t>.</w:t>
      </w:r>
    </w:p>
    <w:p w:rsidR="0059203D" w:rsidRPr="00153074" w:rsidRDefault="0059203D" w:rsidP="007462FA">
      <w:pPr>
        <w:jc w:val="both"/>
        <w:rPr>
          <w:rFonts w:ascii="Arial" w:hAnsi="Arial" w:cs="Arial"/>
          <w:sz w:val="20"/>
          <w:szCs w:val="20"/>
          <w:lang w:val="es-ES_tradnl"/>
        </w:rPr>
      </w:pPr>
    </w:p>
    <w:p w:rsidR="001D4411" w:rsidRPr="00153074" w:rsidRDefault="002C7A4C" w:rsidP="007462FA">
      <w:pPr>
        <w:jc w:val="both"/>
        <w:rPr>
          <w:lang w:val="es-ES_tradnl"/>
        </w:rPr>
      </w:pPr>
      <w:r w:rsidRPr="00153074">
        <w:rPr>
          <w:lang w:val="es-ES_tradnl"/>
        </w:rPr>
        <w:t>A nivel regional t</w:t>
      </w:r>
      <w:r w:rsidR="001D4411" w:rsidRPr="00153074">
        <w:rPr>
          <w:lang w:val="es-ES_tradnl"/>
        </w:rPr>
        <w:t>ambién merece la pena mencionar</w:t>
      </w:r>
      <w:r w:rsidR="00F7375B" w:rsidRPr="00153074">
        <w:rPr>
          <w:lang w:val="es-ES_tradnl"/>
        </w:rPr>
        <w:t xml:space="preserve"> el</w:t>
      </w:r>
      <w:r w:rsidR="00E178CD" w:rsidRPr="00153074">
        <w:rPr>
          <w:lang w:val="es-ES_tradnl"/>
        </w:rPr>
        <w:t xml:space="preserve"> </w:t>
      </w:r>
      <w:r w:rsidR="002A7792" w:rsidRPr="00153074">
        <w:rPr>
          <w:lang w:val="es-ES_tradnl"/>
        </w:rPr>
        <w:t>“</w:t>
      </w:r>
      <w:r w:rsidR="00E178CD" w:rsidRPr="00153074">
        <w:rPr>
          <w:lang w:val="es-ES_tradnl"/>
        </w:rPr>
        <w:t>Programa para el Cambio</w:t>
      </w:r>
      <w:r w:rsidR="002A7792" w:rsidRPr="00153074">
        <w:rPr>
          <w:lang w:val="es-ES_tradnl"/>
        </w:rPr>
        <w:t>”</w:t>
      </w:r>
      <w:r w:rsidR="00E178CD" w:rsidRPr="00153074">
        <w:rPr>
          <w:lang w:val="es-ES_tradnl"/>
        </w:rPr>
        <w:t xml:space="preserve"> de la Comisión Europea </w:t>
      </w:r>
      <w:r w:rsidR="00F7375B" w:rsidRPr="00153074">
        <w:rPr>
          <w:lang w:val="es-ES_tradnl"/>
        </w:rPr>
        <w:t xml:space="preserve">que </w:t>
      </w:r>
      <w:r w:rsidR="00E178CD" w:rsidRPr="00153074">
        <w:rPr>
          <w:lang w:val="es-ES_tradnl"/>
        </w:rPr>
        <w:t xml:space="preserve">fue lanzado oficialmente a través de un Comunicado </w:t>
      </w:r>
      <w:r w:rsidR="00805925" w:rsidRPr="00153074">
        <w:rPr>
          <w:lang w:val="es-ES_tradnl"/>
        </w:rPr>
        <w:t>oficial</w:t>
      </w:r>
      <w:r w:rsidR="001D4411" w:rsidRPr="00153074">
        <w:rPr>
          <w:lang w:val="es-ES_tradnl"/>
        </w:rPr>
        <w:t xml:space="preserve"> </w:t>
      </w:r>
      <w:r w:rsidR="00E178CD" w:rsidRPr="00153074">
        <w:rPr>
          <w:lang w:val="es-ES_tradnl"/>
        </w:rPr>
        <w:t xml:space="preserve">en 2011 (CE 2011) </w:t>
      </w:r>
      <w:r w:rsidR="00F7375B" w:rsidRPr="00153074">
        <w:rPr>
          <w:lang w:val="es-ES_tradnl"/>
        </w:rPr>
        <w:t xml:space="preserve">y cuyo objetivo, entre otros, </w:t>
      </w:r>
      <w:r w:rsidR="00E178CD" w:rsidRPr="00153074">
        <w:rPr>
          <w:lang w:val="es-ES_tradnl"/>
        </w:rPr>
        <w:t xml:space="preserve">es incrementar la participación del sector privado en el marco político de desarrollo de la UE por medio de la exploración de </w:t>
      </w:r>
      <w:r w:rsidR="002A7792" w:rsidRPr="00153074">
        <w:rPr>
          <w:lang w:val="es-ES_tradnl"/>
        </w:rPr>
        <w:t>“</w:t>
      </w:r>
      <w:r w:rsidR="00E178CD" w:rsidRPr="00153074">
        <w:rPr>
          <w:lang w:val="es-ES_tradnl"/>
        </w:rPr>
        <w:t>formas innova</w:t>
      </w:r>
      <w:r w:rsidR="00F7375B" w:rsidRPr="00153074">
        <w:rPr>
          <w:lang w:val="es-ES_tradnl"/>
        </w:rPr>
        <w:t>dor</w:t>
      </w:r>
      <w:r w:rsidR="00E178CD" w:rsidRPr="00153074">
        <w:rPr>
          <w:lang w:val="es-ES_tradnl"/>
        </w:rPr>
        <w:t>as</w:t>
      </w:r>
      <w:r w:rsidR="002A7792" w:rsidRPr="00153074">
        <w:rPr>
          <w:lang w:val="es-ES_tradnl"/>
        </w:rPr>
        <w:t>”</w:t>
      </w:r>
      <w:r w:rsidR="00E178CD" w:rsidRPr="00153074">
        <w:rPr>
          <w:lang w:val="es-ES_tradnl"/>
        </w:rPr>
        <w:t xml:space="preserve"> de </w:t>
      </w:r>
      <w:r w:rsidR="00F7375B" w:rsidRPr="00153074">
        <w:rPr>
          <w:lang w:val="es-ES_tradnl"/>
        </w:rPr>
        <w:t>financiación d</w:t>
      </w:r>
      <w:r w:rsidR="00E178CD" w:rsidRPr="00153074">
        <w:rPr>
          <w:lang w:val="es-ES_tradnl"/>
        </w:rPr>
        <w:t xml:space="preserve">el desarrollo, como por ejemplo por medio de </w:t>
      </w:r>
      <w:r w:rsidR="002A7792" w:rsidRPr="00153074">
        <w:rPr>
          <w:lang w:val="es-ES_tradnl"/>
        </w:rPr>
        <w:t>“</w:t>
      </w:r>
      <w:r w:rsidR="00E178CD" w:rsidRPr="00153074">
        <w:rPr>
          <w:lang w:val="es-ES_tradnl"/>
        </w:rPr>
        <w:t xml:space="preserve">una </w:t>
      </w:r>
      <w:r w:rsidR="00F7375B" w:rsidRPr="00153074">
        <w:rPr>
          <w:lang w:val="es-ES_tradnl"/>
        </w:rPr>
        <w:t>combinación</w:t>
      </w:r>
      <w:r w:rsidR="002A7792" w:rsidRPr="00153074">
        <w:rPr>
          <w:lang w:val="es-ES_tradnl"/>
        </w:rPr>
        <w:t>”</w:t>
      </w:r>
      <w:r w:rsidR="00E178CD" w:rsidRPr="00153074">
        <w:rPr>
          <w:lang w:val="es-ES_tradnl"/>
        </w:rPr>
        <w:t xml:space="preserve"> de subvenciones y préstamos con dinero del sector privado. Se ha solicitado a la UE que ayude a </w:t>
      </w:r>
      <w:r w:rsidR="002A7792" w:rsidRPr="00153074">
        <w:rPr>
          <w:lang w:val="es-ES_tradnl"/>
        </w:rPr>
        <w:t>“</w:t>
      </w:r>
      <w:r w:rsidR="00E178CD" w:rsidRPr="00153074">
        <w:rPr>
          <w:lang w:val="es-ES_tradnl"/>
        </w:rPr>
        <w:t>apoyar el desarrollo de sectores</w:t>
      </w:r>
      <w:r w:rsidR="0051029D" w:rsidRPr="00153074">
        <w:rPr>
          <w:lang w:val="es-ES_tradnl"/>
        </w:rPr>
        <w:t xml:space="preserve"> privados locales competitivos</w:t>
      </w:r>
      <w:r w:rsidR="002A7792" w:rsidRPr="00153074">
        <w:rPr>
          <w:lang w:val="es-ES_tradnl"/>
        </w:rPr>
        <w:t>”</w:t>
      </w:r>
      <w:r w:rsidR="0051029D" w:rsidRPr="00153074">
        <w:rPr>
          <w:lang w:val="es-ES_tradnl"/>
        </w:rPr>
        <w:t xml:space="preserve"> y</w:t>
      </w:r>
      <w:r w:rsidR="000A01B7" w:rsidRPr="00153074">
        <w:rPr>
          <w:lang w:val="es-ES_tradnl"/>
        </w:rPr>
        <w:t>,</w:t>
      </w:r>
      <w:r w:rsidR="0051029D" w:rsidRPr="00153074">
        <w:rPr>
          <w:lang w:val="es-ES_tradnl"/>
        </w:rPr>
        <w:t xml:space="preserve"> en gran medida</w:t>
      </w:r>
      <w:r w:rsidR="000A01B7" w:rsidRPr="00153074">
        <w:rPr>
          <w:lang w:val="es-ES_tradnl"/>
        </w:rPr>
        <w:t>,</w:t>
      </w:r>
      <w:r w:rsidR="0051029D" w:rsidRPr="00153074">
        <w:rPr>
          <w:lang w:val="es-ES_tradnl"/>
        </w:rPr>
        <w:t xml:space="preserve"> </w:t>
      </w:r>
      <w:r w:rsidR="00F7375B" w:rsidRPr="00153074">
        <w:rPr>
          <w:lang w:val="es-ES_tradnl"/>
        </w:rPr>
        <w:t>que contribuya</w:t>
      </w:r>
      <w:r w:rsidR="0051029D" w:rsidRPr="00153074">
        <w:rPr>
          <w:lang w:val="es-ES_tradnl"/>
        </w:rPr>
        <w:t xml:space="preserve"> a poner en marcha reformas </w:t>
      </w:r>
      <w:r w:rsidR="002A7792" w:rsidRPr="00153074">
        <w:rPr>
          <w:lang w:val="es-ES_tradnl"/>
        </w:rPr>
        <w:t>“</w:t>
      </w:r>
      <w:r w:rsidR="00805925" w:rsidRPr="00153074">
        <w:rPr>
          <w:lang w:val="es-ES_tradnl"/>
        </w:rPr>
        <w:t>del marco legislativo y reglamentario</w:t>
      </w:r>
      <w:r w:rsidR="002A7792" w:rsidRPr="00153074">
        <w:rPr>
          <w:lang w:val="es-ES_tradnl"/>
        </w:rPr>
        <w:t>”</w:t>
      </w:r>
      <w:r w:rsidR="0051029D" w:rsidRPr="00153074">
        <w:rPr>
          <w:lang w:val="es-ES_tradnl"/>
        </w:rPr>
        <w:t xml:space="preserve"> incluyendo la </w:t>
      </w:r>
      <w:r w:rsidR="002A7792" w:rsidRPr="00153074">
        <w:rPr>
          <w:lang w:val="es-ES_tradnl"/>
        </w:rPr>
        <w:t>“</w:t>
      </w:r>
      <w:r w:rsidR="0051029D" w:rsidRPr="00153074">
        <w:rPr>
          <w:lang w:val="es-ES_tradnl"/>
        </w:rPr>
        <w:t>facilitación del acceso a servicios empresariales y financieros</w:t>
      </w:r>
      <w:r w:rsidR="002A7792" w:rsidRPr="00153074">
        <w:rPr>
          <w:lang w:val="es-ES_tradnl"/>
        </w:rPr>
        <w:t>”</w:t>
      </w:r>
      <w:r w:rsidR="0051029D" w:rsidRPr="00153074">
        <w:rPr>
          <w:lang w:val="es-ES_tradnl"/>
        </w:rPr>
        <w:t xml:space="preserve">. </w:t>
      </w:r>
      <w:r w:rsidR="00BB5966" w:rsidRPr="00153074">
        <w:rPr>
          <w:lang w:val="es-ES_tradnl"/>
        </w:rPr>
        <w:t>Y al igual que la Alianza de Busan y el Proceso de desarrollo d</w:t>
      </w:r>
      <w:r w:rsidR="00EE0F36" w:rsidRPr="00153074">
        <w:rPr>
          <w:lang w:val="es-ES_tradnl"/>
        </w:rPr>
        <w:t>el G20,</w:t>
      </w:r>
      <w:r w:rsidR="00283BD6" w:rsidRPr="00153074">
        <w:rPr>
          <w:lang w:val="es-ES_tradnl"/>
        </w:rPr>
        <w:t xml:space="preserve"> </w:t>
      </w:r>
      <w:r w:rsidR="00EE0F36" w:rsidRPr="00153074">
        <w:rPr>
          <w:lang w:val="es-ES_tradnl"/>
        </w:rPr>
        <w:t>el Programa de la CE ve</w:t>
      </w:r>
      <w:r w:rsidR="00BB5966" w:rsidRPr="00153074">
        <w:rPr>
          <w:lang w:val="es-ES_tradnl"/>
        </w:rPr>
        <w:t xml:space="preserve"> muchas oportunidades en la promoción activa de las </w:t>
      </w:r>
      <w:r w:rsidR="00E54F55" w:rsidRPr="00153074">
        <w:rPr>
          <w:lang w:val="es-ES_tradnl"/>
        </w:rPr>
        <w:t>APP</w:t>
      </w:r>
      <w:r w:rsidR="00BB5966" w:rsidRPr="00153074">
        <w:rPr>
          <w:lang w:val="es-ES_tradnl"/>
        </w:rPr>
        <w:t xml:space="preserve">: </w:t>
      </w:r>
      <w:r w:rsidR="002A7792" w:rsidRPr="00153074">
        <w:rPr>
          <w:lang w:val="es-ES_tradnl"/>
        </w:rPr>
        <w:t>“</w:t>
      </w:r>
      <w:r w:rsidR="00EE0F36" w:rsidRPr="00153074">
        <w:rPr>
          <w:lang w:val="es-ES_tradnl"/>
        </w:rPr>
        <w:t xml:space="preserve">la movilización de los recursos y </w:t>
      </w:r>
      <w:r w:rsidR="00BB5966" w:rsidRPr="00153074">
        <w:rPr>
          <w:lang w:val="es-ES_tradnl"/>
        </w:rPr>
        <w:t>la</w:t>
      </w:r>
      <w:r w:rsidR="00EE0F36" w:rsidRPr="00153074">
        <w:rPr>
          <w:lang w:val="es-ES_tradnl"/>
        </w:rPr>
        <w:t>s</w:t>
      </w:r>
      <w:r w:rsidR="00BB5966" w:rsidRPr="00153074">
        <w:rPr>
          <w:lang w:val="es-ES_tradnl"/>
        </w:rPr>
        <w:t xml:space="preserve"> actividad</w:t>
      </w:r>
      <w:r w:rsidR="00EE0F36" w:rsidRPr="00153074">
        <w:rPr>
          <w:lang w:val="es-ES_tradnl"/>
        </w:rPr>
        <w:t>es</w:t>
      </w:r>
      <w:r w:rsidR="00BB5966" w:rsidRPr="00153074">
        <w:rPr>
          <w:lang w:val="es-ES_tradnl"/>
        </w:rPr>
        <w:t xml:space="preserve"> del sector privado </w:t>
      </w:r>
      <w:r w:rsidR="00EE0F36" w:rsidRPr="00153074">
        <w:rPr>
          <w:lang w:val="es-ES_tradnl"/>
        </w:rPr>
        <w:t>con el fin de</w:t>
      </w:r>
      <w:r w:rsidR="00BB5966" w:rsidRPr="00153074">
        <w:rPr>
          <w:lang w:val="es-ES_tradnl"/>
        </w:rPr>
        <w:t xml:space="preserve"> suministrar bienes públicos</w:t>
      </w:r>
      <w:r w:rsidR="002A7792" w:rsidRPr="00153074">
        <w:rPr>
          <w:lang w:val="es-ES_tradnl"/>
        </w:rPr>
        <w:t>”</w:t>
      </w:r>
      <w:r w:rsidR="00BB5966" w:rsidRPr="00153074">
        <w:rPr>
          <w:lang w:val="es-ES_tradnl"/>
        </w:rPr>
        <w:t xml:space="preserve"> se percibe como un</w:t>
      </w:r>
      <w:r w:rsidR="008C617C" w:rsidRPr="00153074">
        <w:rPr>
          <w:lang w:val="es-ES_tradnl"/>
        </w:rPr>
        <w:t>o de los</w:t>
      </w:r>
      <w:r w:rsidR="00BB5966" w:rsidRPr="00153074">
        <w:rPr>
          <w:lang w:val="es-ES_tradnl"/>
        </w:rPr>
        <w:t xml:space="preserve"> resultado</w:t>
      </w:r>
      <w:r w:rsidR="008C617C" w:rsidRPr="00153074">
        <w:rPr>
          <w:lang w:val="es-ES_tradnl"/>
        </w:rPr>
        <w:t>s</w:t>
      </w:r>
      <w:r w:rsidR="00BB5966" w:rsidRPr="00153074">
        <w:rPr>
          <w:lang w:val="es-ES_tradnl"/>
        </w:rPr>
        <w:t xml:space="preserve"> deseado</w:t>
      </w:r>
      <w:r w:rsidR="008C617C" w:rsidRPr="00153074">
        <w:rPr>
          <w:lang w:val="es-ES_tradnl"/>
        </w:rPr>
        <w:t>s</w:t>
      </w:r>
      <w:r w:rsidR="00BB5966" w:rsidRPr="00153074">
        <w:rPr>
          <w:lang w:val="es-ES_tradnl"/>
        </w:rPr>
        <w:t xml:space="preserve">, mientras que </w:t>
      </w:r>
      <w:r w:rsidR="002A7792" w:rsidRPr="00153074">
        <w:rPr>
          <w:lang w:val="es-ES_tradnl"/>
        </w:rPr>
        <w:t>“</w:t>
      </w:r>
      <w:r w:rsidR="00BB5966" w:rsidRPr="00153074">
        <w:rPr>
          <w:lang w:val="es-ES_tradnl"/>
        </w:rPr>
        <w:t>la financiación de subvenciones</w:t>
      </w:r>
      <w:r w:rsidR="00EE0F36" w:rsidRPr="00153074">
        <w:rPr>
          <w:lang w:val="es-ES_tradnl"/>
        </w:rPr>
        <w:t xml:space="preserve"> iniciales</w:t>
      </w:r>
      <w:r w:rsidR="00902E23" w:rsidRPr="00153074">
        <w:rPr>
          <w:lang w:val="es-ES_tradnl"/>
        </w:rPr>
        <w:t xml:space="preserve"> y los </w:t>
      </w:r>
      <w:r w:rsidR="00BB5966" w:rsidRPr="00153074">
        <w:rPr>
          <w:lang w:val="es-ES_tradnl"/>
        </w:rPr>
        <w:t>mecanismos</w:t>
      </w:r>
      <w:r w:rsidR="0051029D" w:rsidRPr="00153074">
        <w:rPr>
          <w:lang w:val="es-ES_tradnl"/>
        </w:rPr>
        <w:t xml:space="preserve"> </w:t>
      </w:r>
      <w:r w:rsidR="00902E23" w:rsidRPr="00153074">
        <w:rPr>
          <w:lang w:val="es-ES_tradnl"/>
        </w:rPr>
        <w:t xml:space="preserve">de </w:t>
      </w:r>
      <w:r w:rsidR="00EE0F36" w:rsidRPr="00153074">
        <w:rPr>
          <w:lang w:val="es-ES_tradnl"/>
        </w:rPr>
        <w:t>riesgos compartidos</w:t>
      </w:r>
      <w:r w:rsidR="002A7792" w:rsidRPr="00153074">
        <w:rPr>
          <w:lang w:val="es-ES_tradnl"/>
        </w:rPr>
        <w:t>”</w:t>
      </w:r>
      <w:r w:rsidR="00902E23" w:rsidRPr="00153074">
        <w:rPr>
          <w:lang w:val="es-ES_tradnl"/>
        </w:rPr>
        <w:t xml:space="preserve"> debería</w:t>
      </w:r>
      <w:r w:rsidR="008C617C" w:rsidRPr="00153074">
        <w:rPr>
          <w:lang w:val="es-ES_tradnl"/>
        </w:rPr>
        <w:t>n</w:t>
      </w:r>
      <w:r w:rsidR="00902E23" w:rsidRPr="00153074">
        <w:rPr>
          <w:lang w:val="es-ES_tradnl"/>
        </w:rPr>
        <w:t xml:space="preserve"> ser ex</w:t>
      </w:r>
      <w:r w:rsidR="00EE0F36" w:rsidRPr="00153074">
        <w:rPr>
          <w:lang w:val="es-ES_tradnl"/>
        </w:rPr>
        <w:t>plorados</w:t>
      </w:r>
      <w:r w:rsidR="00902E23" w:rsidRPr="00153074">
        <w:rPr>
          <w:lang w:val="es-ES_tradnl"/>
        </w:rPr>
        <w:t xml:space="preserve"> </w:t>
      </w:r>
      <w:r w:rsidR="002A7792" w:rsidRPr="00153074">
        <w:rPr>
          <w:lang w:val="es-ES_tradnl"/>
        </w:rPr>
        <w:t>“</w:t>
      </w:r>
      <w:r w:rsidR="00902E23" w:rsidRPr="00153074">
        <w:rPr>
          <w:lang w:val="es-ES_tradnl"/>
        </w:rPr>
        <w:t xml:space="preserve">para catalizar </w:t>
      </w:r>
      <w:r w:rsidR="00EE0F36" w:rsidRPr="00153074">
        <w:rPr>
          <w:lang w:val="es-ES_tradnl"/>
        </w:rPr>
        <w:t>a</w:t>
      </w:r>
      <w:r w:rsidR="00902E23" w:rsidRPr="00153074">
        <w:rPr>
          <w:lang w:val="es-ES_tradnl"/>
        </w:rPr>
        <w:t>sociaciones</w:t>
      </w:r>
      <w:r w:rsidR="00EE0F36" w:rsidRPr="00153074">
        <w:rPr>
          <w:lang w:val="es-ES_tradnl"/>
        </w:rPr>
        <w:t xml:space="preserve"> entre los sectores público y privado </w:t>
      </w:r>
      <w:r w:rsidR="00902E23" w:rsidRPr="00153074">
        <w:rPr>
          <w:lang w:val="es-ES_tradnl"/>
        </w:rPr>
        <w:t>y la inversión privada</w:t>
      </w:r>
      <w:r w:rsidR="002A7792" w:rsidRPr="00153074">
        <w:rPr>
          <w:lang w:val="es-ES_tradnl"/>
        </w:rPr>
        <w:t>”</w:t>
      </w:r>
      <w:r w:rsidR="00902E23" w:rsidRPr="00153074">
        <w:rPr>
          <w:lang w:val="es-ES_tradnl"/>
        </w:rPr>
        <w:t xml:space="preserve"> (CE, 2011b: 8). A principios de 2013 se </w:t>
      </w:r>
      <w:r w:rsidR="00EE0F36" w:rsidRPr="00153074">
        <w:rPr>
          <w:lang w:val="es-ES_tradnl"/>
        </w:rPr>
        <w:t>puso en marcha</w:t>
      </w:r>
      <w:r w:rsidR="00902E23" w:rsidRPr="00153074">
        <w:rPr>
          <w:lang w:val="es-ES_tradnl"/>
        </w:rPr>
        <w:t xml:space="preserve"> una </w:t>
      </w:r>
      <w:r w:rsidR="002A7792" w:rsidRPr="00153074">
        <w:rPr>
          <w:lang w:val="es-ES_tradnl"/>
        </w:rPr>
        <w:t>“</w:t>
      </w:r>
      <w:r w:rsidR="00902E23" w:rsidRPr="00153074">
        <w:rPr>
          <w:lang w:val="es-ES_tradnl"/>
        </w:rPr>
        <w:t>Plataforma para la cooperación exterior y desarrollo</w:t>
      </w:r>
      <w:r w:rsidR="002A7792" w:rsidRPr="00153074">
        <w:rPr>
          <w:lang w:val="es-ES_tradnl"/>
        </w:rPr>
        <w:t>”</w:t>
      </w:r>
      <w:r w:rsidR="00902E23" w:rsidRPr="00153074">
        <w:rPr>
          <w:lang w:val="es-ES_tradnl"/>
        </w:rPr>
        <w:t xml:space="preserve"> </w:t>
      </w:r>
      <w:r w:rsidR="008A1EA1" w:rsidRPr="00153074">
        <w:rPr>
          <w:lang w:val="es-ES_tradnl"/>
        </w:rPr>
        <w:t>con el objetivo de</w:t>
      </w:r>
      <w:r w:rsidR="00BF671A" w:rsidRPr="00153074">
        <w:rPr>
          <w:lang w:val="es-ES_tradnl"/>
        </w:rPr>
        <w:t xml:space="preserve"> hacer un </w:t>
      </w:r>
      <w:r w:rsidR="002A7792" w:rsidRPr="00153074">
        <w:rPr>
          <w:lang w:val="es-ES_tradnl"/>
        </w:rPr>
        <w:t>“</w:t>
      </w:r>
      <w:r w:rsidR="00BF671A" w:rsidRPr="00153074">
        <w:rPr>
          <w:lang w:val="es-ES_tradnl"/>
        </w:rPr>
        <w:t>uso óptimo</w:t>
      </w:r>
      <w:r w:rsidR="002A7792" w:rsidRPr="00153074">
        <w:rPr>
          <w:lang w:val="es-ES_tradnl"/>
        </w:rPr>
        <w:t>”</w:t>
      </w:r>
      <w:r w:rsidR="00BF671A" w:rsidRPr="00153074">
        <w:rPr>
          <w:lang w:val="es-ES_tradnl"/>
        </w:rPr>
        <w:t xml:space="preserve"> de la combinación de subvenciones y préstamos en la financiación empresarial.</w:t>
      </w:r>
    </w:p>
    <w:p w:rsidR="00E178CD" w:rsidRPr="00153074" w:rsidRDefault="00E178CD" w:rsidP="007462FA">
      <w:pPr>
        <w:jc w:val="both"/>
        <w:rPr>
          <w:lang w:val="es-ES_tradnl"/>
        </w:rPr>
      </w:pPr>
    </w:p>
    <w:p w:rsidR="00BF671A" w:rsidRPr="00153074" w:rsidRDefault="00BF671A" w:rsidP="007462FA">
      <w:pPr>
        <w:jc w:val="both"/>
        <w:rPr>
          <w:lang w:val="es-ES_tradnl"/>
        </w:rPr>
      </w:pPr>
      <w:r w:rsidRPr="00153074">
        <w:rPr>
          <w:lang w:val="es-ES_tradnl"/>
        </w:rPr>
        <w:t xml:space="preserve">Por último, a nivel bilateral, varios donantes </w:t>
      </w:r>
      <w:r w:rsidR="008F1BB5" w:rsidRPr="00153074">
        <w:rPr>
          <w:lang w:val="es-ES_tradnl"/>
        </w:rPr>
        <w:t>a título individual</w:t>
      </w:r>
      <w:r w:rsidRPr="00153074">
        <w:rPr>
          <w:lang w:val="es-ES_tradnl"/>
        </w:rPr>
        <w:t xml:space="preserve"> han </w:t>
      </w:r>
      <w:r w:rsidR="008C617C" w:rsidRPr="00153074">
        <w:rPr>
          <w:lang w:val="es-ES_tradnl"/>
        </w:rPr>
        <w:t>convertido</w:t>
      </w:r>
      <w:r w:rsidRPr="00153074">
        <w:rPr>
          <w:lang w:val="es-ES_tradnl"/>
        </w:rPr>
        <w:t xml:space="preserve"> el papel del sector privado en el desarrollo </w:t>
      </w:r>
      <w:r w:rsidR="008C617C" w:rsidRPr="00153074">
        <w:rPr>
          <w:lang w:val="es-ES_tradnl"/>
        </w:rPr>
        <w:t>en una de</w:t>
      </w:r>
      <w:r w:rsidRPr="00153074">
        <w:rPr>
          <w:lang w:val="es-ES_tradnl"/>
        </w:rPr>
        <w:t xml:space="preserve"> las prioridades claves de los esfuerzos de cooperación al </w:t>
      </w:r>
      <w:r w:rsidRPr="00153074">
        <w:rPr>
          <w:lang w:val="es-ES_tradnl"/>
        </w:rPr>
        <w:lastRenderedPageBreak/>
        <w:t xml:space="preserve">desarrollo. Organismos de la ayuda como SIDA, DANIDA, USAID y los Países Bajos han prestado una mayor atención al papel del sector privado en el desarrollo orientando las políticas y prioridades </w:t>
      </w:r>
      <w:r w:rsidR="00BC7831" w:rsidRPr="00153074">
        <w:rPr>
          <w:lang w:val="es-ES_tradnl"/>
        </w:rPr>
        <w:t xml:space="preserve">nacionales </w:t>
      </w:r>
      <w:r w:rsidRPr="00153074">
        <w:rPr>
          <w:lang w:val="es-ES_tradnl"/>
        </w:rPr>
        <w:t xml:space="preserve">de </w:t>
      </w:r>
      <w:r w:rsidR="0061326E" w:rsidRPr="00153074">
        <w:rPr>
          <w:lang w:val="es-ES_tradnl"/>
        </w:rPr>
        <w:t xml:space="preserve">la </w:t>
      </w:r>
      <w:r w:rsidRPr="00153074">
        <w:rPr>
          <w:lang w:val="es-ES_tradnl"/>
        </w:rPr>
        <w:t>ayuda hacia iniciativas del sector privado.</w:t>
      </w:r>
    </w:p>
    <w:p w:rsidR="00B1268C" w:rsidRPr="00153074" w:rsidRDefault="00B1268C" w:rsidP="007462FA">
      <w:pPr>
        <w:jc w:val="both"/>
        <w:rPr>
          <w:rFonts w:ascii="Arial" w:hAnsi="Arial" w:cs="Arial"/>
          <w:b/>
          <w:szCs w:val="22"/>
          <w:u w:val="single"/>
          <w:lang w:val="es-ES_tradnl"/>
        </w:rPr>
      </w:pPr>
    </w:p>
    <w:p w:rsidR="00B1268C" w:rsidRPr="00153074" w:rsidRDefault="00EE7019" w:rsidP="00C90AC0">
      <w:pPr>
        <w:pStyle w:val="Heading2"/>
        <w:rPr>
          <w:lang w:val="es-ES_tradnl"/>
        </w:rPr>
      </w:pPr>
      <w:bookmarkStart w:id="35" w:name="_Toc230681463"/>
      <w:bookmarkStart w:id="36" w:name="_Toc359331976"/>
      <w:bookmarkStart w:id="37" w:name="_Toc369604911"/>
      <w:r w:rsidRPr="00153074">
        <w:rPr>
          <w:lang w:val="es-ES_tradnl"/>
        </w:rPr>
        <w:t>La Alianza de Busan</w:t>
      </w:r>
      <w:r w:rsidR="00B1268C" w:rsidRPr="00153074">
        <w:rPr>
          <w:lang w:val="es-ES_tradnl"/>
        </w:rPr>
        <w:t xml:space="preserve"> </w:t>
      </w:r>
      <w:r w:rsidR="00BF671A" w:rsidRPr="00153074">
        <w:rPr>
          <w:lang w:val="es-ES_tradnl"/>
        </w:rPr>
        <w:t>para una Cooperación al Desarrollo Eficaz</w:t>
      </w:r>
      <w:bookmarkEnd w:id="35"/>
      <w:bookmarkEnd w:id="36"/>
      <w:bookmarkEnd w:id="37"/>
    </w:p>
    <w:p w:rsidR="00B1268C" w:rsidRPr="00153074" w:rsidRDefault="00EE7019" w:rsidP="007462FA">
      <w:pPr>
        <w:jc w:val="both"/>
        <w:rPr>
          <w:lang w:val="es-ES_tradnl"/>
        </w:rPr>
      </w:pPr>
      <w:r w:rsidRPr="00153074">
        <w:rPr>
          <w:lang w:val="es-ES_tradnl"/>
        </w:rPr>
        <w:t>La Alianza de Busan</w:t>
      </w:r>
      <w:r w:rsidR="00B1268C" w:rsidRPr="00153074">
        <w:rPr>
          <w:lang w:val="es-ES_tradnl"/>
        </w:rPr>
        <w:t xml:space="preserve"> </w:t>
      </w:r>
      <w:r w:rsidR="00BF671A" w:rsidRPr="00153074">
        <w:rPr>
          <w:lang w:val="es-ES_tradnl"/>
        </w:rPr>
        <w:t>fue</w:t>
      </w:r>
      <w:r w:rsidR="00513CC0" w:rsidRPr="00153074">
        <w:rPr>
          <w:lang w:val="es-ES_tradnl"/>
        </w:rPr>
        <w:t xml:space="preserve"> avalada en el </w:t>
      </w:r>
      <w:r w:rsidR="00727D51" w:rsidRPr="00153074">
        <w:rPr>
          <w:lang w:val="es-ES_tradnl"/>
        </w:rPr>
        <w:t>IV</w:t>
      </w:r>
      <w:r w:rsidR="00513CC0" w:rsidRPr="00153074">
        <w:rPr>
          <w:lang w:val="es-ES_tradnl"/>
        </w:rPr>
        <w:t xml:space="preserve"> Foro de Alto Nive</w:t>
      </w:r>
      <w:r w:rsidR="00BC7831" w:rsidRPr="00153074">
        <w:rPr>
          <w:lang w:val="es-ES_tradnl"/>
        </w:rPr>
        <w:t xml:space="preserve">l sobre la Eficacia de la Ayuda celebrado </w:t>
      </w:r>
      <w:r w:rsidR="00513CC0" w:rsidRPr="00153074">
        <w:rPr>
          <w:lang w:val="es-ES_tradnl"/>
        </w:rPr>
        <w:t xml:space="preserve">en diciembre de </w:t>
      </w:r>
      <w:r w:rsidR="00B1268C" w:rsidRPr="00153074">
        <w:rPr>
          <w:lang w:val="es-ES_tradnl"/>
        </w:rPr>
        <w:t xml:space="preserve">2011 </w:t>
      </w:r>
      <w:r w:rsidR="00513CC0" w:rsidRPr="00153074">
        <w:rPr>
          <w:lang w:val="es-ES_tradnl"/>
        </w:rPr>
        <w:t>e</w:t>
      </w:r>
      <w:r w:rsidR="00B1268C" w:rsidRPr="00153074">
        <w:rPr>
          <w:lang w:val="es-ES_tradnl"/>
        </w:rPr>
        <w:t xml:space="preserve">n Busan, </w:t>
      </w:r>
      <w:r w:rsidR="00BC7831" w:rsidRPr="00153074">
        <w:rPr>
          <w:lang w:val="es-ES_tradnl"/>
        </w:rPr>
        <w:t>Corea del Sur</w:t>
      </w:r>
      <w:r w:rsidR="00513CC0" w:rsidRPr="00153074">
        <w:rPr>
          <w:lang w:val="es-ES_tradnl"/>
        </w:rPr>
        <w:t xml:space="preserve">. La declaración establece cuatro </w:t>
      </w:r>
      <w:r w:rsidR="002A7792" w:rsidRPr="00153074">
        <w:rPr>
          <w:lang w:val="es-ES_tradnl"/>
        </w:rPr>
        <w:t>“</w:t>
      </w:r>
      <w:r w:rsidR="00513CC0" w:rsidRPr="00153074">
        <w:rPr>
          <w:lang w:val="es-ES_tradnl"/>
        </w:rPr>
        <w:t>principios comunes</w:t>
      </w:r>
      <w:r w:rsidR="002A7792" w:rsidRPr="00153074">
        <w:rPr>
          <w:lang w:val="es-ES_tradnl"/>
        </w:rPr>
        <w:t>”</w:t>
      </w:r>
      <w:r w:rsidR="00513CC0" w:rsidRPr="00153074">
        <w:rPr>
          <w:lang w:val="es-ES_tradnl"/>
        </w:rPr>
        <w:t xml:space="preserve">: (i) </w:t>
      </w:r>
      <w:r w:rsidR="004B5294" w:rsidRPr="00153074">
        <w:rPr>
          <w:lang w:val="es-ES_tradnl"/>
        </w:rPr>
        <w:t xml:space="preserve">la </w:t>
      </w:r>
      <w:r w:rsidR="00513CC0" w:rsidRPr="00153074">
        <w:rPr>
          <w:lang w:val="es-ES_tradnl"/>
        </w:rPr>
        <w:t xml:space="preserve">apropiación de las prioridades del desarrollo por parte de los países en desarrollo, (ii) la eficacia centrada en los resultados, (iii) la implementación a través de </w:t>
      </w:r>
      <w:r w:rsidR="002A7792" w:rsidRPr="00153074">
        <w:rPr>
          <w:lang w:val="es-ES_tradnl"/>
        </w:rPr>
        <w:t>“</w:t>
      </w:r>
      <w:r w:rsidR="00513CC0" w:rsidRPr="00153074">
        <w:rPr>
          <w:lang w:val="es-ES_tradnl"/>
        </w:rPr>
        <w:t xml:space="preserve">asociaciones </w:t>
      </w:r>
      <w:r w:rsidR="001F0848" w:rsidRPr="00153074">
        <w:rPr>
          <w:lang w:val="es-ES_tradnl"/>
        </w:rPr>
        <w:t>incluyentes</w:t>
      </w:r>
      <w:r w:rsidR="002A7792" w:rsidRPr="00153074">
        <w:rPr>
          <w:lang w:val="es-ES_tradnl"/>
        </w:rPr>
        <w:t>”</w:t>
      </w:r>
      <w:r w:rsidR="00513CC0" w:rsidRPr="00153074">
        <w:rPr>
          <w:lang w:val="es-ES_tradnl"/>
        </w:rPr>
        <w:t xml:space="preserve">, y por último (iv) responsabilidad a través </w:t>
      </w:r>
      <w:r w:rsidR="004B5294" w:rsidRPr="00153074">
        <w:rPr>
          <w:lang w:val="es-ES_tradnl"/>
        </w:rPr>
        <w:t xml:space="preserve">de </w:t>
      </w:r>
      <w:r w:rsidR="00513CC0" w:rsidRPr="00153074">
        <w:rPr>
          <w:lang w:val="es-ES_tradnl"/>
        </w:rPr>
        <w:t xml:space="preserve">una mayor </w:t>
      </w:r>
      <w:r w:rsidR="001F0848" w:rsidRPr="00153074">
        <w:rPr>
          <w:lang w:val="es-ES_tradnl"/>
        </w:rPr>
        <w:t>transparencia</w:t>
      </w:r>
      <w:r w:rsidR="00513CC0" w:rsidRPr="00153074">
        <w:rPr>
          <w:lang w:val="es-ES_tradnl"/>
        </w:rPr>
        <w:t xml:space="preserve"> </w:t>
      </w:r>
      <w:r w:rsidR="002853DE" w:rsidRPr="00153074">
        <w:rPr>
          <w:lang w:val="es-ES_tradnl"/>
        </w:rPr>
        <w:t>de cara a</w:t>
      </w:r>
      <w:r w:rsidR="00513CC0" w:rsidRPr="00153074">
        <w:rPr>
          <w:lang w:val="es-ES_tradnl"/>
        </w:rPr>
        <w:t xml:space="preserve"> los beneficiarios y </w:t>
      </w:r>
      <w:r w:rsidR="002853DE" w:rsidRPr="00153074">
        <w:rPr>
          <w:lang w:val="es-ES_tradnl"/>
        </w:rPr>
        <w:t>a</w:t>
      </w:r>
      <w:r w:rsidR="00513CC0" w:rsidRPr="00153074">
        <w:rPr>
          <w:lang w:val="es-ES_tradnl"/>
        </w:rPr>
        <w:t xml:space="preserve"> los ciudadanos en general (señalando con relevancia la advertencia de que la transparencia sea </w:t>
      </w:r>
      <w:r w:rsidR="002A7792" w:rsidRPr="00153074">
        <w:rPr>
          <w:lang w:val="es-ES_tradnl"/>
        </w:rPr>
        <w:t>“</w:t>
      </w:r>
      <w:r w:rsidR="00513CC0" w:rsidRPr="00153074">
        <w:rPr>
          <w:lang w:val="es-ES_tradnl"/>
        </w:rPr>
        <w:t>objeto de</w:t>
      </w:r>
      <w:r w:rsidR="00A63A7D" w:rsidRPr="00153074">
        <w:rPr>
          <w:lang w:val="es-ES_tradnl"/>
        </w:rPr>
        <w:t xml:space="preserve"> </w:t>
      </w:r>
      <w:r w:rsidR="00E62DE7" w:rsidRPr="00153074">
        <w:rPr>
          <w:lang w:val="es-ES_tradnl"/>
        </w:rPr>
        <w:t>reservas</w:t>
      </w:r>
      <w:r w:rsidR="00A63A7D" w:rsidRPr="00153074">
        <w:rPr>
          <w:lang w:val="es-ES_tradnl"/>
        </w:rPr>
        <w:t xml:space="preserve"> legítimas </w:t>
      </w:r>
      <w:r w:rsidR="00E62DE7" w:rsidRPr="00153074">
        <w:rPr>
          <w:lang w:val="es-ES_tradnl"/>
        </w:rPr>
        <w:t>relativas a</w:t>
      </w:r>
      <w:r w:rsidR="00A63A7D" w:rsidRPr="00153074">
        <w:rPr>
          <w:lang w:val="es-ES_tradnl"/>
        </w:rPr>
        <w:t xml:space="preserve"> información comercialmente </w:t>
      </w:r>
      <w:r w:rsidR="00E62DE7" w:rsidRPr="00153074">
        <w:rPr>
          <w:lang w:val="es-ES_tradnl"/>
        </w:rPr>
        <w:t>sensible</w:t>
      </w:r>
      <w:r w:rsidR="002A7792" w:rsidRPr="00153074">
        <w:rPr>
          <w:lang w:val="es-ES_tradnl"/>
        </w:rPr>
        <w:t>”</w:t>
      </w:r>
      <w:r w:rsidR="00A63A7D" w:rsidRPr="00153074">
        <w:rPr>
          <w:lang w:val="es-ES_tradnl"/>
        </w:rPr>
        <w:t xml:space="preserve">) </w:t>
      </w:r>
      <w:r w:rsidR="00B1268C" w:rsidRPr="00153074">
        <w:rPr>
          <w:lang w:val="es-ES_tradnl"/>
        </w:rPr>
        <w:t>(</w:t>
      </w:r>
      <w:r w:rsidR="003A4EDB" w:rsidRPr="00153074">
        <w:rPr>
          <w:lang w:val="es-ES_tradnl"/>
        </w:rPr>
        <w:t>OCDE</w:t>
      </w:r>
      <w:r w:rsidR="00B1268C" w:rsidRPr="00153074">
        <w:rPr>
          <w:lang w:val="es-ES_tradnl"/>
        </w:rPr>
        <w:t xml:space="preserve"> 2011a).</w:t>
      </w:r>
    </w:p>
    <w:p w:rsidR="00B1268C" w:rsidRPr="00153074" w:rsidRDefault="00B1268C" w:rsidP="007462FA">
      <w:pPr>
        <w:jc w:val="both"/>
        <w:rPr>
          <w:rFonts w:ascii="Arial" w:hAnsi="Arial" w:cs="Arial"/>
          <w:sz w:val="20"/>
          <w:szCs w:val="20"/>
          <w:lang w:val="es-ES_tradnl"/>
        </w:rPr>
      </w:pPr>
    </w:p>
    <w:p w:rsidR="00B1268C" w:rsidRPr="00153074" w:rsidRDefault="00A63A7D" w:rsidP="007462FA">
      <w:pPr>
        <w:jc w:val="both"/>
        <w:rPr>
          <w:lang w:val="es-ES_tradnl"/>
        </w:rPr>
      </w:pPr>
      <w:r w:rsidRPr="00153074">
        <w:rPr>
          <w:lang w:val="es-ES_tradnl"/>
        </w:rPr>
        <w:t xml:space="preserve">El texto de los resultados de </w:t>
      </w:r>
      <w:r w:rsidR="00B1268C" w:rsidRPr="00153074">
        <w:rPr>
          <w:lang w:val="es-ES_tradnl"/>
        </w:rPr>
        <w:t xml:space="preserve">Busan </w:t>
      </w:r>
      <w:r w:rsidRPr="00153074">
        <w:rPr>
          <w:lang w:val="es-ES_tradnl"/>
        </w:rPr>
        <w:t xml:space="preserve">es bienvenido en muchos sentidos. Pone de relieve la necesidad de </w:t>
      </w:r>
      <w:r w:rsidR="002853DE" w:rsidRPr="00153074">
        <w:rPr>
          <w:lang w:val="es-ES_tradnl"/>
        </w:rPr>
        <w:t>coherencia</w:t>
      </w:r>
      <w:r w:rsidRPr="00153074">
        <w:rPr>
          <w:lang w:val="es-ES_tradnl"/>
        </w:rPr>
        <w:t xml:space="preserve"> con relación a</w:t>
      </w:r>
      <w:r w:rsidR="002853DE" w:rsidRPr="00153074">
        <w:rPr>
          <w:lang w:val="es-ES_tradnl"/>
        </w:rPr>
        <w:t xml:space="preserve"> los</w:t>
      </w:r>
      <w:r w:rsidRPr="00153074">
        <w:rPr>
          <w:lang w:val="es-ES_tradnl"/>
        </w:rPr>
        <w:t xml:space="preserve"> </w:t>
      </w:r>
      <w:r w:rsidR="002A7792" w:rsidRPr="00153074">
        <w:rPr>
          <w:lang w:val="es-ES_tradnl"/>
        </w:rPr>
        <w:t>“</w:t>
      </w:r>
      <w:r w:rsidRPr="00153074">
        <w:rPr>
          <w:lang w:val="es-ES_tradnl"/>
        </w:rPr>
        <w:t>compromisos internacionales en materia de derechos humanos, trabajo decente, igualdad de género, sostenibilidad ambiental y discapacidad</w:t>
      </w:r>
      <w:r w:rsidR="002A7792" w:rsidRPr="00153074">
        <w:rPr>
          <w:lang w:val="es-ES_tradnl"/>
        </w:rPr>
        <w:t>”</w:t>
      </w:r>
      <w:r w:rsidRPr="00153074">
        <w:rPr>
          <w:lang w:val="es-ES_tradnl"/>
        </w:rPr>
        <w:t xml:space="preserve"> así como, inter al</w:t>
      </w:r>
      <w:r w:rsidR="004B5294" w:rsidRPr="00153074">
        <w:rPr>
          <w:lang w:val="es-ES_tradnl"/>
        </w:rPr>
        <w:t>i</w:t>
      </w:r>
      <w:r w:rsidRPr="00153074">
        <w:rPr>
          <w:lang w:val="es-ES_tradnl"/>
        </w:rPr>
        <w:t xml:space="preserve">a: </w:t>
      </w:r>
      <w:r w:rsidR="004B5294" w:rsidRPr="00153074">
        <w:rPr>
          <w:lang w:val="es-ES_tradnl"/>
        </w:rPr>
        <w:t xml:space="preserve">el </w:t>
      </w:r>
      <w:r w:rsidRPr="00153074">
        <w:rPr>
          <w:lang w:val="es-ES_tradnl"/>
        </w:rPr>
        <w:t>reconocimiento de la creciente importancia de la cooperación Sur-Sur</w:t>
      </w:r>
      <w:r w:rsidR="00B1268C" w:rsidRPr="00153074">
        <w:rPr>
          <w:lang w:val="es-ES_tradnl"/>
        </w:rPr>
        <w:t xml:space="preserve"> (#14); </w:t>
      </w:r>
      <w:r w:rsidRPr="00153074">
        <w:rPr>
          <w:lang w:val="es-ES_tradnl"/>
        </w:rPr>
        <w:t xml:space="preserve">la necesidad de </w:t>
      </w:r>
      <w:r w:rsidR="002A7792" w:rsidRPr="00153074">
        <w:rPr>
          <w:lang w:val="es-ES_tradnl"/>
        </w:rPr>
        <w:t>“</w:t>
      </w:r>
      <w:r w:rsidRPr="00153074">
        <w:rPr>
          <w:lang w:val="es-ES_tradnl"/>
        </w:rPr>
        <w:t>acelerar</w:t>
      </w:r>
      <w:r w:rsidR="002A7792" w:rsidRPr="00153074">
        <w:rPr>
          <w:lang w:val="es-ES_tradnl"/>
        </w:rPr>
        <w:t>”</w:t>
      </w:r>
      <w:r w:rsidRPr="00153074">
        <w:rPr>
          <w:lang w:val="es-ES_tradnl"/>
        </w:rPr>
        <w:t xml:space="preserve"> los esfuerzos para </w:t>
      </w:r>
      <w:r w:rsidR="00ED2EB2" w:rsidRPr="00153074">
        <w:rPr>
          <w:lang w:val="es-ES_tradnl"/>
        </w:rPr>
        <w:t>desligar</w:t>
      </w:r>
      <w:r w:rsidRPr="00153074">
        <w:rPr>
          <w:lang w:val="es-ES_tradnl"/>
        </w:rPr>
        <w:t xml:space="preserve"> la a</w:t>
      </w:r>
      <w:r w:rsidR="004B5294" w:rsidRPr="00153074">
        <w:rPr>
          <w:lang w:val="es-ES_tradnl"/>
        </w:rPr>
        <w:t>yuda y</w:t>
      </w:r>
      <w:r w:rsidR="00ED2EB2" w:rsidRPr="00153074">
        <w:rPr>
          <w:lang w:val="es-ES_tradnl"/>
        </w:rPr>
        <w:t xml:space="preserve"> </w:t>
      </w:r>
      <w:r w:rsidR="00451F9A" w:rsidRPr="00153074">
        <w:rPr>
          <w:lang w:val="es-ES_tradnl"/>
        </w:rPr>
        <w:t>mejorar</w:t>
      </w:r>
      <w:r w:rsidR="00ED2EB2" w:rsidRPr="00153074">
        <w:rPr>
          <w:lang w:val="es-ES_tradnl"/>
        </w:rPr>
        <w:t xml:space="preserve"> la </w:t>
      </w:r>
      <w:r w:rsidR="002A7792" w:rsidRPr="00153074">
        <w:rPr>
          <w:lang w:val="es-ES_tradnl"/>
        </w:rPr>
        <w:t>“</w:t>
      </w:r>
      <w:r w:rsidR="00ED2EB2" w:rsidRPr="00153074">
        <w:rPr>
          <w:lang w:val="es-ES_tradnl"/>
        </w:rPr>
        <w:t>re</w:t>
      </w:r>
      <w:r w:rsidR="00451F9A" w:rsidRPr="00153074">
        <w:rPr>
          <w:lang w:val="es-ES_tradnl"/>
        </w:rPr>
        <w:t>lación costo-beneficio</w:t>
      </w:r>
      <w:r w:rsidR="002A7792" w:rsidRPr="00153074">
        <w:rPr>
          <w:lang w:val="es-ES_tradnl"/>
        </w:rPr>
        <w:t>”</w:t>
      </w:r>
      <w:r w:rsidRPr="00153074">
        <w:rPr>
          <w:lang w:val="es-ES_tradnl"/>
        </w:rPr>
        <w:t xml:space="preserve"> de la AOD</w:t>
      </w:r>
      <w:r w:rsidR="00B1268C" w:rsidRPr="00153074">
        <w:rPr>
          <w:lang w:val="es-ES_tradnl"/>
        </w:rPr>
        <w:t xml:space="preserve"> (#18); </w:t>
      </w:r>
      <w:r w:rsidRPr="00153074">
        <w:rPr>
          <w:lang w:val="es-ES_tradnl"/>
        </w:rPr>
        <w:t xml:space="preserve">el </w:t>
      </w:r>
      <w:r w:rsidR="002A7792" w:rsidRPr="00153074">
        <w:rPr>
          <w:lang w:val="es-ES_tradnl"/>
        </w:rPr>
        <w:t>“</w:t>
      </w:r>
      <w:r w:rsidRPr="00153074">
        <w:rPr>
          <w:lang w:val="es-ES_tradnl"/>
        </w:rPr>
        <w:t>papel vital</w:t>
      </w:r>
      <w:r w:rsidR="002A7792" w:rsidRPr="00153074">
        <w:rPr>
          <w:lang w:val="es-ES_tradnl"/>
        </w:rPr>
        <w:t>”</w:t>
      </w:r>
      <w:r w:rsidRPr="00153074">
        <w:rPr>
          <w:lang w:val="es-ES_tradnl"/>
        </w:rPr>
        <w:t xml:space="preserve"> de las OSC en la </w:t>
      </w:r>
      <w:r w:rsidR="002A7792" w:rsidRPr="00153074">
        <w:rPr>
          <w:lang w:val="es-ES_tradnl"/>
        </w:rPr>
        <w:t>“</w:t>
      </w:r>
      <w:r w:rsidRPr="00153074">
        <w:rPr>
          <w:lang w:val="es-ES_tradnl"/>
        </w:rPr>
        <w:t>promoción de enfoques basados en los derechos</w:t>
      </w:r>
      <w:r w:rsidR="002A7792" w:rsidRPr="00153074">
        <w:rPr>
          <w:lang w:val="es-ES_tradnl"/>
        </w:rPr>
        <w:t>”</w:t>
      </w:r>
      <w:r w:rsidR="00B1268C" w:rsidRPr="00153074">
        <w:rPr>
          <w:lang w:val="es-ES_tradnl"/>
        </w:rPr>
        <w:t xml:space="preserve"> (#22);</w:t>
      </w:r>
      <w:r w:rsidRPr="00153074">
        <w:rPr>
          <w:lang w:val="es-ES_tradnl"/>
        </w:rPr>
        <w:t xml:space="preserve"> y la necesidad de </w:t>
      </w:r>
      <w:r w:rsidR="002A7792" w:rsidRPr="00153074">
        <w:rPr>
          <w:lang w:val="es-ES_tradnl"/>
        </w:rPr>
        <w:t>“</w:t>
      </w:r>
      <w:r w:rsidR="00451F9A" w:rsidRPr="00153074">
        <w:rPr>
          <w:lang w:val="es-ES_tradnl"/>
        </w:rPr>
        <w:t xml:space="preserve">cero </w:t>
      </w:r>
      <w:r w:rsidRPr="00153074">
        <w:rPr>
          <w:lang w:val="es-ES_tradnl"/>
        </w:rPr>
        <w:t>tolerancia</w:t>
      </w:r>
      <w:r w:rsidR="002A7792" w:rsidRPr="00153074">
        <w:rPr>
          <w:lang w:val="es-ES_tradnl"/>
        </w:rPr>
        <w:t>”</w:t>
      </w:r>
      <w:r w:rsidRPr="00153074">
        <w:rPr>
          <w:lang w:val="es-ES_tradnl"/>
        </w:rPr>
        <w:t xml:space="preserve"> </w:t>
      </w:r>
      <w:r w:rsidR="00451F9A" w:rsidRPr="00153074">
        <w:rPr>
          <w:lang w:val="es-ES_tradnl"/>
        </w:rPr>
        <w:t>frente</w:t>
      </w:r>
      <w:r w:rsidRPr="00153074">
        <w:rPr>
          <w:lang w:val="es-ES_tradnl"/>
        </w:rPr>
        <w:t xml:space="preserve"> a la corrupción</w:t>
      </w:r>
      <w:r w:rsidR="004B5294" w:rsidRPr="00153074">
        <w:rPr>
          <w:lang w:val="es-ES_tradnl"/>
        </w:rPr>
        <w:t>,</w:t>
      </w:r>
      <w:r w:rsidR="00075B46" w:rsidRPr="00153074">
        <w:rPr>
          <w:lang w:val="es-ES_tradnl"/>
        </w:rPr>
        <w:t xml:space="preserve"> </w:t>
      </w:r>
      <w:r w:rsidR="004B5294" w:rsidRPr="00153074">
        <w:rPr>
          <w:lang w:val="es-ES_tradnl"/>
        </w:rPr>
        <w:t>basándose en el</w:t>
      </w:r>
      <w:r w:rsidR="00075B46" w:rsidRPr="00153074">
        <w:rPr>
          <w:lang w:val="es-ES_tradnl"/>
        </w:rPr>
        <w:t xml:space="preserve"> </w:t>
      </w:r>
      <w:r w:rsidR="00767205" w:rsidRPr="00153074">
        <w:rPr>
          <w:lang w:val="es-ES_tradnl"/>
        </w:rPr>
        <w:t>Convenio sobre la lucha</w:t>
      </w:r>
      <w:r w:rsidR="00075B46" w:rsidRPr="00153074">
        <w:rPr>
          <w:lang w:val="es-ES_tradnl"/>
        </w:rPr>
        <w:t xml:space="preserve"> contra el Soborno de </w:t>
      </w:r>
      <w:r w:rsidR="00767205" w:rsidRPr="00153074">
        <w:rPr>
          <w:lang w:val="es-ES_tradnl"/>
        </w:rPr>
        <w:t xml:space="preserve">la OCDE y </w:t>
      </w:r>
      <w:r w:rsidR="00075B46" w:rsidRPr="00153074">
        <w:rPr>
          <w:lang w:val="es-ES_tradnl"/>
        </w:rPr>
        <w:t xml:space="preserve">la ONU </w:t>
      </w:r>
      <w:r w:rsidR="00B1268C" w:rsidRPr="00153074">
        <w:rPr>
          <w:lang w:val="es-ES_tradnl"/>
        </w:rPr>
        <w:t>(#33).</w:t>
      </w:r>
    </w:p>
    <w:p w:rsidR="00B1268C" w:rsidRPr="00153074" w:rsidRDefault="00B1268C" w:rsidP="007462FA">
      <w:pPr>
        <w:jc w:val="both"/>
        <w:rPr>
          <w:rFonts w:ascii="Arial" w:hAnsi="Arial" w:cs="Arial"/>
          <w:sz w:val="20"/>
          <w:szCs w:val="20"/>
          <w:lang w:val="es-ES_tradnl"/>
        </w:rPr>
      </w:pPr>
    </w:p>
    <w:p w:rsidR="004D06B5" w:rsidRPr="00153074" w:rsidRDefault="009414FA" w:rsidP="007462FA">
      <w:pPr>
        <w:jc w:val="both"/>
        <w:rPr>
          <w:lang w:val="es-ES_tradnl"/>
        </w:rPr>
      </w:pPr>
      <w:r w:rsidRPr="00153074">
        <w:rPr>
          <w:lang w:val="es-ES_tradnl"/>
        </w:rPr>
        <w:t>La declaración es también positiva con respecto a</w:t>
      </w:r>
      <w:r w:rsidR="00767205" w:rsidRPr="00153074">
        <w:rPr>
          <w:lang w:val="es-ES_tradnl"/>
        </w:rPr>
        <w:t>l fortalecimiento d</w:t>
      </w:r>
      <w:r w:rsidRPr="00153074">
        <w:rPr>
          <w:lang w:val="es-ES_tradnl"/>
        </w:rPr>
        <w:t xml:space="preserve">el papel de los </w:t>
      </w:r>
      <w:r w:rsidR="00864464" w:rsidRPr="00153074">
        <w:rPr>
          <w:lang w:val="es-ES_tradnl"/>
        </w:rPr>
        <w:t>Gobierno</w:t>
      </w:r>
      <w:r w:rsidRPr="00153074">
        <w:rPr>
          <w:lang w:val="es-ES_tradnl"/>
        </w:rPr>
        <w:t xml:space="preserve">s receptores, más allá de los principios generales de la </w:t>
      </w:r>
      <w:r w:rsidR="002A7792" w:rsidRPr="00153074">
        <w:rPr>
          <w:lang w:val="es-ES_tradnl"/>
        </w:rPr>
        <w:t>“</w:t>
      </w:r>
      <w:r w:rsidRPr="00153074">
        <w:rPr>
          <w:lang w:val="es-ES_tradnl"/>
        </w:rPr>
        <w:t>apropiación</w:t>
      </w:r>
      <w:r w:rsidR="002A7792" w:rsidRPr="00153074">
        <w:rPr>
          <w:lang w:val="es-ES_tradnl"/>
        </w:rPr>
        <w:t>”</w:t>
      </w:r>
      <w:r w:rsidRPr="00153074">
        <w:rPr>
          <w:lang w:val="es-ES_tradnl"/>
        </w:rPr>
        <w:t xml:space="preserve"> de la ayuda. Los </w:t>
      </w:r>
      <w:r w:rsidR="002A7792" w:rsidRPr="00153074">
        <w:rPr>
          <w:lang w:val="es-ES_tradnl"/>
        </w:rPr>
        <w:t>“</w:t>
      </w:r>
      <w:r w:rsidR="003C42D1" w:rsidRPr="00153074">
        <w:rPr>
          <w:lang w:val="es-ES_tradnl"/>
        </w:rPr>
        <w:t xml:space="preserve">ingresos </w:t>
      </w:r>
      <w:r w:rsidRPr="00153074">
        <w:rPr>
          <w:lang w:val="es-ES_tradnl"/>
        </w:rPr>
        <w:t>propios</w:t>
      </w:r>
      <w:r w:rsidR="002A7792" w:rsidRPr="00153074">
        <w:rPr>
          <w:lang w:val="es-ES_tradnl"/>
        </w:rPr>
        <w:t>”</w:t>
      </w:r>
      <w:r w:rsidRPr="00153074">
        <w:rPr>
          <w:lang w:val="es-ES_tradnl"/>
        </w:rPr>
        <w:t xml:space="preserve"> de los Gobiernos deberían </w:t>
      </w:r>
      <w:r w:rsidR="003C42D1" w:rsidRPr="00153074">
        <w:rPr>
          <w:lang w:val="es-ES_tradnl"/>
        </w:rPr>
        <w:t>adquirir</w:t>
      </w:r>
      <w:r w:rsidRPr="00153074">
        <w:rPr>
          <w:lang w:val="es-ES_tradnl"/>
        </w:rPr>
        <w:t xml:space="preserve"> </w:t>
      </w:r>
      <w:r w:rsidR="002A7792" w:rsidRPr="00153074">
        <w:rPr>
          <w:lang w:val="es-ES_tradnl"/>
        </w:rPr>
        <w:t>“</w:t>
      </w:r>
      <w:r w:rsidRPr="00153074">
        <w:rPr>
          <w:lang w:val="es-ES_tradnl"/>
        </w:rPr>
        <w:t xml:space="preserve">mayor </w:t>
      </w:r>
      <w:r w:rsidR="003C42D1" w:rsidRPr="00153074">
        <w:rPr>
          <w:lang w:val="es-ES_tradnl"/>
        </w:rPr>
        <w:t>relevancia</w:t>
      </w:r>
      <w:r w:rsidRPr="00153074">
        <w:rPr>
          <w:lang w:val="es-ES_tradnl"/>
        </w:rPr>
        <w:t xml:space="preserve"> en </w:t>
      </w:r>
      <w:r w:rsidR="003C42D1" w:rsidRPr="00153074">
        <w:rPr>
          <w:lang w:val="es-ES_tradnl"/>
        </w:rPr>
        <w:t>el financiamiento</w:t>
      </w:r>
      <w:r w:rsidR="00283BD6" w:rsidRPr="00153074">
        <w:rPr>
          <w:lang w:val="es-ES_tradnl"/>
        </w:rPr>
        <w:t xml:space="preserve"> </w:t>
      </w:r>
      <w:r w:rsidRPr="00153074">
        <w:rPr>
          <w:lang w:val="es-ES_tradnl"/>
        </w:rPr>
        <w:t xml:space="preserve">de </w:t>
      </w:r>
      <w:r w:rsidR="003C42D1" w:rsidRPr="00153074">
        <w:rPr>
          <w:lang w:val="es-ES_tradnl"/>
        </w:rPr>
        <w:t>sus</w:t>
      </w:r>
      <w:r w:rsidRPr="00153074">
        <w:rPr>
          <w:lang w:val="es-ES_tradnl"/>
        </w:rPr>
        <w:t xml:space="preserve"> necesidades de desarrollo</w:t>
      </w:r>
      <w:r w:rsidR="002A7792" w:rsidRPr="00153074">
        <w:rPr>
          <w:lang w:val="es-ES_tradnl"/>
        </w:rPr>
        <w:t>”</w:t>
      </w:r>
      <w:r w:rsidRPr="00153074">
        <w:rPr>
          <w:lang w:val="es-ES_tradnl"/>
        </w:rPr>
        <w:t xml:space="preserve"> </w:t>
      </w:r>
      <w:r w:rsidR="003C42D1" w:rsidRPr="00153074">
        <w:rPr>
          <w:lang w:val="es-ES_tradnl"/>
        </w:rPr>
        <w:t xml:space="preserve">al tiempo </w:t>
      </w:r>
      <w:r w:rsidRPr="00153074">
        <w:rPr>
          <w:lang w:val="es-ES_tradnl"/>
        </w:rPr>
        <w:t xml:space="preserve">que </w:t>
      </w:r>
      <w:r w:rsidR="003C42D1" w:rsidRPr="00153074">
        <w:rPr>
          <w:lang w:val="es-ES_tradnl"/>
        </w:rPr>
        <w:t xml:space="preserve">están </w:t>
      </w:r>
      <w:r w:rsidR="002A7792" w:rsidRPr="00153074">
        <w:rPr>
          <w:lang w:val="es-ES_tradnl"/>
        </w:rPr>
        <w:t>“</w:t>
      </w:r>
      <w:r w:rsidR="003C42D1" w:rsidRPr="00153074">
        <w:rPr>
          <w:lang w:val="es-ES_tradnl"/>
        </w:rPr>
        <w:t>más sujetos a la rendición de cuentas sobre</w:t>
      </w:r>
      <w:r w:rsidR="00283BD6" w:rsidRPr="00153074">
        <w:rPr>
          <w:lang w:val="es-ES_tradnl"/>
        </w:rPr>
        <w:t xml:space="preserve"> </w:t>
      </w:r>
      <w:r w:rsidR="003C42D1" w:rsidRPr="00153074">
        <w:rPr>
          <w:lang w:val="es-ES_tradnl"/>
        </w:rPr>
        <w:t xml:space="preserve">los resultados de desarrollo alcanzados ante </w:t>
      </w:r>
      <w:r w:rsidRPr="00153074">
        <w:rPr>
          <w:lang w:val="es-ES_tradnl"/>
        </w:rPr>
        <w:t>sus ciudadanos</w:t>
      </w:r>
      <w:r w:rsidR="002A7792" w:rsidRPr="00153074">
        <w:rPr>
          <w:lang w:val="es-ES_tradnl"/>
        </w:rPr>
        <w:t>”</w:t>
      </w:r>
      <w:r w:rsidRPr="00153074">
        <w:rPr>
          <w:lang w:val="es-ES_tradnl"/>
        </w:rPr>
        <w:t xml:space="preserve"> </w:t>
      </w:r>
      <w:r w:rsidR="00B1268C" w:rsidRPr="00153074">
        <w:rPr>
          <w:lang w:val="es-ES_tradnl"/>
        </w:rPr>
        <w:t xml:space="preserve">(#28). </w:t>
      </w:r>
      <w:r w:rsidR="004D06B5" w:rsidRPr="00153074">
        <w:rPr>
          <w:lang w:val="es-ES_tradnl"/>
        </w:rPr>
        <w:t xml:space="preserve">También se insiste en el desarrollo de capacidades de la administración pública, pero únicamente para funciones </w:t>
      </w:r>
      <w:r w:rsidR="002A7792" w:rsidRPr="00153074">
        <w:rPr>
          <w:lang w:val="es-ES_tradnl"/>
        </w:rPr>
        <w:t>“</w:t>
      </w:r>
      <w:r w:rsidR="005B71D4" w:rsidRPr="00153074">
        <w:rPr>
          <w:lang w:val="es-ES_tradnl"/>
        </w:rPr>
        <w:t>esenciales del Estado</w:t>
      </w:r>
      <w:r w:rsidR="002A7792" w:rsidRPr="00153074">
        <w:rPr>
          <w:lang w:val="es-ES_tradnl"/>
        </w:rPr>
        <w:t>”</w:t>
      </w:r>
      <w:r w:rsidR="004D06B5" w:rsidRPr="00153074">
        <w:rPr>
          <w:lang w:val="es-ES_tradnl"/>
        </w:rPr>
        <w:t xml:space="preserve">, y únicamente </w:t>
      </w:r>
      <w:r w:rsidR="002A7792" w:rsidRPr="00153074">
        <w:rPr>
          <w:lang w:val="es-ES_tradnl"/>
        </w:rPr>
        <w:t>“</w:t>
      </w:r>
      <w:r w:rsidR="005B71D4" w:rsidRPr="00153074">
        <w:rPr>
          <w:lang w:val="es-ES_tradnl"/>
        </w:rPr>
        <w:t>cuando sea necesario</w:t>
      </w:r>
      <w:r w:rsidR="002A7792" w:rsidRPr="00153074">
        <w:rPr>
          <w:lang w:val="es-ES_tradnl"/>
        </w:rPr>
        <w:t>”</w:t>
      </w:r>
      <w:r w:rsidR="004D06B5" w:rsidRPr="00153074">
        <w:rPr>
          <w:lang w:val="es-ES_tradnl"/>
        </w:rPr>
        <w:t xml:space="preserve"> </w:t>
      </w:r>
      <w:r w:rsidR="00B1268C" w:rsidRPr="00153074">
        <w:rPr>
          <w:lang w:val="es-ES_tradnl"/>
        </w:rPr>
        <w:t>(#29)</w:t>
      </w:r>
      <w:r w:rsidR="004D06B5" w:rsidRPr="00153074">
        <w:rPr>
          <w:lang w:val="es-ES_tradnl"/>
        </w:rPr>
        <w:t xml:space="preserve"> y desgraciadamente, </w:t>
      </w:r>
      <w:r w:rsidR="00C23F6F" w:rsidRPr="00153074">
        <w:rPr>
          <w:lang w:val="es-ES_tradnl"/>
        </w:rPr>
        <w:t>en</w:t>
      </w:r>
      <w:r w:rsidR="004D06B5" w:rsidRPr="00153074">
        <w:rPr>
          <w:lang w:val="es-ES_tradnl"/>
        </w:rPr>
        <w:t xml:space="preserve"> consecuencia, no se hace referencia a la necesidad de proteger y promover los servicios públicos.</w:t>
      </w:r>
    </w:p>
    <w:p w:rsidR="00B1268C" w:rsidRPr="00153074" w:rsidRDefault="00B1268C" w:rsidP="007462FA">
      <w:pPr>
        <w:jc w:val="both"/>
        <w:rPr>
          <w:rFonts w:ascii="Arial" w:hAnsi="Arial" w:cs="Arial"/>
          <w:sz w:val="20"/>
          <w:szCs w:val="20"/>
          <w:lang w:val="es-ES_tradnl"/>
        </w:rPr>
      </w:pPr>
    </w:p>
    <w:p w:rsidR="008E737F" w:rsidRPr="00153074" w:rsidRDefault="004D06B5" w:rsidP="007462FA">
      <w:pPr>
        <w:jc w:val="both"/>
        <w:rPr>
          <w:lang w:val="es-ES_tradnl"/>
        </w:rPr>
      </w:pPr>
      <w:r w:rsidRPr="00153074">
        <w:rPr>
          <w:lang w:val="es-ES_tradnl"/>
        </w:rPr>
        <w:t>El texto</w:t>
      </w:r>
      <w:r w:rsidR="008E737F" w:rsidRPr="00153074">
        <w:rPr>
          <w:lang w:val="es-ES_tradnl"/>
        </w:rPr>
        <w:t xml:space="preserve"> elogia en gran medida el papel del sector privado en el apoyo del desarrollo – función identificada como </w:t>
      </w:r>
      <w:r w:rsidR="002A7792" w:rsidRPr="00153074">
        <w:rPr>
          <w:lang w:val="es-ES_tradnl"/>
        </w:rPr>
        <w:t>“</w:t>
      </w:r>
      <w:r w:rsidR="005B71D4" w:rsidRPr="00153074">
        <w:rPr>
          <w:lang w:val="es-ES_tradnl"/>
        </w:rPr>
        <w:t>esencial</w:t>
      </w:r>
      <w:r w:rsidR="002A7792" w:rsidRPr="00153074">
        <w:rPr>
          <w:lang w:val="es-ES_tradnl"/>
        </w:rPr>
        <w:t>”</w:t>
      </w:r>
      <w:r w:rsidR="008E737F" w:rsidRPr="00153074">
        <w:rPr>
          <w:lang w:val="es-ES_tradnl"/>
        </w:rPr>
        <w:t xml:space="preserve"> </w:t>
      </w:r>
      <w:r w:rsidR="00124A63" w:rsidRPr="00153074">
        <w:rPr>
          <w:lang w:val="es-ES_tradnl"/>
        </w:rPr>
        <w:t>en la contribución</w:t>
      </w:r>
      <w:r w:rsidR="008E737F" w:rsidRPr="00153074">
        <w:rPr>
          <w:lang w:val="es-ES_tradnl"/>
        </w:rPr>
        <w:t xml:space="preserve"> a la reducción de la pobreza, mediante innovación, creación de riqueza, ingresos y </w:t>
      </w:r>
      <w:r w:rsidR="005B71D4" w:rsidRPr="00153074">
        <w:rPr>
          <w:lang w:val="es-ES_tradnl"/>
        </w:rPr>
        <w:t>empleo</w:t>
      </w:r>
      <w:r w:rsidR="008E737F" w:rsidRPr="00153074">
        <w:rPr>
          <w:lang w:val="es-ES_tradnl"/>
        </w:rPr>
        <w:t>. La declaración prosigue con cinco compromisos políticos:</w:t>
      </w:r>
    </w:p>
    <w:p w:rsidR="00B1268C" w:rsidRPr="00153074" w:rsidRDefault="00124A63" w:rsidP="007462FA">
      <w:pPr>
        <w:pStyle w:val="ListParagraph"/>
        <w:numPr>
          <w:ilvl w:val="0"/>
          <w:numId w:val="24"/>
        </w:numPr>
        <w:jc w:val="both"/>
        <w:rPr>
          <w:lang w:val="es-ES_tradnl"/>
        </w:rPr>
      </w:pPr>
      <w:r w:rsidRPr="00153074">
        <w:rPr>
          <w:lang w:val="es-ES_tradnl"/>
        </w:rPr>
        <w:t>Colaborar</w:t>
      </w:r>
      <w:r w:rsidR="008E737F" w:rsidRPr="00153074">
        <w:rPr>
          <w:lang w:val="es-ES_tradnl"/>
        </w:rPr>
        <w:t xml:space="preserve"> con </w:t>
      </w:r>
      <w:r w:rsidR="002A7792" w:rsidRPr="00153074">
        <w:rPr>
          <w:lang w:val="es-ES_tradnl"/>
        </w:rPr>
        <w:t>“</w:t>
      </w:r>
      <w:r w:rsidR="008E737F" w:rsidRPr="00153074">
        <w:rPr>
          <w:lang w:val="es-ES_tradnl"/>
        </w:rPr>
        <w:t xml:space="preserve">asociaciones </w:t>
      </w:r>
      <w:r w:rsidRPr="00153074">
        <w:rPr>
          <w:lang w:val="es-ES_tradnl"/>
        </w:rPr>
        <w:t>profesionales</w:t>
      </w:r>
      <w:r w:rsidR="008E737F" w:rsidRPr="00153074">
        <w:rPr>
          <w:lang w:val="es-ES_tradnl"/>
        </w:rPr>
        <w:t>,</w:t>
      </w:r>
      <w:r w:rsidRPr="00153074">
        <w:rPr>
          <w:lang w:val="es-ES_tradnl"/>
        </w:rPr>
        <w:t xml:space="preserve"> los</w:t>
      </w:r>
      <w:r w:rsidR="008E737F" w:rsidRPr="00153074">
        <w:rPr>
          <w:lang w:val="es-ES_tradnl"/>
        </w:rPr>
        <w:t xml:space="preserve"> sindicatos y otr</w:t>
      </w:r>
      <w:r w:rsidRPr="00153074">
        <w:rPr>
          <w:lang w:val="es-ES_tradnl"/>
        </w:rPr>
        <w:t>as entidades</w:t>
      </w:r>
      <w:r w:rsidR="002A7792" w:rsidRPr="00153074">
        <w:rPr>
          <w:lang w:val="es-ES_tradnl"/>
        </w:rPr>
        <w:t>”</w:t>
      </w:r>
      <w:r w:rsidR="008E737F" w:rsidRPr="00153074">
        <w:rPr>
          <w:lang w:val="es-ES_tradnl"/>
        </w:rPr>
        <w:t xml:space="preserve"> en la reforma del </w:t>
      </w:r>
      <w:r w:rsidR="00C450AD" w:rsidRPr="00153074">
        <w:rPr>
          <w:lang w:val="es-ES_tradnl"/>
        </w:rPr>
        <w:t xml:space="preserve">marco </w:t>
      </w:r>
      <w:r w:rsidR="00E04479" w:rsidRPr="00153074">
        <w:rPr>
          <w:lang w:val="es-ES_tradnl"/>
        </w:rPr>
        <w:t>regulador</w:t>
      </w:r>
      <w:r w:rsidR="008E737F" w:rsidRPr="00153074">
        <w:rPr>
          <w:lang w:val="es-ES_tradnl"/>
        </w:rPr>
        <w:t xml:space="preserve"> para el desarrollo de la inversión privada, para incluir la inversión extranjera directa y las asociaciones público-privadas;</w:t>
      </w:r>
    </w:p>
    <w:p w:rsidR="00B1268C" w:rsidRPr="00153074" w:rsidRDefault="00124A63" w:rsidP="007462FA">
      <w:pPr>
        <w:pStyle w:val="ListParagraph"/>
        <w:numPr>
          <w:ilvl w:val="0"/>
          <w:numId w:val="24"/>
        </w:numPr>
        <w:jc w:val="both"/>
        <w:rPr>
          <w:lang w:val="es-ES_tradnl"/>
        </w:rPr>
      </w:pPr>
      <w:r w:rsidRPr="00153074">
        <w:rPr>
          <w:lang w:val="es-ES_tradnl"/>
        </w:rPr>
        <w:t>Asegurar</w:t>
      </w:r>
      <w:r w:rsidR="000C7954" w:rsidRPr="00153074">
        <w:rPr>
          <w:lang w:val="es-ES_tradnl"/>
        </w:rPr>
        <w:t xml:space="preserve"> la participación del sector privado en el diseño y aplicación de políticas de desarrollo para </w:t>
      </w:r>
      <w:r w:rsidR="00DC428A" w:rsidRPr="00153074">
        <w:rPr>
          <w:lang w:val="es-ES_tradnl"/>
        </w:rPr>
        <w:t>fomentar el</w:t>
      </w:r>
      <w:r w:rsidR="000C7954" w:rsidRPr="00153074">
        <w:rPr>
          <w:lang w:val="es-ES_tradnl"/>
        </w:rPr>
        <w:t xml:space="preserve"> </w:t>
      </w:r>
      <w:r w:rsidR="002A7792" w:rsidRPr="00153074">
        <w:rPr>
          <w:lang w:val="es-ES_tradnl"/>
        </w:rPr>
        <w:t>“</w:t>
      </w:r>
      <w:r w:rsidR="000C7954" w:rsidRPr="00153074">
        <w:rPr>
          <w:lang w:val="es-ES_tradnl"/>
        </w:rPr>
        <w:t>crecimiento sostenible y la reducción de la pobreza</w:t>
      </w:r>
      <w:r w:rsidR="002A7792" w:rsidRPr="00153074">
        <w:rPr>
          <w:lang w:val="es-ES_tradnl"/>
        </w:rPr>
        <w:t>”</w:t>
      </w:r>
      <w:r w:rsidR="00B1268C" w:rsidRPr="00153074">
        <w:rPr>
          <w:lang w:val="es-ES_tradnl"/>
        </w:rPr>
        <w:t>;</w:t>
      </w:r>
    </w:p>
    <w:p w:rsidR="00B1268C" w:rsidRPr="00153074" w:rsidRDefault="000C7954" w:rsidP="007462FA">
      <w:pPr>
        <w:pStyle w:val="ListParagraph"/>
        <w:numPr>
          <w:ilvl w:val="0"/>
          <w:numId w:val="24"/>
        </w:numPr>
        <w:jc w:val="both"/>
        <w:rPr>
          <w:lang w:val="es-ES_tradnl"/>
        </w:rPr>
      </w:pPr>
      <w:r w:rsidRPr="00153074">
        <w:rPr>
          <w:lang w:val="es-ES_tradnl"/>
        </w:rPr>
        <w:t xml:space="preserve">Seguir desarrollando </w:t>
      </w:r>
      <w:r w:rsidR="002A7792" w:rsidRPr="00153074">
        <w:rPr>
          <w:lang w:val="es-ES_tradnl"/>
        </w:rPr>
        <w:t>“</w:t>
      </w:r>
      <w:r w:rsidRPr="00153074">
        <w:rPr>
          <w:lang w:val="es-ES_tradnl"/>
        </w:rPr>
        <w:t xml:space="preserve">mecanismos financieros innovadores para movilizar </w:t>
      </w:r>
      <w:r w:rsidR="00DC428A" w:rsidRPr="00153074">
        <w:rPr>
          <w:lang w:val="es-ES_tradnl"/>
        </w:rPr>
        <w:t>la financiación privada</w:t>
      </w:r>
      <w:r w:rsidR="002A7792" w:rsidRPr="00153074">
        <w:rPr>
          <w:lang w:val="es-ES_tradnl"/>
        </w:rPr>
        <w:t>”</w:t>
      </w:r>
      <w:r w:rsidR="00B1268C" w:rsidRPr="00153074">
        <w:rPr>
          <w:lang w:val="es-ES_tradnl"/>
        </w:rPr>
        <w:t>;</w:t>
      </w:r>
    </w:p>
    <w:p w:rsidR="00B1268C" w:rsidRPr="00153074" w:rsidRDefault="00B1268C" w:rsidP="007462FA">
      <w:pPr>
        <w:pStyle w:val="ListParagraph"/>
        <w:numPr>
          <w:ilvl w:val="0"/>
          <w:numId w:val="25"/>
        </w:numPr>
        <w:jc w:val="both"/>
        <w:rPr>
          <w:lang w:val="es-ES_tradnl"/>
        </w:rPr>
      </w:pPr>
      <w:r w:rsidRPr="00153074">
        <w:rPr>
          <w:lang w:val="es-ES_tradnl"/>
        </w:rPr>
        <w:t>Promo</w:t>
      </w:r>
      <w:r w:rsidR="000C7954" w:rsidRPr="00153074">
        <w:rPr>
          <w:lang w:val="es-ES_tradnl"/>
        </w:rPr>
        <w:t>ver el programa</w:t>
      </w:r>
      <w:r w:rsidR="00DC428A" w:rsidRPr="00153074">
        <w:rPr>
          <w:lang w:val="es-ES_tradnl"/>
        </w:rPr>
        <w:t xml:space="preserve"> de</w:t>
      </w:r>
      <w:r w:rsidR="000C7954" w:rsidRPr="00153074">
        <w:rPr>
          <w:lang w:val="es-ES_tradnl"/>
        </w:rPr>
        <w:t xml:space="preserve"> </w:t>
      </w:r>
      <w:r w:rsidR="002A7792" w:rsidRPr="00153074">
        <w:rPr>
          <w:lang w:val="es-ES_tradnl"/>
        </w:rPr>
        <w:t>“</w:t>
      </w:r>
      <w:r w:rsidR="00DC428A" w:rsidRPr="00153074">
        <w:rPr>
          <w:lang w:val="es-ES_tradnl"/>
        </w:rPr>
        <w:t xml:space="preserve">cooperación </w:t>
      </w:r>
      <w:r w:rsidR="000C7954" w:rsidRPr="00153074">
        <w:rPr>
          <w:lang w:val="es-ES_tradnl"/>
        </w:rPr>
        <w:t>para el comercio</w:t>
      </w:r>
      <w:r w:rsidR="002A7792" w:rsidRPr="00153074">
        <w:rPr>
          <w:lang w:val="es-ES_tradnl"/>
        </w:rPr>
        <w:t>”</w:t>
      </w:r>
      <w:r w:rsidR="000C7954" w:rsidRPr="00153074">
        <w:rPr>
          <w:lang w:val="es-ES_tradnl"/>
        </w:rPr>
        <w:t xml:space="preserve"> centrándose en</w:t>
      </w:r>
      <w:r w:rsidR="00DC428A" w:rsidRPr="00153074">
        <w:rPr>
          <w:lang w:val="es-ES_tradnl"/>
        </w:rPr>
        <w:t xml:space="preserve"> las</w:t>
      </w:r>
      <w:r w:rsidR="000C7954" w:rsidRPr="00153074">
        <w:rPr>
          <w:lang w:val="es-ES_tradnl"/>
        </w:rPr>
        <w:t xml:space="preserve"> </w:t>
      </w:r>
      <w:r w:rsidR="002A7792" w:rsidRPr="00153074">
        <w:rPr>
          <w:lang w:val="es-ES_tradnl"/>
        </w:rPr>
        <w:t>“</w:t>
      </w:r>
      <w:r w:rsidR="000C7954" w:rsidRPr="00153074">
        <w:rPr>
          <w:lang w:val="es-ES_tradnl"/>
        </w:rPr>
        <w:t>capacidades productivas</w:t>
      </w:r>
      <w:r w:rsidR="002A7792" w:rsidRPr="00153074">
        <w:rPr>
          <w:lang w:val="es-ES_tradnl"/>
        </w:rPr>
        <w:t>”</w:t>
      </w:r>
      <w:r w:rsidR="000C7954" w:rsidRPr="00153074">
        <w:rPr>
          <w:lang w:val="es-ES_tradnl"/>
        </w:rPr>
        <w:t xml:space="preserve">, </w:t>
      </w:r>
      <w:r w:rsidR="00DC428A" w:rsidRPr="00153074">
        <w:rPr>
          <w:lang w:val="es-ES_tradnl"/>
        </w:rPr>
        <w:t xml:space="preserve">las </w:t>
      </w:r>
      <w:r w:rsidR="002A7792" w:rsidRPr="00153074">
        <w:rPr>
          <w:lang w:val="es-ES_tradnl"/>
        </w:rPr>
        <w:t>“</w:t>
      </w:r>
      <w:r w:rsidR="00DC428A" w:rsidRPr="00153074">
        <w:rPr>
          <w:lang w:val="es-ES_tradnl"/>
        </w:rPr>
        <w:t>deficiencias</w:t>
      </w:r>
      <w:r w:rsidR="000C7954" w:rsidRPr="00153074">
        <w:rPr>
          <w:lang w:val="es-ES_tradnl"/>
        </w:rPr>
        <w:t xml:space="preserve"> del mercado</w:t>
      </w:r>
      <w:r w:rsidR="002A7792" w:rsidRPr="00153074">
        <w:rPr>
          <w:lang w:val="es-ES_tradnl"/>
        </w:rPr>
        <w:t>”</w:t>
      </w:r>
      <w:r w:rsidR="000C7954" w:rsidRPr="00153074">
        <w:rPr>
          <w:lang w:val="es-ES_tradnl"/>
        </w:rPr>
        <w:t xml:space="preserve">, </w:t>
      </w:r>
      <w:r w:rsidR="00DC428A" w:rsidRPr="00153074">
        <w:rPr>
          <w:lang w:val="es-ES_tradnl"/>
        </w:rPr>
        <w:t xml:space="preserve">el </w:t>
      </w:r>
      <w:r w:rsidR="000C7954" w:rsidRPr="00153074">
        <w:rPr>
          <w:lang w:val="es-ES_tradnl"/>
        </w:rPr>
        <w:t xml:space="preserve">acceso a mercados de capital y </w:t>
      </w:r>
      <w:r w:rsidR="00DC428A" w:rsidRPr="00153074">
        <w:rPr>
          <w:lang w:val="es-ES_tradnl"/>
        </w:rPr>
        <w:t>atenuar los riesgos que afrontan los actores del sector privado</w:t>
      </w:r>
      <w:r w:rsidRPr="00153074">
        <w:rPr>
          <w:lang w:val="es-ES_tradnl"/>
        </w:rPr>
        <w:t>.</w:t>
      </w:r>
    </w:p>
    <w:p w:rsidR="00B1268C" w:rsidRPr="00153074" w:rsidRDefault="00B1268C" w:rsidP="007462FA">
      <w:pPr>
        <w:ind w:left="216"/>
        <w:jc w:val="both"/>
        <w:rPr>
          <w:lang w:val="es-ES_tradnl"/>
        </w:rPr>
      </w:pPr>
    </w:p>
    <w:p w:rsidR="00B1268C" w:rsidRPr="00153074" w:rsidRDefault="008E737F" w:rsidP="007462FA">
      <w:pPr>
        <w:pStyle w:val="Heading3"/>
        <w:rPr>
          <w:lang w:val="es-ES_tradnl"/>
        </w:rPr>
      </w:pPr>
      <w:bookmarkStart w:id="38" w:name="_Toc359331977"/>
      <w:bookmarkStart w:id="39" w:name="_Toc369604912"/>
      <w:r w:rsidRPr="00153074">
        <w:rPr>
          <w:lang w:val="es-ES_tradnl"/>
        </w:rPr>
        <w:t>La declaración conjunt</w:t>
      </w:r>
      <w:bookmarkEnd w:id="38"/>
      <w:r w:rsidRPr="00153074">
        <w:rPr>
          <w:lang w:val="es-ES_tradnl"/>
        </w:rPr>
        <w:t>a</w:t>
      </w:r>
      <w:bookmarkEnd w:id="39"/>
    </w:p>
    <w:p w:rsidR="00C10B41" w:rsidRPr="00153074" w:rsidRDefault="000C7954" w:rsidP="007462FA">
      <w:pPr>
        <w:jc w:val="both"/>
        <w:rPr>
          <w:lang w:val="es-ES_tradnl"/>
        </w:rPr>
      </w:pPr>
      <w:r w:rsidRPr="00153074">
        <w:rPr>
          <w:lang w:val="es-ES_tradnl"/>
        </w:rPr>
        <w:t xml:space="preserve">Los resultados de Busan también generaron iniciativas centradas en cuestiones específicas </w:t>
      </w:r>
      <w:r w:rsidR="00E71AB8" w:rsidRPr="00153074">
        <w:rPr>
          <w:lang w:val="es-ES_tradnl"/>
        </w:rPr>
        <w:t>con la convocatoria de</w:t>
      </w:r>
      <w:r w:rsidRPr="00153074">
        <w:rPr>
          <w:lang w:val="es-ES_tradnl"/>
        </w:rPr>
        <w:t xml:space="preserve"> </w:t>
      </w:r>
      <w:r w:rsidR="002A7792" w:rsidRPr="00153074">
        <w:rPr>
          <w:lang w:val="es-ES_tradnl"/>
        </w:rPr>
        <w:t>“</w:t>
      </w:r>
      <w:r w:rsidRPr="00153074">
        <w:rPr>
          <w:lang w:val="es-ES_tradnl"/>
        </w:rPr>
        <w:t>coaliciones de voluntarios</w:t>
      </w:r>
      <w:r w:rsidR="002A7792" w:rsidRPr="00153074">
        <w:rPr>
          <w:lang w:val="es-ES_tradnl"/>
        </w:rPr>
        <w:t>”</w:t>
      </w:r>
      <w:r w:rsidR="00A76B21" w:rsidRPr="00153074">
        <w:rPr>
          <w:lang w:val="es-ES_tradnl"/>
        </w:rPr>
        <w:t>,</w:t>
      </w:r>
      <w:r w:rsidR="00B67BD5" w:rsidRPr="00153074">
        <w:rPr>
          <w:lang w:val="es-ES_tradnl"/>
        </w:rPr>
        <w:t xml:space="preserve"> </w:t>
      </w:r>
      <w:r w:rsidR="00C10B41" w:rsidRPr="00153074">
        <w:rPr>
          <w:lang w:val="es-ES_tradnl"/>
        </w:rPr>
        <w:t xml:space="preserve">que en un principio se denominaron </w:t>
      </w:r>
      <w:r w:rsidR="002A7792" w:rsidRPr="00153074">
        <w:rPr>
          <w:lang w:val="es-ES_tradnl"/>
        </w:rPr>
        <w:t>“</w:t>
      </w:r>
      <w:r w:rsidR="00C10B41" w:rsidRPr="00153074">
        <w:rPr>
          <w:lang w:val="es-ES_tradnl"/>
        </w:rPr>
        <w:t>bloques temáticos</w:t>
      </w:r>
      <w:r w:rsidR="002A7792" w:rsidRPr="00153074">
        <w:rPr>
          <w:lang w:val="es-ES_tradnl"/>
        </w:rPr>
        <w:t>”</w:t>
      </w:r>
      <w:r w:rsidR="00B009C4" w:rsidRPr="00153074">
        <w:rPr>
          <w:lang w:val="es-ES_tradnl"/>
        </w:rPr>
        <w:t xml:space="preserve">, </w:t>
      </w:r>
      <w:r w:rsidR="00A76B21" w:rsidRPr="00153074">
        <w:rPr>
          <w:lang w:val="es-ES_tradnl"/>
        </w:rPr>
        <w:t>una de las cuales es</w:t>
      </w:r>
      <w:r w:rsidR="00CB0563" w:rsidRPr="00153074">
        <w:rPr>
          <w:lang w:val="es-ES_tradnl"/>
        </w:rPr>
        <w:t>tá dedicada a</w:t>
      </w:r>
      <w:r w:rsidR="00A76B21" w:rsidRPr="00153074">
        <w:rPr>
          <w:lang w:val="es-ES_tradnl"/>
        </w:rPr>
        <w:t xml:space="preserve"> </w:t>
      </w:r>
      <w:r w:rsidR="00C10B41" w:rsidRPr="00153074">
        <w:rPr>
          <w:lang w:val="es-ES_tradnl"/>
        </w:rPr>
        <w:t xml:space="preserve">la cooperación público-privada para el desarrollo. En este sentido, </w:t>
      </w:r>
      <w:r w:rsidR="00864464" w:rsidRPr="00153074">
        <w:rPr>
          <w:lang w:val="es-ES_tradnl"/>
        </w:rPr>
        <w:t>Gobierno</w:t>
      </w:r>
      <w:r w:rsidR="00A76B21" w:rsidRPr="00153074">
        <w:rPr>
          <w:lang w:val="es-ES_tradnl"/>
        </w:rPr>
        <w:t>s y grupos empresariales publicaron</w:t>
      </w:r>
      <w:r w:rsidR="00C10B41" w:rsidRPr="00153074">
        <w:rPr>
          <w:lang w:val="es-ES_tradnl"/>
        </w:rPr>
        <w:t xml:space="preserve"> en Busan una declaración conjunta que fue </w:t>
      </w:r>
      <w:r w:rsidR="00A76B21" w:rsidRPr="00153074">
        <w:rPr>
          <w:lang w:val="es-ES_tradnl"/>
        </w:rPr>
        <w:t>aprobada</w:t>
      </w:r>
      <w:r w:rsidR="00C10B41" w:rsidRPr="00153074">
        <w:rPr>
          <w:lang w:val="es-ES_tradnl"/>
        </w:rPr>
        <w:t xml:space="preserve"> por 42 signatarios </w:t>
      </w:r>
      <w:r w:rsidR="00B1268C" w:rsidRPr="00153074">
        <w:rPr>
          <w:lang w:val="es-ES_tradnl"/>
        </w:rPr>
        <w:t>(</w:t>
      </w:r>
      <w:r w:rsidR="003A4EDB" w:rsidRPr="00153074">
        <w:rPr>
          <w:lang w:val="es-ES_tradnl"/>
        </w:rPr>
        <w:t>OCDE</w:t>
      </w:r>
      <w:r w:rsidR="00B1268C" w:rsidRPr="00153074">
        <w:rPr>
          <w:lang w:val="es-ES_tradnl"/>
        </w:rPr>
        <w:t xml:space="preserve"> 2011b)</w:t>
      </w:r>
      <w:r w:rsidR="00C10B41" w:rsidRPr="00153074">
        <w:rPr>
          <w:lang w:val="es-ES_tradnl"/>
        </w:rPr>
        <w:t xml:space="preserve">. </w:t>
      </w:r>
      <w:r w:rsidR="00CB0563" w:rsidRPr="00153074">
        <w:rPr>
          <w:lang w:val="es-ES_tradnl"/>
        </w:rPr>
        <w:t>C</w:t>
      </w:r>
      <w:r w:rsidR="00C10B41" w:rsidRPr="00153074">
        <w:rPr>
          <w:lang w:val="es-ES_tradnl"/>
        </w:rPr>
        <w:t xml:space="preserve">omo se ilustra en la </w:t>
      </w:r>
      <w:r w:rsidR="00CB0563" w:rsidRPr="00153074">
        <w:rPr>
          <w:lang w:val="es-ES_tradnl"/>
        </w:rPr>
        <w:t>siguiente tabla</w:t>
      </w:r>
      <w:r w:rsidR="00C10B41" w:rsidRPr="00153074">
        <w:rPr>
          <w:lang w:val="es-ES_tradnl"/>
        </w:rPr>
        <w:t xml:space="preserve">, la lista de </w:t>
      </w:r>
      <w:r w:rsidR="00A76B21" w:rsidRPr="00153074">
        <w:rPr>
          <w:lang w:val="es-ES_tradnl"/>
        </w:rPr>
        <w:t>partidarios</w:t>
      </w:r>
      <w:r w:rsidR="00C10B41" w:rsidRPr="00153074">
        <w:rPr>
          <w:lang w:val="es-ES_tradnl"/>
        </w:rPr>
        <w:t xml:space="preserve"> se inclinó considerablemente a favor de los grupos empresariales basados en </w:t>
      </w:r>
      <w:r w:rsidR="00A76B21" w:rsidRPr="00153074">
        <w:rPr>
          <w:lang w:val="es-ES_tradnl"/>
        </w:rPr>
        <w:t xml:space="preserve">países de </w:t>
      </w:r>
      <w:r w:rsidR="00C10B41" w:rsidRPr="00153074">
        <w:rPr>
          <w:lang w:val="es-ES_tradnl"/>
        </w:rPr>
        <w:t xml:space="preserve">la OCDE (12 signatarios) y donantes de la OCDE (17 Gobiernos y dos redes de instituciones públicas </w:t>
      </w:r>
      <w:r w:rsidR="0018340A" w:rsidRPr="00153074">
        <w:rPr>
          <w:lang w:val="es-ES_tradnl"/>
        </w:rPr>
        <w:lastRenderedPageBreak/>
        <w:t>establecidas</w:t>
      </w:r>
      <w:r w:rsidR="00C10B41" w:rsidRPr="00153074">
        <w:rPr>
          <w:lang w:val="es-ES_tradnl"/>
        </w:rPr>
        <w:t xml:space="preserve"> en la OCDE). Los sindicatos y las OSC no fueron signatarios del acuerdo por</w:t>
      </w:r>
      <w:r w:rsidR="00A76B21" w:rsidRPr="00153074">
        <w:rPr>
          <w:lang w:val="es-ES_tradnl"/>
        </w:rPr>
        <w:t>que</w:t>
      </w:r>
      <w:r w:rsidR="00C10B41" w:rsidRPr="00153074">
        <w:rPr>
          <w:lang w:val="es-ES_tradnl"/>
        </w:rPr>
        <w:t xml:space="preserve"> la declaración se elaboró sin el aporte de </w:t>
      </w:r>
      <w:r w:rsidR="0084102B" w:rsidRPr="00153074">
        <w:rPr>
          <w:lang w:val="es-ES_tradnl"/>
        </w:rPr>
        <w:t>los mismos</w:t>
      </w:r>
      <w:r w:rsidR="00C10B41" w:rsidRPr="00153074">
        <w:rPr>
          <w:lang w:val="es-ES_tradnl"/>
        </w:rPr>
        <w:t>,</w:t>
      </w:r>
      <w:r w:rsidR="008D4D9B" w:rsidRPr="00153074">
        <w:rPr>
          <w:lang w:val="es-ES_tradnl"/>
        </w:rPr>
        <w:t xml:space="preserve"> </w:t>
      </w:r>
      <w:r w:rsidR="0084102B" w:rsidRPr="00153074">
        <w:rPr>
          <w:lang w:val="es-ES_tradnl"/>
        </w:rPr>
        <w:t xml:space="preserve">de modo que </w:t>
      </w:r>
      <w:r w:rsidR="00786CBD" w:rsidRPr="00153074">
        <w:rPr>
          <w:lang w:val="es-ES_tradnl"/>
        </w:rPr>
        <w:t>está</w:t>
      </w:r>
      <w:r w:rsidR="008D4D9B" w:rsidRPr="00153074">
        <w:rPr>
          <w:lang w:val="es-ES_tradnl"/>
        </w:rPr>
        <w:t xml:space="preserve"> considerablemente </w:t>
      </w:r>
      <w:r w:rsidR="00786CBD" w:rsidRPr="00153074">
        <w:rPr>
          <w:lang w:val="es-ES_tradnl"/>
        </w:rPr>
        <w:t xml:space="preserve">orientada </w:t>
      </w:r>
      <w:r w:rsidR="008D4D9B" w:rsidRPr="00153074">
        <w:rPr>
          <w:lang w:val="es-ES_tradnl"/>
        </w:rPr>
        <w:t>a favor de los intereses empresariales. Cabe destacar que alg</w:t>
      </w:r>
      <w:r w:rsidR="0084102B" w:rsidRPr="00153074">
        <w:rPr>
          <w:lang w:val="es-ES_tradnl"/>
        </w:rPr>
        <w:t>unos Gobiernos clave de la OCDE que</w:t>
      </w:r>
      <w:r w:rsidR="008D4D9B" w:rsidRPr="00153074">
        <w:rPr>
          <w:lang w:val="es-ES_tradnl"/>
        </w:rPr>
        <w:t xml:space="preserve"> </w:t>
      </w:r>
      <w:r w:rsidR="0084102B" w:rsidRPr="00153074">
        <w:rPr>
          <w:lang w:val="es-ES_tradnl"/>
        </w:rPr>
        <w:t xml:space="preserve">por lo general suelen ser </w:t>
      </w:r>
      <w:r w:rsidR="008D4D9B" w:rsidRPr="00153074">
        <w:rPr>
          <w:lang w:val="es-ES_tradnl"/>
        </w:rPr>
        <w:t>bastante activos en estos debates, no aparecen en la lista de signatarios, como es el caso del Reino Unido y Australia.</w:t>
      </w:r>
    </w:p>
    <w:p w:rsidR="00B1268C" w:rsidRPr="00153074" w:rsidRDefault="00B1268C" w:rsidP="008D3287">
      <w:pPr>
        <w:rPr>
          <w:lang w:val="es-ES_tradnl"/>
        </w:rPr>
      </w:pPr>
    </w:p>
    <w:p w:rsidR="00B1268C" w:rsidRPr="00153074" w:rsidRDefault="00B1268C" w:rsidP="008D3287">
      <w:pPr>
        <w:pStyle w:val="Heading4"/>
        <w:rPr>
          <w:lang w:val="es-ES_tradnl"/>
        </w:rPr>
      </w:pPr>
      <w:r w:rsidRPr="00153074">
        <w:rPr>
          <w:lang w:val="es-ES_tradnl"/>
        </w:rPr>
        <w:t>Tabl</w:t>
      </w:r>
      <w:r w:rsidR="00CC1FAC" w:rsidRPr="00153074">
        <w:rPr>
          <w:lang w:val="es-ES_tradnl"/>
        </w:rPr>
        <w:t>a</w:t>
      </w:r>
      <w:r w:rsidR="000B5EEE" w:rsidRPr="00153074">
        <w:rPr>
          <w:lang w:val="es-ES_tradnl"/>
        </w:rPr>
        <w:t xml:space="preserve"> 4</w:t>
      </w:r>
      <w:r w:rsidRPr="00153074">
        <w:rPr>
          <w:lang w:val="es-ES_tradnl"/>
        </w:rPr>
        <w:t xml:space="preserve">: </w:t>
      </w:r>
      <w:r w:rsidR="00CC1FAC" w:rsidRPr="00153074">
        <w:rPr>
          <w:lang w:val="es-ES_tradnl"/>
        </w:rPr>
        <w:t xml:space="preserve">¿Quién </w:t>
      </w:r>
      <w:r w:rsidR="00251299" w:rsidRPr="00153074">
        <w:rPr>
          <w:lang w:val="es-ES_tradnl"/>
        </w:rPr>
        <w:t>firmó</w:t>
      </w:r>
      <w:r w:rsidR="00CC1FAC" w:rsidRPr="00153074">
        <w:rPr>
          <w:lang w:val="es-ES_tradnl"/>
        </w:rPr>
        <w:t xml:space="preserve"> la declaración conjunta</w:t>
      </w:r>
      <w:r w:rsidR="000B5EEE" w:rsidRPr="00153074">
        <w:rPr>
          <w:lang w:val="es-ES_tradnl"/>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560"/>
        <w:gridCol w:w="6904"/>
      </w:tblGrid>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CC1FAC" w:rsidP="00FF15C9">
            <w:pPr>
              <w:rPr>
                <w:rFonts w:ascii="Arial" w:hAnsi="Arial" w:cs="Arial"/>
                <w:b/>
                <w:sz w:val="16"/>
                <w:szCs w:val="16"/>
                <w:lang w:val="es-ES_tradnl"/>
              </w:rPr>
            </w:pPr>
            <w:r w:rsidRPr="00153074">
              <w:rPr>
                <w:rFonts w:ascii="Arial" w:hAnsi="Arial" w:cs="Arial"/>
                <w:b/>
                <w:sz w:val="16"/>
                <w:szCs w:val="16"/>
                <w:lang w:val="es-ES_tradnl"/>
              </w:rPr>
              <w:t xml:space="preserve">Empresas </w:t>
            </w:r>
            <w:r w:rsidR="0018340A" w:rsidRPr="00153074">
              <w:rPr>
                <w:rFonts w:ascii="Arial" w:hAnsi="Arial" w:cs="Arial"/>
                <w:b/>
                <w:sz w:val="16"/>
                <w:szCs w:val="16"/>
                <w:lang w:val="es-ES_tradnl"/>
              </w:rPr>
              <w:t>establecidas</w:t>
            </w:r>
            <w:r w:rsidRPr="00153074">
              <w:rPr>
                <w:rFonts w:ascii="Arial" w:hAnsi="Arial" w:cs="Arial"/>
                <w:b/>
                <w:sz w:val="16"/>
                <w:szCs w:val="16"/>
                <w:lang w:val="es-ES_tradnl"/>
              </w:rPr>
              <w:t xml:space="preserve"> en</w:t>
            </w:r>
            <w:r w:rsidR="00251299" w:rsidRPr="00153074">
              <w:rPr>
                <w:rFonts w:ascii="Arial" w:hAnsi="Arial" w:cs="Arial"/>
                <w:b/>
                <w:sz w:val="16"/>
                <w:szCs w:val="16"/>
                <w:lang w:val="es-ES_tradnl"/>
              </w:rPr>
              <w:t xml:space="preserve"> países de</w:t>
            </w:r>
            <w:r w:rsidRPr="00153074">
              <w:rPr>
                <w:rFonts w:ascii="Arial" w:hAnsi="Arial" w:cs="Arial"/>
                <w:b/>
                <w:sz w:val="16"/>
                <w:szCs w:val="16"/>
                <w:lang w:val="es-ES_tradnl"/>
              </w:rPr>
              <w:t xml:space="preserve"> la </w:t>
            </w:r>
            <w:r w:rsidR="003A4EDB" w:rsidRPr="00153074">
              <w:rPr>
                <w:rFonts w:ascii="Arial" w:hAnsi="Arial" w:cs="Arial"/>
                <w:b/>
                <w:sz w:val="16"/>
                <w:szCs w:val="16"/>
                <w:lang w:val="es-ES_tradnl"/>
              </w:rPr>
              <w:t>OCDE</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12</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B67BD5" w:rsidP="004C0193">
            <w:pPr>
              <w:jc w:val="both"/>
              <w:rPr>
                <w:rFonts w:ascii="Arial" w:hAnsi="Arial" w:cs="Arial"/>
                <w:sz w:val="16"/>
                <w:szCs w:val="16"/>
                <w:lang w:val="es-ES_tradnl"/>
              </w:rPr>
            </w:pPr>
            <w:r w:rsidRPr="00153074">
              <w:rPr>
                <w:rFonts w:ascii="Arial" w:hAnsi="Arial" w:cs="Arial"/>
                <w:sz w:val="16"/>
                <w:szCs w:val="16"/>
                <w:lang w:val="es-ES_tradnl"/>
              </w:rPr>
              <w:t xml:space="preserve">Business Call to Action, </w:t>
            </w:r>
            <w:r w:rsidR="00D314D2" w:rsidRPr="00153074">
              <w:rPr>
                <w:rFonts w:ascii="Arial" w:hAnsi="Arial" w:cs="Arial"/>
                <w:sz w:val="16"/>
                <w:szCs w:val="16"/>
                <w:lang w:val="es-ES_tradnl"/>
              </w:rPr>
              <w:t>Comité Consultivo Empresarial e Industrial ante la OCDE</w:t>
            </w:r>
            <w:r w:rsidRPr="00153074">
              <w:rPr>
                <w:rFonts w:ascii="Arial" w:hAnsi="Arial" w:cs="Arial"/>
                <w:sz w:val="16"/>
                <w:szCs w:val="16"/>
                <w:lang w:val="es-ES_tradnl"/>
              </w:rPr>
              <w:t>, Confedera</w:t>
            </w:r>
            <w:r w:rsidR="004C0193">
              <w:rPr>
                <w:rFonts w:ascii="Arial" w:hAnsi="Arial" w:cs="Arial"/>
                <w:sz w:val="16"/>
                <w:szCs w:val="16"/>
                <w:lang w:val="es-ES_tradnl"/>
              </w:rPr>
              <w:t>ción de la Industria Danesa</w:t>
            </w:r>
            <w:r w:rsidRPr="00153074">
              <w:rPr>
                <w:rFonts w:ascii="Arial" w:hAnsi="Arial" w:cs="Arial"/>
                <w:sz w:val="16"/>
                <w:szCs w:val="16"/>
                <w:lang w:val="es-ES_tradnl"/>
              </w:rPr>
              <w:t xml:space="preserve">, Conseil Français des Investisseurs en Afrique, European Business Council on Africa and the Mediterranean (EBCAM), European International Contractors, Global Business Coalition on Health (GBCHealth), Global Partnerships Forum, </w:t>
            </w:r>
            <w:r w:rsidR="00DD354B" w:rsidRPr="00153074">
              <w:rPr>
                <w:rFonts w:ascii="Arial" w:hAnsi="Arial" w:cs="Arial"/>
                <w:sz w:val="16"/>
                <w:szCs w:val="16"/>
                <w:lang w:val="es-ES_tradnl"/>
              </w:rPr>
              <w:t>Foro Internacional de Líderes Empresarios</w:t>
            </w:r>
            <w:r w:rsidRPr="00153074">
              <w:rPr>
                <w:rFonts w:ascii="Arial" w:hAnsi="Arial" w:cs="Arial"/>
                <w:sz w:val="16"/>
                <w:szCs w:val="16"/>
                <w:lang w:val="es-ES_tradnl"/>
              </w:rPr>
              <w:t xml:space="preserve">, </w:t>
            </w:r>
            <w:r w:rsidR="004C0193" w:rsidRPr="004C0193">
              <w:rPr>
                <w:rFonts w:ascii="Arial" w:hAnsi="Arial" w:cs="Arial"/>
                <w:sz w:val="16"/>
                <w:szCs w:val="16"/>
                <w:lang w:val="es-ES_tradnl"/>
              </w:rPr>
              <w:t>Associação Portuguesa para o Desenvolvimento Económico e a Cooperação</w:t>
            </w:r>
            <w:r w:rsidRPr="00153074">
              <w:rPr>
                <w:rFonts w:ascii="Arial" w:hAnsi="Arial" w:cs="Arial"/>
                <w:sz w:val="16"/>
                <w:szCs w:val="16"/>
                <w:lang w:val="es-ES_tradnl"/>
              </w:rPr>
              <w:t xml:space="preserve">, Sanofi, </w:t>
            </w:r>
            <w:r w:rsidR="00193E19" w:rsidRPr="00153074">
              <w:rPr>
                <w:rFonts w:ascii="Arial" w:hAnsi="Arial" w:cs="Arial"/>
                <w:sz w:val="16"/>
                <w:szCs w:val="16"/>
                <w:lang w:val="es-ES_tradnl"/>
              </w:rPr>
              <w:t>Consejo Empresarial Mundial de Desarrollo Sostenible</w:t>
            </w:r>
          </w:p>
        </w:tc>
      </w:tr>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CC1FAC" w:rsidP="00FF15C9">
            <w:pPr>
              <w:rPr>
                <w:rFonts w:ascii="Arial" w:hAnsi="Arial" w:cs="Arial"/>
                <w:b/>
                <w:sz w:val="16"/>
                <w:szCs w:val="16"/>
                <w:lang w:val="es-ES_tradnl"/>
              </w:rPr>
            </w:pPr>
            <w:r w:rsidRPr="00153074">
              <w:rPr>
                <w:rFonts w:ascii="Arial" w:hAnsi="Arial" w:cs="Arial"/>
                <w:b/>
                <w:sz w:val="16"/>
                <w:szCs w:val="16"/>
                <w:lang w:val="es-ES_tradnl"/>
              </w:rPr>
              <w:t xml:space="preserve">Empresas no pertenecientes a la </w:t>
            </w:r>
            <w:r w:rsidR="003A4EDB" w:rsidRPr="00153074">
              <w:rPr>
                <w:rFonts w:ascii="Arial" w:hAnsi="Arial" w:cs="Arial"/>
                <w:b/>
                <w:sz w:val="16"/>
                <w:szCs w:val="16"/>
                <w:lang w:val="es-ES_tradnl"/>
              </w:rPr>
              <w:t>OCDE</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5</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CONNECT (</w:t>
            </w:r>
            <w:r w:rsidR="00F32F22" w:rsidRPr="00153074">
              <w:rPr>
                <w:rFonts w:ascii="Arial" w:hAnsi="Arial" w:cs="Arial"/>
                <w:sz w:val="16"/>
                <w:szCs w:val="16"/>
                <w:lang w:val="es-ES_tradnl"/>
              </w:rPr>
              <w:t>Túnez</w:t>
            </w:r>
            <w:r w:rsidRPr="00153074">
              <w:rPr>
                <w:rFonts w:ascii="Arial" w:hAnsi="Arial" w:cs="Arial"/>
                <w:sz w:val="16"/>
                <w:szCs w:val="16"/>
                <w:lang w:val="es-ES_tradnl"/>
              </w:rPr>
              <w:t>), Omega Farms (</w:t>
            </w:r>
            <w:r w:rsidR="00F32F22" w:rsidRPr="00153074">
              <w:rPr>
                <w:rFonts w:ascii="Arial" w:hAnsi="Arial" w:cs="Arial"/>
                <w:sz w:val="16"/>
                <w:szCs w:val="16"/>
                <w:lang w:val="es-ES_tradnl"/>
              </w:rPr>
              <w:t>Etiopía</w:t>
            </w:r>
            <w:r w:rsidRPr="00153074">
              <w:rPr>
                <w:rFonts w:ascii="Arial" w:hAnsi="Arial" w:cs="Arial"/>
                <w:sz w:val="16"/>
                <w:szCs w:val="16"/>
                <w:lang w:val="es-ES_tradnl"/>
              </w:rPr>
              <w:t>), Pan African Business Coalition on HIV and Health, Tanzania private sector foundation, Confédération des Entreprises</w:t>
            </w:r>
            <w:r w:rsidR="00B67BD5" w:rsidRPr="00153074">
              <w:rPr>
                <w:rFonts w:ascii="Arial" w:hAnsi="Arial" w:cs="Arial"/>
                <w:sz w:val="16"/>
                <w:szCs w:val="16"/>
                <w:lang w:val="es-ES_tradnl"/>
              </w:rPr>
              <w:t xml:space="preserve"> </w:t>
            </w:r>
            <w:r w:rsidRPr="00153074">
              <w:rPr>
                <w:rFonts w:ascii="Arial" w:hAnsi="Arial" w:cs="Arial"/>
                <w:sz w:val="16"/>
                <w:szCs w:val="16"/>
                <w:lang w:val="es-ES_tradnl"/>
              </w:rPr>
              <w:t>Citoyennes de Tunisie</w:t>
            </w:r>
          </w:p>
        </w:tc>
      </w:tr>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F32F22" w:rsidP="00FF15C9">
            <w:pPr>
              <w:rPr>
                <w:rFonts w:ascii="Arial" w:hAnsi="Arial" w:cs="Arial"/>
                <w:b/>
                <w:sz w:val="16"/>
                <w:szCs w:val="16"/>
                <w:lang w:val="es-ES_tradnl"/>
              </w:rPr>
            </w:pPr>
            <w:r w:rsidRPr="00153074">
              <w:rPr>
                <w:rFonts w:ascii="Arial" w:hAnsi="Arial" w:cs="Arial"/>
                <w:b/>
                <w:sz w:val="16"/>
                <w:szCs w:val="16"/>
                <w:lang w:val="es-ES_tradnl"/>
              </w:rPr>
              <w:t xml:space="preserve">Gobiernos de la </w:t>
            </w:r>
            <w:r w:rsidR="003A4EDB" w:rsidRPr="00153074">
              <w:rPr>
                <w:rFonts w:ascii="Arial" w:hAnsi="Arial" w:cs="Arial"/>
                <w:b/>
                <w:sz w:val="16"/>
                <w:szCs w:val="16"/>
                <w:lang w:val="es-ES_tradnl"/>
              </w:rPr>
              <w:t>OCDE</w:t>
            </w:r>
            <w:r w:rsidR="00B1268C" w:rsidRPr="00153074">
              <w:rPr>
                <w:rFonts w:ascii="Arial" w:hAnsi="Arial" w:cs="Arial"/>
                <w:b/>
                <w:sz w:val="16"/>
                <w:szCs w:val="16"/>
                <w:lang w:val="es-ES_tradnl"/>
              </w:rPr>
              <w:t xml:space="preserve"> </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17</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D33E35" w:rsidP="007462FA">
            <w:pPr>
              <w:jc w:val="both"/>
              <w:rPr>
                <w:rFonts w:ascii="Arial" w:hAnsi="Arial" w:cs="Arial"/>
                <w:sz w:val="16"/>
                <w:szCs w:val="16"/>
                <w:lang w:val="es-ES_tradnl"/>
              </w:rPr>
            </w:pPr>
            <w:r w:rsidRPr="00153074">
              <w:rPr>
                <w:rFonts w:ascii="Arial" w:hAnsi="Arial" w:cs="Arial"/>
                <w:sz w:val="16"/>
                <w:szCs w:val="16"/>
                <w:lang w:val="es-ES_tradnl"/>
              </w:rPr>
              <w:t xml:space="preserve">Alemania, </w:t>
            </w:r>
            <w:r w:rsidR="00B1268C" w:rsidRPr="00153074">
              <w:rPr>
                <w:rFonts w:ascii="Arial" w:hAnsi="Arial" w:cs="Arial"/>
                <w:sz w:val="16"/>
                <w:szCs w:val="16"/>
                <w:lang w:val="es-ES_tradnl"/>
              </w:rPr>
              <w:t>Austria,</w:t>
            </w:r>
            <w:r w:rsidR="00F32F22" w:rsidRPr="00153074">
              <w:rPr>
                <w:rFonts w:ascii="Arial" w:hAnsi="Arial" w:cs="Arial"/>
                <w:sz w:val="16"/>
                <w:szCs w:val="16"/>
                <w:lang w:val="es-ES_tradnl"/>
              </w:rPr>
              <w:t xml:space="preserve"> Bélgica, Canadá</w:t>
            </w:r>
            <w:r w:rsidRPr="00153074">
              <w:rPr>
                <w:rFonts w:ascii="Arial" w:hAnsi="Arial" w:cs="Arial"/>
                <w:sz w:val="16"/>
                <w:szCs w:val="16"/>
                <w:lang w:val="es-ES_tradnl"/>
              </w:rPr>
              <w:t xml:space="preserve">, Corea, </w:t>
            </w:r>
            <w:r w:rsidR="00F32F22" w:rsidRPr="00153074">
              <w:rPr>
                <w:rFonts w:ascii="Arial" w:hAnsi="Arial" w:cs="Arial"/>
                <w:sz w:val="16"/>
                <w:szCs w:val="16"/>
                <w:lang w:val="es-ES_tradnl"/>
              </w:rPr>
              <w:t xml:space="preserve">Dinamarca, </w:t>
            </w:r>
            <w:r w:rsidRPr="00153074">
              <w:rPr>
                <w:rFonts w:ascii="Arial" w:hAnsi="Arial" w:cs="Arial"/>
                <w:sz w:val="16"/>
                <w:szCs w:val="16"/>
                <w:lang w:val="es-ES_tradnl"/>
              </w:rPr>
              <w:t xml:space="preserve">España, Estados Unidos, </w:t>
            </w:r>
            <w:r w:rsidR="00F32F22" w:rsidRPr="00153074">
              <w:rPr>
                <w:rFonts w:ascii="Arial" w:hAnsi="Arial" w:cs="Arial"/>
                <w:sz w:val="16"/>
                <w:szCs w:val="16"/>
                <w:lang w:val="es-ES_tradnl"/>
              </w:rPr>
              <w:t xml:space="preserve">Finlandia, Francia, Japón, </w:t>
            </w:r>
            <w:r w:rsidRPr="00153074">
              <w:rPr>
                <w:rFonts w:ascii="Arial" w:hAnsi="Arial" w:cs="Arial"/>
                <w:sz w:val="16"/>
                <w:szCs w:val="16"/>
                <w:lang w:val="es-ES_tradnl"/>
              </w:rPr>
              <w:t>Países Bajos, República Checa, Suecia y</w:t>
            </w:r>
            <w:r w:rsidR="00F32F22" w:rsidRPr="00153074">
              <w:rPr>
                <w:rFonts w:ascii="Arial" w:hAnsi="Arial" w:cs="Arial"/>
                <w:sz w:val="16"/>
                <w:szCs w:val="16"/>
                <w:lang w:val="es-ES_tradnl"/>
              </w:rPr>
              <w:t xml:space="preserve"> Suiza </w:t>
            </w:r>
          </w:p>
        </w:tc>
      </w:tr>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F32F22" w:rsidP="00FF15C9">
            <w:pPr>
              <w:rPr>
                <w:rFonts w:ascii="Arial" w:hAnsi="Arial" w:cs="Arial"/>
                <w:b/>
                <w:sz w:val="16"/>
                <w:szCs w:val="16"/>
                <w:lang w:val="es-ES_tradnl"/>
              </w:rPr>
            </w:pPr>
            <w:r w:rsidRPr="00153074">
              <w:rPr>
                <w:rFonts w:ascii="Arial" w:hAnsi="Arial" w:cs="Arial"/>
                <w:b/>
                <w:sz w:val="16"/>
                <w:szCs w:val="16"/>
                <w:lang w:val="es-ES_tradnl"/>
              </w:rPr>
              <w:t xml:space="preserve">Instituciones públicas de la </w:t>
            </w:r>
            <w:r w:rsidR="003A4EDB" w:rsidRPr="00153074">
              <w:rPr>
                <w:rFonts w:ascii="Arial" w:hAnsi="Arial" w:cs="Arial"/>
                <w:b/>
                <w:sz w:val="16"/>
                <w:szCs w:val="16"/>
                <w:lang w:val="es-ES_tradnl"/>
              </w:rPr>
              <w:t>OCDE</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2</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C53DB5" w:rsidP="007462FA">
            <w:pPr>
              <w:jc w:val="both"/>
              <w:rPr>
                <w:rFonts w:ascii="Arial" w:hAnsi="Arial" w:cs="Arial"/>
                <w:sz w:val="16"/>
                <w:szCs w:val="16"/>
                <w:lang w:val="es-ES_tradnl"/>
              </w:rPr>
            </w:pPr>
            <w:r w:rsidRPr="00153074">
              <w:rPr>
                <w:rFonts w:ascii="Arial" w:hAnsi="Arial" w:cs="Arial"/>
                <w:sz w:val="16"/>
                <w:szCs w:val="16"/>
                <w:lang w:val="es-ES_tradnl"/>
              </w:rPr>
              <w:t>Instituciones Financieras de Desarrollo Europeas (IFDE</w:t>
            </w:r>
            <w:r w:rsidR="00B1268C" w:rsidRPr="00153074">
              <w:rPr>
                <w:rFonts w:ascii="Arial" w:hAnsi="Arial" w:cs="Arial"/>
                <w:sz w:val="16"/>
                <w:szCs w:val="16"/>
                <w:lang w:val="es-ES_tradnl"/>
              </w:rPr>
              <w:t xml:space="preserve">), </w:t>
            </w:r>
            <w:r w:rsidR="00193E19" w:rsidRPr="00153074">
              <w:rPr>
                <w:rFonts w:ascii="Arial" w:hAnsi="Arial" w:cs="Arial"/>
                <w:sz w:val="16"/>
                <w:szCs w:val="16"/>
                <w:lang w:val="es-ES_tradnl"/>
              </w:rPr>
              <w:t>Alianza G</w:t>
            </w:r>
            <w:r w:rsidR="00B1268C" w:rsidRPr="00153074">
              <w:rPr>
                <w:rFonts w:ascii="Arial" w:hAnsi="Arial" w:cs="Arial"/>
                <w:sz w:val="16"/>
                <w:szCs w:val="16"/>
                <w:lang w:val="es-ES_tradnl"/>
              </w:rPr>
              <w:t>AVI</w:t>
            </w:r>
          </w:p>
          <w:p w:rsidR="00B1268C" w:rsidRPr="00153074" w:rsidRDefault="00B1268C" w:rsidP="007462FA">
            <w:pPr>
              <w:jc w:val="both"/>
              <w:rPr>
                <w:rFonts w:ascii="Arial" w:hAnsi="Arial" w:cs="Arial"/>
                <w:sz w:val="16"/>
                <w:szCs w:val="16"/>
                <w:lang w:val="es-ES_tradnl"/>
              </w:rPr>
            </w:pPr>
          </w:p>
        </w:tc>
      </w:tr>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F32F22" w:rsidP="00FF15C9">
            <w:pPr>
              <w:rPr>
                <w:rFonts w:ascii="Arial" w:hAnsi="Arial" w:cs="Arial"/>
                <w:b/>
                <w:sz w:val="16"/>
                <w:szCs w:val="16"/>
                <w:lang w:val="es-ES_tradnl"/>
              </w:rPr>
            </w:pPr>
            <w:r w:rsidRPr="00153074">
              <w:rPr>
                <w:rFonts w:ascii="Arial" w:hAnsi="Arial" w:cs="Arial"/>
                <w:b/>
                <w:sz w:val="16"/>
                <w:szCs w:val="16"/>
                <w:lang w:val="es-ES_tradnl"/>
              </w:rPr>
              <w:t xml:space="preserve">Países en desarrollo </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5</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4C0193" w:rsidP="004C0193">
            <w:pPr>
              <w:jc w:val="both"/>
              <w:rPr>
                <w:rFonts w:ascii="Arial" w:hAnsi="Arial" w:cs="Arial"/>
                <w:sz w:val="16"/>
                <w:szCs w:val="16"/>
                <w:lang w:val="es-ES_tradnl"/>
              </w:rPr>
            </w:pPr>
            <w:r>
              <w:rPr>
                <w:rFonts w:ascii="Arial" w:hAnsi="Arial" w:cs="Arial"/>
                <w:sz w:val="16"/>
                <w:szCs w:val="16"/>
                <w:lang w:val="es-ES_tradnl"/>
              </w:rPr>
              <w:t>Comunidad del Caribe</w:t>
            </w:r>
            <w:r w:rsidR="00B1268C" w:rsidRPr="00153074">
              <w:rPr>
                <w:rFonts w:ascii="Arial" w:hAnsi="Arial" w:cs="Arial"/>
                <w:sz w:val="16"/>
                <w:szCs w:val="16"/>
                <w:lang w:val="es-ES_tradnl"/>
              </w:rPr>
              <w:t xml:space="preserve"> (CARICOM), Common Market for Eastern and Southern Africa (COMESA), Mal</w:t>
            </w:r>
            <w:r w:rsidR="00DE5188" w:rsidRPr="00153074">
              <w:rPr>
                <w:rFonts w:ascii="Arial" w:hAnsi="Arial" w:cs="Arial"/>
                <w:sz w:val="16"/>
                <w:szCs w:val="16"/>
                <w:lang w:val="es-ES_tradnl"/>
              </w:rPr>
              <w:t>í, Perú</w:t>
            </w:r>
            <w:r w:rsidR="00B1268C" w:rsidRPr="00153074">
              <w:rPr>
                <w:rFonts w:ascii="Arial" w:hAnsi="Arial" w:cs="Arial"/>
                <w:sz w:val="16"/>
                <w:szCs w:val="16"/>
                <w:lang w:val="es-ES_tradnl"/>
              </w:rPr>
              <w:t>, Zambia</w:t>
            </w:r>
          </w:p>
        </w:tc>
      </w:tr>
      <w:tr w:rsidR="00B1268C" w:rsidRPr="00153074">
        <w:trPr>
          <w:trHeight w:val="233"/>
        </w:trPr>
        <w:tc>
          <w:tcPr>
            <w:tcW w:w="1534" w:type="dxa"/>
            <w:tcBorders>
              <w:top w:val="single" w:sz="4" w:space="0" w:color="auto"/>
              <w:left w:val="single" w:sz="4" w:space="0" w:color="auto"/>
              <w:bottom w:val="single" w:sz="4" w:space="0" w:color="auto"/>
              <w:right w:val="single" w:sz="4" w:space="0" w:color="auto"/>
            </w:tcBorders>
            <w:noWrap/>
          </w:tcPr>
          <w:p w:rsidR="00B1268C" w:rsidRPr="00153074" w:rsidRDefault="00F32F22" w:rsidP="00FF15C9">
            <w:pPr>
              <w:rPr>
                <w:rFonts w:ascii="Arial" w:hAnsi="Arial" w:cs="Arial"/>
                <w:b/>
                <w:sz w:val="16"/>
                <w:szCs w:val="16"/>
                <w:lang w:val="es-ES_tradnl"/>
              </w:rPr>
            </w:pPr>
            <w:r w:rsidRPr="00153074">
              <w:rPr>
                <w:rFonts w:ascii="Arial" w:hAnsi="Arial" w:cs="Arial"/>
                <w:b/>
                <w:sz w:val="16"/>
                <w:szCs w:val="16"/>
                <w:lang w:val="es-ES_tradnl"/>
              </w:rPr>
              <w:t>Iniciativas globales</w:t>
            </w:r>
          </w:p>
        </w:tc>
        <w:tc>
          <w:tcPr>
            <w:tcW w:w="560" w:type="dxa"/>
            <w:tcBorders>
              <w:top w:val="single" w:sz="4" w:space="0" w:color="auto"/>
              <w:left w:val="single" w:sz="4" w:space="0" w:color="auto"/>
              <w:bottom w:val="single" w:sz="4" w:space="0" w:color="auto"/>
              <w:right w:val="single" w:sz="4" w:space="0" w:color="auto"/>
            </w:tcBorders>
          </w:tcPr>
          <w:p w:rsidR="00B1268C" w:rsidRPr="00153074" w:rsidRDefault="00B1268C" w:rsidP="007462FA">
            <w:pPr>
              <w:jc w:val="both"/>
              <w:rPr>
                <w:rFonts w:ascii="Arial" w:hAnsi="Arial" w:cs="Arial"/>
                <w:sz w:val="16"/>
                <w:szCs w:val="16"/>
                <w:lang w:val="es-ES_tradnl"/>
              </w:rPr>
            </w:pPr>
            <w:r w:rsidRPr="00153074">
              <w:rPr>
                <w:rFonts w:ascii="Arial" w:hAnsi="Arial" w:cs="Arial"/>
                <w:sz w:val="16"/>
                <w:szCs w:val="16"/>
                <w:lang w:val="es-ES_tradnl"/>
              </w:rPr>
              <w:t>3</w:t>
            </w:r>
          </w:p>
        </w:tc>
        <w:tc>
          <w:tcPr>
            <w:tcW w:w="6904" w:type="dxa"/>
            <w:tcBorders>
              <w:top w:val="single" w:sz="4" w:space="0" w:color="auto"/>
              <w:left w:val="single" w:sz="4" w:space="0" w:color="auto"/>
              <w:bottom w:val="single" w:sz="4" w:space="0" w:color="auto"/>
              <w:right w:val="single" w:sz="4" w:space="0" w:color="auto"/>
            </w:tcBorders>
            <w:noWrap/>
          </w:tcPr>
          <w:p w:rsidR="00B1268C" w:rsidRPr="00153074" w:rsidRDefault="00DE5188" w:rsidP="007462FA">
            <w:pPr>
              <w:jc w:val="both"/>
              <w:rPr>
                <w:rFonts w:ascii="Arial" w:hAnsi="Arial" w:cs="Arial"/>
                <w:sz w:val="16"/>
                <w:szCs w:val="16"/>
                <w:lang w:val="es-ES_tradnl"/>
              </w:rPr>
            </w:pPr>
            <w:r w:rsidRPr="00153074">
              <w:rPr>
                <w:rFonts w:ascii="Arial" w:hAnsi="Arial" w:cs="Arial"/>
                <w:bCs/>
                <w:sz w:val="16"/>
                <w:szCs w:val="16"/>
                <w:lang w:val="es-ES_tradnl"/>
              </w:rPr>
              <w:t>Fondo mundial para la lucha contra el SIDA, la tuberculosis y el paludismo</w:t>
            </w:r>
            <w:r w:rsidR="00B1268C" w:rsidRPr="00153074">
              <w:rPr>
                <w:rFonts w:ascii="Arial" w:hAnsi="Arial" w:cs="Arial"/>
                <w:sz w:val="16"/>
                <w:szCs w:val="16"/>
                <w:lang w:val="es-ES_tradnl"/>
              </w:rPr>
              <w:t xml:space="preserve">, </w:t>
            </w:r>
            <w:r w:rsidRPr="00153074">
              <w:rPr>
                <w:rFonts w:ascii="Arial" w:hAnsi="Arial" w:cs="Arial"/>
                <w:sz w:val="16"/>
                <w:szCs w:val="16"/>
                <w:lang w:val="es-ES_tradnl"/>
              </w:rPr>
              <w:t>Corporación Financiera Internacional</w:t>
            </w:r>
            <w:r w:rsidR="00B1268C" w:rsidRPr="00153074">
              <w:rPr>
                <w:rFonts w:ascii="Arial" w:hAnsi="Arial" w:cs="Arial"/>
                <w:sz w:val="16"/>
                <w:szCs w:val="16"/>
                <w:lang w:val="es-ES_tradnl"/>
              </w:rPr>
              <w:t xml:space="preserve">, </w:t>
            </w:r>
            <w:r w:rsidRPr="00153074">
              <w:rPr>
                <w:rFonts w:ascii="Arial" w:hAnsi="Arial" w:cs="Arial"/>
                <w:sz w:val="16"/>
                <w:szCs w:val="16"/>
                <w:lang w:val="es-ES_tradnl"/>
              </w:rPr>
              <w:t>Pacto Mundial de Naciones Unidas</w:t>
            </w:r>
          </w:p>
        </w:tc>
      </w:tr>
    </w:tbl>
    <w:p w:rsidR="00B1268C" w:rsidRPr="00153074" w:rsidRDefault="00B1268C" w:rsidP="007462FA">
      <w:pPr>
        <w:jc w:val="both"/>
        <w:rPr>
          <w:rFonts w:ascii="Arial" w:hAnsi="Arial" w:cs="Arial"/>
          <w:sz w:val="20"/>
          <w:szCs w:val="20"/>
          <w:lang w:val="es-ES_tradnl"/>
        </w:rPr>
      </w:pPr>
    </w:p>
    <w:p w:rsidR="00DE5188" w:rsidRPr="00153074" w:rsidRDefault="00336769" w:rsidP="007462FA">
      <w:pPr>
        <w:jc w:val="both"/>
        <w:rPr>
          <w:lang w:val="es-ES_tradnl"/>
        </w:rPr>
      </w:pPr>
      <w:r w:rsidRPr="00153074">
        <w:rPr>
          <w:lang w:val="es-ES_tradnl"/>
        </w:rPr>
        <w:t xml:space="preserve">En cuanto a su esencia, la declaración solicita </w:t>
      </w:r>
      <w:r w:rsidR="002A7792" w:rsidRPr="00153074">
        <w:rPr>
          <w:lang w:val="es-ES_tradnl"/>
        </w:rPr>
        <w:t>“</w:t>
      </w:r>
      <w:r w:rsidRPr="00153074">
        <w:rPr>
          <w:lang w:val="es-ES_tradnl"/>
        </w:rPr>
        <w:t>expandir y mejorar la asociación público-privada</w:t>
      </w:r>
      <w:r w:rsidR="002A7792" w:rsidRPr="00153074">
        <w:rPr>
          <w:lang w:val="es-ES_tradnl"/>
        </w:rPr>
        <w:t>”</w:t>
      </w:r>
      <w:r w:rsidRPr="00153074">
        <w:rPr>
          <w:lang w:val="es-ES_tradnl"/>
        </w:rPr>
        <w:t xml:space="preserve"> y define cinco principios generales que se corresponden con el acuerdo de la Alianza de Busan: fortalecer el </w:t>
      </w:r>
      <w:r w:rsidR="002A7792" w:rsidRPr="00153074">
        <w:rPr>
          <w:lang w:val="es-ES_tradnl"/>
        </w:rPr>
        <w:t>“</w:t>
      </w:r>
      <w:r w:rsidRPr="00153074">
        <w:rPr>
          <w:lang w:val="es-ES_tradnl"/>
        </w:rPr>
        <w:t>diálogo inclusivo</w:t>
      </w:r>
      <w:r w:rsidR="002A7792" w:rsidRPr="00153074">
        <w:rPr>
          <w:lang w:val="es-ES_tradnl"/>
        </w:rPr>
        <w:t>”</w:t>
      </w:r>
      <w:r w:rsidRPr="00153074">
        <w:rPr>
          <w:lang w:val="es-ES_tradnl"/>
        </w:rPr>
        <w:t xml:space="preserve">, desarrollar una </w:t>
      </w:r>
      <w:r w:rsidR="002A7792" w:rsidRPr="00153074">
        <w:rPr>
          <w:lang w:val="es-ES_tradnl"/>
        </w:rPr>
        <w:t>“</w:t>
      </w:r>
      <w:r w:rsidRPr="00153074">
        <w:rPr>
          <w:lang w:val="es-ES_tradnl"/>
        </w:rPr>
        <w:t>acción colectiva</w:t>
      </w:r>
      <w:r w:rsidR="002A7792" w:rsidRPr="00153074">
        <w:rPr>
          <w:lang w:val="es-ES_tradnl"/>
        </w:rPr>
        <w:t>”</w:t>
      </w:r>
      <w:r w:rsidRPr="00153074">
        <w:rPr>
          <w:lang w:val="es-ES_tradnl"/>
        </w:rPr>
        <w:t xml:space="preserve">, garantizar el </w:t>
      </w:r>
      <w:r w:rsidR="002A7792" w:rsidRPr="00153074">
        <w:rPr>
          <w:lang w:val="es-ES_tradnl"/>
        </w:rPr>
        <w:t>“</w:t>
      </w:r>
      <w:r w:rsidRPr="00153074">
        <w:rPr>
          <w:lang w:val="es-ES_tradnl"/>
        </w:rPr>
        <w:t>ajuste</w:t>
      </w:r>
      <w:r w:rsidR="002A7792" w:rsidRPr="00153074">
        <w:rPr>
          <w:lang w:val="es-ES_tradnl"/>
        </w:rPr>
        <w:t>”</w:t>
      </w:r>
      <w:r w:rsidR="003D4E72" w:rsidRPr="00153074">
        <w:rPr>
          <w:lang w:val="es-ES_tradnl"/>
        </w:rPr>
        <w:t xml:space="preserve"> dentro de las instituciones y prioridades de los países, </w:t>
      </w:r>
      <w:r w:rsidR="002A7792" w:rsidRPr="00153074">
        <w:rPr>
          <w:lang w:val="es-ES_tradnl"/>
        </w:rPr>
        <w:t>“</w:t>
      </w:r>
      <w:r w:rsidR="003D4E72" w:rsidRPr="00153074">
        <w:rPr>
          <w:lang w:val="es-ES_tradnl"/>
        </w:rPr>
        <w:t xml:space="preserve">garantizar </w:t>
      </w:r>
      <w:r w:rsidR="007C1525" w:rsidRPr="00153074">
        <w:rPr>
          <w:lang w:val="es-ES_tradnl"/>
        </w:rPr>
        <w:t xml:space="preserve">la </w:t>
      </w:r>
      <w:r w:rsidR="003D4E72" w:rsidRPr="00153074">
        <w:rPr>
          <w:lang w:val="es-ES_tradnl"/>
        </w:rPr>
        <w:t>transparencia entre el sector público y el privado</w:t>
      </w:r>
      <w:r w:rsidR="002A7792" w:rsidRPr="00153074">
        <w:rPr>
          <w:lang w:val="es-ES_tradnl"/>
        </w:rPr>
        <w:t>”</w:t>
      </w:r>
      <w:r w:rsidR="003D4E72" w:rsidRPr="00153074">
        <w:rPr>
          <w:lang w:val="es-ES_tradnl"/>
        </w:rPr>
        <w:t xml:space="preserve">; y aumentar la </w:t>
      </w:r>
      <w:r w:rsidR="002A7792" w:rsidRPr="00153074">
        <w:rPr>
          <w:lang w:val="es-ES_tradnl"/>
        </w:rPr>
        <w:t>“</w:t>
      </w:r>
      <w:r w:rsidR="003D4E72" w:rsidRPr="00153074">
        <w:rPr>
          <w:lang w:val="es-ES_tradnl"/>
        </w:rPr>
        <w:t xml:space="preserve">responsabilidad </w:t>
      </w:r>
      <w:r w:rsidR="007C1525" w:rsidRPr="00153074">
        <w:rPr>
          <w:lang w:val="es-ES_tradnl"/>
        </w:rPr>
        <w:t>en el logro de</w:t>
      </w:r>
      <w:r w:rsidR="003D4E72" w:rsidRPr="00153074">
        <w:rPr>
          <w:lang w:val="es-ES_tradnl"/>
        </w:rPr>
        <w:t xml:space="preserve"> los resultados</w:t>
      </w:r>
      <w:r w:rsidR="002A7792" w:rsidRPr="00153074">
        <w:rPr>
          <w:lang w:val="es-ES_tradnl"/>
        </w:rPr>
        <w:t>”</w:t>
      </w:r>
      <w:r w:rsidR="003D4E72" w:rsidRPr="00153074">
        <w:rPr>
          <w:lang w:val="es-ES_tradnl"/>
        </w:rPr>
        <w:t xml:space="preserve"> a través de</w:t>
      </w:r>
      <w:r w:rsidR="00C62A64" w:rsidRPr="00153074">
        <w:rPr>
          <w:lang w:val="es-ES_tradnl"/>
        </w:rPr>
        <w:t xml:space="preserve"> un</w:t>
      </w:r>
      <w:r w:rsidR="001A6C4A" w:rsidRPr="00153074">
        <w:rPr>
          <w:lang w:val="es-ES_tradnl"/>
        </w:rPr>
        <w:t xml:space="preserve"> </w:t>
      </w:r>
      <w:r w:rsidR="002A7792" w:rsidRPr="00153074">
        <w:rPr>
          <w:lang w:val="es-ES_tradnl"/>
        </w:rPr>
        <w:t>“</w:t>
      </w:r>
      <w:r w:rsidR="001A6C4A" w:rsidRPr="00153074">
        <w:rPr>
          <w:lang w:val="es-ES_tradnl"/>
        </w:rPr>
        <w:t>seguimiento y evaluación</w:t>
      </w:r>
      <w:r w:rsidR="002A7792" w:rsidRPr="00153074">
        <w:rPr>
          <w:lang w:val="es-ES_tradnl"/>
        </w:rPr>
        <w:t>”</w:t>
      </w:r>
      <w:r w:rsidR="003D4E72" w:rsidRPr="00153074">
        <w:rPr>
          <w:lang w:val="es-ES_tradnl"/>
        </w:rPr>
        <w:t>.</w:t>
      </w:r>
    </w:p>
    <w:p w:rsidR="008D3287" w:rsidRPr="00153074" w:rsidRDefault="008D3287" w:rsidP="007462FA">
      <w:pPr>
        <w:jc w:val="both"/>
        <w:rPr>
          <w:lang w:val="es-ES_tradnl"/>
        </w:rPr>
      </w:pPr>
    </w:p>
    <w:p w:rsidR="003D4E72" w:rsidRPr="00153074" w:rsidRDefault="003D4E72" w:rsidP="007462FA">
      <w:pPr>
        <w:jc w:val="both"/>
        <w:rPr>
          <w:lang w:val="es-ES_tradnl"/>
        </w:rPr>
      </w:pPr>
      <w:r w:rsidRPr="00153074">
        <w:rPr>
          <w:lang w:val="es-ES_tradnl"/>
        </w:rPr>
        <w:t xml:space="preserve">La ambición global de la iniciativa es desarrollar formas de </w:t>
      </w:r>
      <w:r w:rsidR="002A7792" w:rsidRPr="00153074">
        <w:rPr>
          <w:lang w:val="es-ES_tradnl"/>
        </w:rPr>
        <w:t>“</w:t>
      </w:r>
      <w:r w:rsidRPr="00153074">
        <w:rPr>
          <w:lang w:val="es-ES_tradnl"/>
        </w:rPr>
        <w:t>acción colectiva</w:t>
      </w:r>
      <w:r w:rsidR="002A7792" w:rsidRPr="00153074">
        <w:rPr>
          <w:lang w:val="es-ES_tradnl"/>
        </w:rPr>
        <w:t>”</w:t>
      </w:r>
      <w:r w:rsidRPr="00153074">
        <w:rPr>
          <w:lang w:val="es-ES_tradnl"/>
        </w:rPr>
        <w:t xml:space="preserve"> entre los Gobiernos </w:t>
      </w:r>
      <w:r w:rsidR="008D32B9" w:rsidRPr="00153074">
        <w:rPr>
          <w:lang w:val="es-ES_tradnl"/>
        </w:rPr>
        <w:t xml:space="preserve">y </w:t>
      </w:r>
      <w:r w:rsidRPr="00153074">
        <w:rPr>
          <w:lang w:val="es-ES_tradnl"/>
        </w:rPr>
        <w:t>grupos del sector privado que puedan contribuir a crear</w:t>
      </w:r>
      <w:r w:rsidR="008D32B9" w:rsidRPr="00153074">
        <w:rPr>
          <w:lang w:val="es-ES_tradnl"/>
        </w:rPr>
        <w:t xml:space="preserve"> </w:t>
      </w:r>
      <w:r w:rsidR="00C62A64" w:rsidRPr="00153074">
        <w:rPr>
          <w:lang w:val="es-ES_tradnl"/>
        </w:rPr>
        <w:t xml:space="preserve">unas </w:t>
      </w:r>
      <w:r w:rsidR="002A7792" w:rsidRPr="00153074">
        <w:rPr>
          <w:lang w:val="es-ES_tradnl"/>
        </w:rPr>
        <w:t>“</w:t>
      </w:r>
      <w:r w:rsidR="00C62C84" w:rsidRPr="00153074">
        <w:rPr>
          <w:lang w:val="es-ES_tradnl"/>
        </w:rPr>
        <w:t>plataformas interactivas permanentes para el diálogo</w:t>
      </w:r>
      <w:r w:rsidR="002A7792" w:rsidRPr="00153074">
        <w:rPr>
          <w:lang w:val="es-ES_tradnl"/>
        </w:rPr>
        <w:t>”</w:t>
      </w:r>
      <w:r w:rsidR="00C62C84" w:rsidRPr="00153074">
        <w:rPr>
          <w:lang w:val="es-ES_tradnl"/>
        </w:rPr>
        <w:t xml:space="preserve"> que promuevan la cooperación público-privada, incluyendo las </w:t>
      </w:r>
      <w:r w:rsidR="00E54F55" w:rsidRPr="00153074">
        <w:rPr>
          <w:lang w:val="es-ES_tradnl"/>
        </w:rPr>
        <w:t>APP</w:t>
      </w:r>
      <w:r w:rsidR="00C62C84" w:rsidRPr="00153074">
        <w:rPr>
          <w:lang w:val="es-ES_tradnl"/>
        </w:rPr>
        <w:t>, tanto a nivel nacional como</w:t>
      </w:r>
      <w:r w:rsidR="008D32B9" w:rsidRPr="00153074">
        <w:rPr>
          <w:lang w:val="es-ES_tradnl"/>
        </w:rPr>
        <w:t xml:space="preserve"> global. El seguimiento para los</w:t>
      </w:r>
      <w:r w:rsidR="00C62C84" w:rsidRPr="00153074">
        <w:rPr>
          <w:lang w:val="es-ES_tradnl"/>
        </w:rPr>
        <w:t xml:space="preserve"> signatarios</w:t>
      </w:r>
      <w:r w:rsidR="00C62A64" w:rsidRPr="00153074">
        <w:rPr>
          <w:lang w:val="es-ES_tradnl"/>
        </w:rPr>
        <w:t>,</w:t>
      </w:r>
      <w:r w:rsidR="00C62C84" w:rsidRPr="00153074">
        <w:rPr>
          <w:lang w:val="es-ES_tradnl"/>
        </w:rPr>
        <w:t xml:space="preserve"> coordinado por la OCDE</w:t>
      </w:r>
      <w:r w:rsidR="00C62A64" w:rsidRPr="00153074">
        <w:rPr>
          <w:lang w:val="es-ES_tradnl"/>
        </w:rPr>
        <w:t>,</w:t>
      </w:r>
      <w:r w:rsidR="00C62C84" w:rsidRPr="00153074">
        <w:rPr>
          <w:lang w:val="es-ES_tradnl"/>
        </w:rPr>
        <w:t xml:space="preserve"> incluye en un primer momento:</w:t>
      </w:r>
    </w:p>
    <w:p w:rsidR="00C62C84" w:rsidRPr="00153074" w:rsidRDefault="008D32B9" w:rsidP="007462FA">
      <w:pPr>
        <w:pStyle w:val="ListParagraph"/>
        <w:numPr>
          <w:ilvl w:val="0"/>
          <w:numId w:val="23"/>
        </w:numPr>
        <w:jc w:val="both"/>
        <w:rPr>
          <w:lang w:val="es-ES_tradnl"/>
        </w:rPr>
      </w:pPr>
      <w:r w:rsidRPr="00153074">
        <w:rPr>
          <w:lang w:val="es-ES_tradnl"/>
        </w:rPr>
        <w:t>seguir</w:t>
      </w:r>
      <w:r w:rsidR="00C62C84" w:rsidRPr="00153074">
        <w:rPr>
          <w:lang w:val="es-ES_tradnl"/>
        </w:rPr>
        <w:t xml:space="preserve"> </w:t>
      </w:r>
      <w:r w:rsidR="002A7792" w:rsidRPr="00153074">
        <w:rPr>
          <w:lang w:val="es-ES_tradnl"/>
        </w:rPr>
        <w:t>“</w:t>
      </w:r>
      <w:r w:rsidR="00C62C84" w:rsidRPr="00153074">
        <w:rPr>
          <w:lang w:val="es-ES_tradnl"/>
        </w:rPr>
        <w:t>sensibilizando</w:t>
      </w:r>
      <w:r w:rsidR="002A7792" w:rsidRPr="00153074">
        <w:rPr>
          <w:lang w:val="es-ES_tradnl"/>
        </w:rPr>
        <w:t>”</w:t>
      </w:r>
      <w:r w:rsidR="00C62C84" w:rsidRPr="00153074">
        <w:rPr>
          <w:lang w:val="es-ES_tradnl"/>
        </w:rPr>
        <w:t xml:space="preserve"> </w:t>
      </w:r>
      <w:r w:rsidR="00C62A64" w:rsidRPr="00153074">
        <w:rPr>
          <w:lang w:val="es-ES_tradnl"/>
        </w:rPr>
        <w:t>con respecto a</w:t>
      </w:r>
      <w:r w:rsidR="00C62C84" w:rsidRPr="00153074">
        <w:rPr>
          <w:lang w:val="es-ES_tradnl"/>
        </w:rPr>
        <w:t xml:space="preserve"> la declaración y la </w:t>
      </w:r>
      <w:r w:rsidR="00C62A64" w:rsidRPr="00153074">
        <w:rPr>
          <w:lang w:val="es-ES_tradnl"/>
        </w:rPr>
        <w:t>A</w:t>
      </w:r>
      <w:r w:rsidR="00C62C84" w:rsidRPr="00153074">
        <w:rPr>
          <w:lang w:val="es-ES_tradnl"/>
        </w:rPr>
        <w:t xml:space="preserve">lianza de Busan; </w:t>
      </w:r>
    </w:p>
    <w:p w:rsidR="001A6C4A" w:rsidRPr="00153074" w:rsidRDefault="001A6C4A" w:rsidP="00C7588F">
      <w:pPr>
        <w:pStyle w:val="ListParagraph"/>
        <w:numPr>
          <w:ilvl w:val="0"/>
          <w:numId w:val="23"/>
        </w:numPr>
        <w:jc w:val="both"/>
        <w:rPr>
          <w:lang w:val="es-ES_tradnl"/>
        </w:rPr>
      </w:pPr>
      <w:r w:rsidRPr="00153074">
        <w:rPr>
          <w:lang w:val="es-ES_tradnl"/>
        </w:rPr>
        <w:t>localiza</w:t>
      </w:r>
      <w:r w:rsidR="008D32B9" w:rsidRPr="00153074">
        <w:rPr>
          <w:lang w:val="es-ES_tradnl"/>
        </w:rPr>
        <w:t>r</w:t>
      </w:r>
      <w:r w:rsidRPr="00153074">
        <w:rPr>
          <w:lang w:val="es-ES_tradnl"/>
        </w:rPr>
        <w:t xml:space="preserve"> iniciativas de cooperación público-privada</w:t>
      </w:r>
      <w:r w:rsidR="008D32B9" w:rsidRPr="00153074">
        <w:rPr>
          <w:lang w:val="es-ES_tradnl"/>
        </w:rPr>
        <w:t xml:space="preserve"> existentes</w:t>
      </w:r>
      <w:r w:rsidRPr="00153074">
        <w:rPr>
          <w:lang w:val="es-ES_tradnl"/>
        </w:rPr>
        <w:t xml:space="preserve">, incluyendo la búsqueda de ejercicios </w:t>
      </w:r>
      <w:r w:rsidR="002A7792" w:rsidRPr="00153074">
        <w:rPr>
          <w:lang w:val="es-ES_tradnl"/>
        </w:rPr>
        <w:t>“</w:t>
      </w:r>
      <w:r w:rsidRPr="00153074">
        <w:rPr>
          <w:lang w:val="es-ES_tradnl"/>
        </w:rPr>
        <w:t>complementarios</w:t>
      </w:r>
      <w:r w:rsidR="002A7792" w:rsidRPr="00153074">
        <w:rPr>
          <w:lang w:val="es-ES_tradnl"/>
        </w:rPr>
        <w:t>”</w:t>
      </w:r>
      <w:r w:rsidRPr="00153074">
        <w:rPr>
          <w:lang w:val="es-ES_tradnl"/>
        </w:rPr>
        <w:t xml:space="preserve"> con la metodología </w:t>
      </w:r>
      <w:r w:rsidR="002A7792" w:rsidRPr="00153074">
        <w:rPr>
          <w:lang w:val="es-ES_tradnl"/>
        </w:rPr>
        <w:t>“</w:t>
      </w:r>
      <w:r w:rsidRPr="00153074">
        <w:rPr>
          <w:lang w:val="es-ES_tradnl"/>
        </w:rPr>
        <w:t>Doing Business</w:t>
      </w:r>
      <w:r w:rsidR="002A7792" w:rsidRPr="00153074">
        <w:rPr>
          <w:lang w:val="es-ES_tradnl"/>
        </w:rPr>
        <w:t>”</w:t>
      </w:r>
      <w:r w:rsidRPr="00153074">
        <w:rPr>
          <w:lang w:val="es-ES_tradnl"/>
        </w:rPr>
        <w:t xml:space="preserve"> del Banco Mundial;</w:t>
      </w:r>
    </w:p>
    <w:p w:rsidR="001A6C4A" w:rsidRPr="00153074" w:rsidRDefault="001A6C4A" w:rsidP="007462FA">
      <w:pPr>
        <w:pStyle w:val="ListParagraph"/>
        <w:numPr>
          <w:ilvl w:val="0"/>
          <w:numId w:val="23"/>
        </w:numPr>
        <w:jc w:val="both"/>
        <w:rPr>
          <w:lang w:val="es-ES_tradnl"/>
        </w:rPr>
      </w:pPr>
      <w:r w:rsidRPr="00153074">
        <w:rPr>
          <w:lang w:val="es-ES_tradnl"/>
        </w:rPr>
        <w:t xml:space="preserve">desarrollar foros a escala nacional y mundial para </w:t>
      </w:r>
      <w:r w:rsidR="00546BC4" w:rsidRPr="00153074">
        <w:rPr>
          <w:lang w:val="es-ES_tradnl"/>
        </w:rPr>
        <w:t>el</w:t>
      </w:r>
      <w:r w:rsidRPr="00153074">
        <w:rPr>
          <w:lang w:val="es-ES_tradnl"/>
        </w:rPr>
        <w:t xml:space="preserve"> </w:t>
      </w:r>
      <w:r w:rsidR="002A7792" w:rsidRPr="00153074">
        <w:rPr>
          <w:lang w:val="es-ES_tradnl"/>
        </w:rPr>
        <w:t>“</w:t>
      </w:r>
      <w:r w:rsidR="00546BC4" w:rsidRPr="00153074">
        <w:rPr>
          <w:lang w:val="es-ES_tradnl"/>
        </w:rPr>
        <w:t>compromiso</w:t>
      </w:r>
      <w:r w:rsidR="002A7792" w:rsidRPr="00153074">
        <w:rPr>
          <w:lang w:val="es-ES_tradnl"/>
        </w:rPr>
        <w:t>”</w:t>
      </w:r>
      <w:r w:rsidRPr="00153074">
        <w:rPr>
          <w:lang w:val="es-ES_tradnl"/>
        </w:rPr>
        <w:t xml:space="preserve"> de grupos empresariales con donantes; y</w:t>
      </w:r>
    </w:p>
    <w:p w:rsidR="00B1268C" w:rsidRPr="00153074" w:rsidRDefault="001A6C4A" w:rsidP="007462FA">
      <w:pPr>
        <w:pStyle w:val="ListParagraph"/>
        <w:numPr>
          <w:ilvl w:val="0"/>
          <w:numId w:val="23"/>
        </w:numPr>
        <w:jc w:val="both"/>
        <w:rPr>
          <w:lang w:val="es-ES_tradnl"/>
        </w:rPr>
      </w:pPr>
      <w:r w:rsidRPr="00153074">
        <w:rPr>
          <w:lang w:val="es-ES_tradnl"/>
        </w:rPr>
        <w:t xml:space="preserve">consolidar el trabajo sobre las iniciativas de </w:t>
      </w:r>
      <w:r w:rsidR="002A7792" w:rsidRPr="00153074">
        <w:rPr>
          <w:lang w:val="es-ES_tradnl"/>
        </w:rPr>
        <w:t>“</w:t>
      </w:r>
      <w:r w:rsidRPr="00153074">
        <w:rPr>
          <w:lang w:val="es-ES_tradnl"/>
        </w:rPr>
        <w:t>seguimiento y evaluación</w:t>
      </w:r>
      <w:r w:rsidR="002A7792" w:rsidRPr="00153074">
        <w:rPr>
          <w:lang w:val="es-ES_tradnl"/>
        </w:rPr>
        <w:t>”</w:t>
      </w:r>
      <w:r w:rsidR="00B1268C" w:rsidRPr="00153074">
        <w:rPr>
          <w:lang w:val="es-ES_tradnl"/>
        </w:rPr>
        <w:t>.</w:t>
      </w:r>
      <w:r w:rsidR="00B1268C" w:rsidRPr="00153074">
        <w:rPr>
          <w:rStyle w:val="FootnoteReference"/>
          <w:rFonts w:ascii="Arial" w:hAnsi="Arial" w:cs="Arial"/>
          <w:sz w:val="20"/>
          <w:szCs w:val="20"/>
          <w:lang w:val="es-ES_tradnl"/>
        </w:rPr>
        <w:footnoteReference w:id="7"/>
      </w:r>
    </w:p>
    <w:p w:rsidR="00B1268C" w:rsidRPr="00153074" w:rsidRDefault="00B1268C" w:rsidP="007462FA">
      <w:pPr>
        <w:pStyle w:val="ListParagraph"/>
        <w:ind w:left="0"/>
        <w:jc w:val="both"/>
        <w:rPr>
          <w:rFonts w:ascii="Arial" w:hAnsi="Arial" w:cs="Arial"/>
          <w:sz w:val="20"/>
          <w:szCs w:val="20"/>
          <w:lang w:val="es-ES_tradnl"/>
        </w:rPr>
      </w:pPr>
    </w:p>
    <w:p w:rsidR="00B1268C" w:rsidRPr="00153074" w:rsidRDefault="002A7792" w:rsidP="007462FA">
      <w:pPr>
        <w:pStyle w:val="Heading3"/>
        <w:rPr>
          <w:lang w:val="es-ES_tradnl"/>
        </w:rPr>
      </w:pPr>
      <w:bookmarkStart w:id="40" w:name="_Toc359331978"/>
      <w:bookmarkStart w:id="41" w:name="_Toc369604913"/>
      <w:r w:rsidRPr="00153074">
        <w:rPr>
          <w:lang w:val="es-ES_tradnl"/>
        </w:rPr>
        <w:t>“</w:t>
      </w:r>
      <w:r w:rsidR="001A6C4A" w:rsidRPr="00153074">
        <w:rPr>
          <w:lang w:val="es-ES_tradnl"/>
        </w:rPr>
        <w:t>Asociados en igualdad de condiciones</w:t>
      </w:r>
      <w:r w:rsidRPr="00153074">
        <w:rPr>
          <w:lang w:val="es-ES_tradnl"/>
        </w:rPr>
        <w:t>”</w:t>
      </w:r>
      <w:bookmarkEnd w:id="40"/>
      <w:bookmarkEnd w:id="41"/>
    </w:p>
    <w:p w:rsidR="001A6C4A" w:rsidRPr="00153074" w:rsidRDefault="001A6C4A" w:rsidP="007462FA">
      <w:pPr>
        <w:jc w:val="both"/>
        <w:rPr>
          <w:lang w:val="es-ES_tradnl"/>
        </w:rPr>
      </w:pPr>
      <w:r w:rsidRPr="00153074">
        <w:rPr>
          <w:lang w:val="es-ES_tradnl"/>
        </w:rPr>
        <w:t>E</w:t>
      </w:r>
      <w:r w:rsidR="00714D78" w:rsidRPr="00153074">
        <w:rPr>
          <w:lang w:val="es-ES_tradnl"/>
        </w:rPr>
        <w:t>n el a</w:t>
      </w:r>
      <w:r w:rsidRPr="00153074">
        <w:rPr>
          <w:lang w:val="es-ES_tradnl"/>
        </w:rPr>
        <w:t>nexo de la declaración conjunta</w:t>
      </w:r>
      <w:r w:rsidR="00714D78" w:rsidRPr="00153074">
        <w:rPr>
          <w:lang w:val="es-ES_tradnl"/>
        </w:rPr>
        <w:t xml:space="preserve"> se</w:t>
      </w:r>
      <w:r w:rsidRPr="00153074">
        <w:rPr>
          <w:lang w:val="es-ES_tradnl"/>
        </w:rPr>
        <w:t xml:space="preserve"> </w:t>
      </w:r>
      <w:r w:rsidR="00714D78" w:rsidRPr="00153074">
        <w:rPr>
          <w:lang w:val="es-ES_tradnl"/>
        </w:rPr>
        <w:t>citan</w:t>
      </w:r>
      <w:r w:rsidRPr="00153074">
        <w:rPr>
          <w:lang w:val="es-ES_tradnl"/>
        </w:rPr>
        <w:t xml:space="preserve"> ejemplos de cómo la coalición podría facilitar la aplicación de</w:t>
      </w:r>
      <w:r w:rsidR="00714D78" w:rsidRPr="00153074">
        <w:rPr>
          <w:lang w:val="es-ES_tradnl"/>
        </w:rPr>
        <w:t xml:space="preserve"> los Compromisos de Busan</w:t>
      </w:r>
      <w:r w:rsidRPr="00153074">
        <w:rPr>
          <w:lang w:val="es-ES_tradnl"/>
        </w:rPr>
        <w:t xml:space="preserve"> y garantizar la promoción de las </w:t>
      </w:r>
      <w:r w:rsidR="00E54F55" w:rsidRPr="00153074">
        <w:rPr>
          <w:lang w:val="es-ES_tradnl"/>
        </w:rPr>
        <w:t>APP</w:t>
      </w:r>
      <w:r w:rsidRPr="00153074">
        <w:rPr>
          <w:lang w:val="es-ES_tradnl"/>
        </w:rPr>
        <w:t xml:space="preserve"> </w:t>
      </w:r>
      <w:r w:rsidR="002A7792" w:rsidRPr="00153074">
        <w:rPr>
          <w:lang w:val="es-ES_tradnl"/>
        </w:rPr>
        <w:t>“</w:t>
      </w:r>
      <w:r w:rsidR="003919C9" w:rsidRPr="00153074">
        <w:rPr>
          <w:lang w:val="es-ES_tradnl"/>
        </w:rPr>
        <w:t>para la prestación de servicios públicos</w:t>
      </w:r>
      <w:r w:rsidR="002A7792" w:rsidRPr="00153074">
        <w:rPr>
          <w:lang w:val="es-ES_tradnl"/>
        </w:rPr>
        <w:t>”</w:t>
      </w:r>
      <w:r w:rsidR="00C7588F" w:rsidRPr="00153074">
        <w:rPr>
          <w:lang w:val="es-ES_tradnl"/>
        </w:rPr>
        <w:t xml:space="preserve">, </w:t>
      </w:r>
      <w:r w:rsidR="003919C9" w:rsidRPr="00153074">
        <w:rPr>
          <w:lang w:val="es-ES_tradnl"/>
        </w:rPr>
        <w:t>ejercita</w:t>
      </w:r>
      <w:r w:rsidR="00C7588F" w:rsidRPr="00153074">
        <w:rPr>
          <w:lang w:val="es-ES_tradnl"/>
        </w:rPr>
        <w:t>ndo</w:t>
      </w:r>
      <w:r w:rsidR="003919C9" w:rsidRPr="00153074">
        <w:rPr>
          <w:lang w:val="es-ES_tradnl"/>
        </w:rPr>
        <w:t xml:space="preserve"> de esta manera</w:t>
      </w:r>
      <w:r w:rsidR="00DD4597" w:rsidRPr="00153074">
        <w:rPr>
          <w:lang w:val="es-ES_tradnl"/>
        </w:rPr>
        <w:t xml:space="preserve"> un </w:t>
      </w:r>
      <w:r w:rsidR="002A7792" w:rsidRPr="00153074">
        <w:rPr>
          <w:lang w:val="es-ES_tradnl"/>
        </w:rPr>
        <w:t>“</w:t>
      </w:r>
      <w:r w:rsidR="003919C9" w:rsidRPr="00153074">
        <w:rPr>
          <w:lang w:val="es-ES_tradnl"/>
        </w:rPr>
        <w:t xml:space="preserve">liderazgo </w:t>
      </w:r>
      <w:r w:rsidR="005201EE" w:rsidRPr="00153074">
        <w:rPr>
          <w:lang w:val="es-ES_tradnl"/>
        </w:rPr>
        <w:t>y</w:t>
      </w:r>
      <w:r w:rsidR="003919C9" w:rsidRPr="00153074">
        <w:rPr>
          <w:lang w:val="es-ES_tradnl"/>
        </w:rPr>
        <w:t xml:space="preserve"> compromiso político</w:t>
      </w:r>
      <w:r w:rsidR="002A7792" w:rsidRPr="00153074">
        <w:rPr>
          <w:lang w:val="es-ES_tradnl"/>
        </w:rPr>
        <w:t>”</w:t>
      </w:r>
      <w:r w:rsidR="00C7588F" w:rsidRPr="00153074">
        <w:rPr>
          <w:lang w:val="es-ES_tradnl"/>
        </w:rPr>
        <w:t xml:space="preserve"> y desarrollando</w:t>
      </w:r>
      <w:r w:rsidR="003919C9" w:rsidRPr="00153074">
        <w:rPr>
          <w:lang w:val="es-ES_tradnl"/>
        </w:rPr>
        <w:t xml:space="preserve"> </w:t>
      </w:r>
      <w:r w:rsidR="002A7792" w:rsidRPr="00153074">
        <w:rPr>
          <w:lang w:val="es-ES_tradnl"/>
        </w:rPr>
        <w:t>“</w:t>
      </w:r>
      <w:r w:rsidR="003919C9" w:rsidRPr="00153074">
        <w:rPr>
          <w:lang w:val="es-ES_tradnl"/>
        </w:rPr>
        <w:t xml:space="preserve">marcos políticos, jurídicos y </w:t>
      </w:r>
      <w:r w:rsidR="00C450AD" w:rsidRPr="00153074">
        <w:rPr>
          <w:lang w:val="es-ES_tradnl"/>
        </w:rPr>
        <w:t>reguladore</w:t>
      </w:r>
      <w:r w:rsidR="003919C9" w:rsidRPr="00153074">
        <w:rPr>
          <w:lang w:val="es-ES_tradnl"/>
        </w:rPr>
        <w:t>s efectivos</w:t>
      </w:r>
      <w:r w:rsidR="002A7792" w:rsidRPr="00153074">
        <w:rPr>
          <w:lang w:val="es-ES_tradnl"/>
        </w:rPr>
        <w:t>”</w:t>
      </w:r>
    </w:p>
    <w:p w:rsidR="00B1268C" w:rsidRPr="00153074" w:rsidRDefault="00B1268C" w:rsidP="007462FA">
      <w:pPr>
        <w:jc w:val="both"/>
        <w:rPr>
          <w:lang w:val="es-ES_tradnl"/>
        </w:rPr>
      </w:pPr>
    </w:p>
    <w:p w:rsidR="003919C9" w:rsidRPr="00153074" w:rsidRDefault="003919C9" w:rsidP="007462FA">
      <w:pPr>
        <w:jc w:val="both"/>
        <w:rPr>
          <w:lang w:val="es-ES_tradnl"/>
        </w:rPr>
      </w:pPr>
      <w:r w:rsidRPr="00153074">
        <w:rPr>
          <w:lang w:val="es-ES_tradnl"/>
        </w:rPr>
        <w:t xml:space="preserve">La declaración en anexo </w:t>
      </w:r>
      <w:r w:rsidR="0072335E" w:rsidRPr="00153074">
        <w:rPr>
          <w:lang w:val="es-ES_tradnl"/>
        </w:rPr>
        <w:t xml:space="preserve">también </w:t>
      </w:r>
      <w:r w:rsidRPr="00153074">
        <w:rPr>
          <w:lang w:val="es-ES_tradnl"/>
        </w:rPr>
        <w:t xml:space="preserve">solicita una distribución de las funciones entre </w:t>
      </w:r>
      <w:r w:rsidR="00864464" w:rsidRPr="00153074">
        <w:rPr>
          <w:lang w:val="es-ES_tradnl"/>
        </w:rPr>
        <w:t>Gobierno</w:t>
      </w:r>
      <w:r w:rsidRPr="00153074">
        <w:rPr>
          <w:lang w:val="es-ES_tradnl"/>
        </w:rPr>
        <w:t xml:space="preserve"> y grupos empresariales que </w:t>
      </w:r>
      <w:r w:rsidR="00DD4597" w:rsidRPr="00153074">
        <w:rPr>
          <w:lang w:val="es-ES_tradnl"/>
        </w:rPr>
        <w:t xml:space="preserve">es </w:t>
      </w:r>
      <w:r w:rsidR="00546BC4" w:rsidRPr="00153074">
        <w:rPr>
          <w:lang w:val="es-ES_tradnl"/>
        </w:rPr>
        <w:t>cualquier cosa</w:t>
      </w:r>
      <w:r w:rsidR="00DD4597" w:rsidRPr="00153074">
        <w:rPr>
          <w:lang w:val="es-ES_tradnl"/>
        </w:rPr>
        <w:t xml:space="preserve"> menos e</w:t>
      </w:r>
      <w:r w:rsidRPr="00153074">
        <w:rPr>
          <w:lang w:val="es-ES_tradnl"/>
        </w:rPr>
        <w:t>quilibrada. Las expec</w:t>
      </w:r>
      <w:r w:rsidR="00274DD4" w:rsidRPr="00153074">
        <w:rPr>
          <w:lang w:val="es-ES_tradnl"/>
        </w:rPr>
        <w:t>tativas para cumplir y ajustar</w:t>
      </w:r>
      <w:r w:rsidRPr="00153074">
        <w:rPr>
          <w:lang w:val="es-ES_tradnl"/>
        </w:rPr>
        <w:t xml:space="preserve"> </w:t>
      </w:r>
      <w:r w:rsidR="00621315" w:rsidRPr="00153074">
        <w:rPr>
          <w:lang w:val="es-ES_tradnl"/>
        </w:rPr>
        <w:t xml:space="preserve">residen únicamente en los </w:t>
      </w:r>
      <w:r w:rsidR="00864464" w:rsidRPr="00153074">
        <w:rPr>
          <w:lang w:val="es-ES_tradnl"/>
        </w:rPr>
        <w:t>Gobierno</w:t>
      </w:r>
      <w:r w:rsidR="00621315" w:rsidRPr="00153074">
        <w:rPr>
          <w:lang w:val="es-ES_tradnl"/>
        </w:rPr>
        <w:t xml:space="preserve">s y no en los grupos empresariales. Se espera que los </w:t>
      </w:r>
      <w:r w:rsidR="00621315" w:rsidRPr="00153074">
        <w:rPr>
          <w:lang w:val="es-ES_tradnl"/>
        </w:rPr>
        <w:lastRenderedPageBreak/>
        <w:t xml:space="preserve">representantes del sector público busquen </w:t>
      </w:r>
      <w:r w:rsidR="00621315" w:rsidRPr="00153074">
        <w:rPr>
          <w:i/>
          <w:lang w:val="es-ES_tradnl"/>
        </w:rPr>
        <w:t xml:space="preserve">sistemáticamente </w:t>
      </w:r>
      <w:r w:rsidR="00621315" w:rsidRPr="00153074">
        <w:rPr>
          <w:lang w:val="es-ES_tradnl"/>
        </w:rPr>
        <w:t xml:space="preserve">la participación de las empresas, y </w:t>
      </w:r>
      <w:r w:rsidR="002A7792" w:rsidRPr="00153074">
        <w:rPr>
          <w:lang w:val="es-ES_tradnl"/>
        </w:rPr>
        <w:t>“</w:t>
      </w:r>
      <w:r w:rsidR="00621315" w:rsidRPr="00153074">
        <w:rPr>
          <w:lang w:val="es-ES_tradnl"/>
        </w:rPr>
        <w:t xml:space="preserve">creen </w:t>
      </w:r>
      <w:r w:rsidR="00BB28E5" w:rsidRPr="00153074">
        <w:rPr>
          <w:lang w:val="es-ES_tradnl"/>
        </w:rPr>
        <w:t xml:space="preserve">un </w:t>
      </w:r>
      <w:r w:rsidR="00621315" w:rsidRPr="00153074">
        <w:rPr>
          <w:lang w:val="es-ES_tradnl"/>
        </w:rPr>
        <w:t>entorno favorable</w:t>
      </w:r>
      <w:r w:rsidR="002A7792" w:rsidRPr="00153074">
        <w:rPr>
          <w:lang w:val="es-ES_tradnl"/>
        </w:rPr>
        <w:t>”</w:t>
      </w:r>
      <w:r w:rsidR="00BB28E5" w:rsidRPr="00153074">
        <w:rPr>
          <w:lang w:val="es-ES_tradnl"/>
        </w:rPr>
        <w:t xml:space="preserve">, </w:t>
      </w:r>
      <w:r w:rsidR="00621315" w:rsidRPr="00153074">
        <w:rPr>
          <w:lang w:val="es-ES_tradnl"/>
        </w:rPr>
        <w:t xml:space="preserve">es decir </w:t>
      </w:r>
      <w:r w:rsidR="002A7792" w:rsidRPr="00153074">
        <w:rPr>
          <w:lang w:val="es-ES_tradnl"/>
        </w:rPr>
        <w:t>“</w:t>
      </w:r>
      <w:r w:rsidR="00621315" w:rsidRPr="00153074">
        <w:rPr>
          <w:lang w:val="es-ES_tradnl"/>
        </w:rPr>
        <w:t>en estrecha comunicación con el sector privado nacional y extranjero</w:t>
      </w:r>
      <w:r w:rsidR="002A7792" w:rsidRPr="00153074">
        <w:rPr>
          <w:lang w:val="es-ES_tradnl"/>
        </w:rPr>
        <w:t>”</w:t>
      </w:r>
      <w:r w:rsidR="00621315" w:rsidRPr="00153074">
        <w:rPr>
          <w:lang w:val="es-ES_tradnl"/>
        </w:rPr>
        <w:t xml:space="preserve">. Además se espera que los </w:t>
      </w:r>
      <w:r w:rsidR="00864464" w:rsidRPr="00153074">
        <w:rPr>
          <w:lang w:val="es-ES_tradnl"/>
        </w:rPr>
        <w:t>Gobierno</w:t>
      </w:r>
      <w:r w:rsidR="00621315" w:rsidRPr="00153074">
        <w:rPr>
          <w:lang w:val="es-ES_tradnl"/>
        </w:rPr>
        <w:t>s y su</w:t>
      </w:r>
      <w:r w:rsidR="00BB28E5" w:rsidRPr="00153074">
        <w:rPr>
          <w:lang w:val="es-ES_tradnl"/>
        </w:rPr>
        <w:t>s administraciones</w:t>
      </w:r>
      <w:r w:rsidR="00621315" w:rsidRPr="00153074">
        <w:rPr>
          <w:lang w:val="es-ES_tradnl"/>
        </w:rPr>
        <w:t xml:space="preserve"> pública</w:t>
      </w:r>
      <w:r w:rsidR="00BB28E5" w:rsidRPr="00153074">
        <w:rPr>
          <w:lang w:val="es-ES_tradnl"/>
        </w:rPr>
        <w:t>s</w:t>
      </w:r>
      <w:r w:rsidR="00621315" w:rsidRPr="00153074">
        <w:rPr>
          <w:lang w:val="es-ES_tradnl"/>
        </w:rPr>
        <w:t xml:space="preserve">: </w:t>
      </w:r>
    </w:p>
    <w:p w:rsidR="00B1268C" w:rsidRPr="00153074" w:rsidRDefault="002A7792" w:rsidP="007462FA">
      <w:pPr>
        <w:pStyle w:val="ListParagraph"/>
        <w:numPr>
          <w:ilvl w:val="0"/>
          <w:numId w:val="22"/>
        </w:numPr>
        <w:jc w:val="both"/>
        <w:rPr>
          <w:lang w:val="es-ES_tradnl"/>
        </w:rPr>
      </w:pPr>
      <w:r w:rsidRPr="00153074">
        <w:rPr>
          <w:lang w:val="es-ES_tradnl"/>
        </w:rPr>
        <w:t>“</w:t>
      </w:r>
      <w:r w:rsidR="00621315" w:rsidRPr="00153074">
        <w:rPr>
          <w:lang w:val="es-ES_tradnl"/>
        </w:rPr>
        <w:t>Reduzcan los obstáculos</w:t>
      </w:r>
      <w:r w:rsidRPr="00153074">
        <w:rPr>
          <w:lang w:val="es-ES_tradnl"/>
        </w:rPr>
        <w:t>”</w:t>
      </w:r>
      <w:r w:rsidR="00B1268C" w:rsidRPr="00153074">
        <w:rPr>
          <w:lang w:val="es-ES_tradnl"/>
        </w:rPr>
        <w:t xml:space="preserve"> </w:t>
      </w:r>
      <w:r w:rsidR="00621315" w:rsidRPr="00153074">
        <w:rPr>
          <w:lang w:val="es-ES_tradnl"/>
        </w:rPr>
        <w:t xml:space="preserve">para el registro de las empresas, reformando los sistemas de derechos de propiedad </w:t>
      </w:r>
      <w:r w:rsidR="00AE0040" w:rsidRPr="00153074">
        <w:rPr>
          <w:lang w:val="es-ES_tradnl"/>
        </w:rPr>
        <w:t xml:space="preserve">y los sistemas tributarios, y </w:t>
      </w:r>
      <w:r w:rsidR="00BB28E5" w:rsidRPr="00153074">
        <w:rPr>
          <w:lang w:val="es-ES_tradnl"/>
        </w:rPr>
        <w:t>ampliando</w:t>
      </w:r>
      <w:r w:rsidR="00AE0040" w:rsidRPr="00153074">
        <w:rPr>
          <w:lang w:val="es-ES_tradnl"/>
        </w:rPr>
        <w:t xml:space="preserve"> el acceso a los servicios </w:t>
      </w:r>
      <w:r w:rsidR="00BB28E5" w:rsidRPr="00153074">
        <w:rPr>
          <w:lang w:val="es-ES_tradnl"/>
        </w:rPr>
        <w:t>estatales</w:t>
      </w:r>
      <w:r w:rsidR="00AE0040" w:rsidRPr="00153074">
        <w:rPr>
          <w:lang w:val="es-ES_tradnl"/>
        </w:rPr>
        <w:t xml:space="preserve"> y otras instituciones </w:t>
      </w:r>
      <w:r w:rsidR="00DD4597" w:rsidRPr="00153074">
        <w:rPr>
          <w:lang w:val="es-ES_tradnl"/>
        </w:rPr>
        <w:t>importantes</w:t>
      </w:r>
      <w:r w:rsidR="00AE0040" w:rsidRPr="00153074">
        <w:rPr>
          <w:lang w:val="es-ES_tradnl"/>
        </w:rPr>
        <w:t>.</w:t>
      </w:r>
    </w:p>
    <w:p w:rsidR="00EF1AF6" w:rsidRPr="00153074" w:rsidRDefault="00EF1AF6" w:rsidP="007462FA">
      <w:pPr>
        <w:pStyle w:val="ListParagraph"/>
        <w:numPr>
          <w:ilvl w:val="0"/>
          <w:numId w:val="22"/>
        </w:numPr>
        <w:jc w:val="both"/>
        <w:rPr>
          <w:lang w:val="es-ES_tradnl"/>
        </w:rPr>
      </w:pPr>
      <w:r w:rsidRPr="00153074">
        <w:rPr>
          <w:lang w:val="es-ES_tradnl"/>
        </w:rPr>
        <w:t>U</w:t>
      </w:r>
      <w:r w:rsidR="00AE0040" w:rsidRPr="00153074">
        <w:rPr>
          <w:lang w:val="es-ES_tradnl"/>
        </w:rPr>
        <w:t xml:space="preserve">tilicen la ayuda para </w:t>
      </w:r>
      <w:r w:rsidR="002A7792" w:rsidRPr="00153074">
        <w:rPr>
          <w:lang w:val="es-ES_tradnl"/>
        </w:rPr>
        <w:t>“</w:t>
      </w:r>
      <w:r w:rsidR="00AE0040" w:rsidRPr="00153074">
        <w:rPr>
          <w:lang w:val="es-ES_tradnl"/>
        </w:rPr>
        <w:t xml:space="preserve">movilizar la inversión del sector </w:t>
      </w:r>
      <w:r w:rsidR="00806930" w:rsidRPr="00153074">
        <w:rPr>
          <w:lang w:val="es-ES_tradnl"/>
        </w:rPr>
        <w:t>privado</w:t>
      </w:r>
      <w:r w:rsidR="002A7792" w:rsidRPr="00153074">
        <w:rPr>
          <w:lang w:val="es-ES_tradnl"/>
        </w:rPr>
        <w:t>”</w:t>
      </w:r>
      <w:r w:rsidR="00AE0040" w:rsidRPr="00153074">
        <w:rPr>
          <w:lang w:val="es-ES_tradnl"/>
        </w:rPr>
        <w:t xml:space="preserve"> incluyendo </w:t>
      </w:r>
      <w:r w:rsidR="002A7792" w:rsidRPr="00153074">
        <w:rPr>
          <w:lang w:val="es-ES_tradnl"/>
        </w:rPr>
        <w:t>“</w:t>
      </w:r>
      <w:r w:rsidR="00806930" w:rsidRPr="00153074">
        <w:rPr>
          <w:lang w:val="es-ES_tradnl"/>
        </w:rPr>
        <w:t>un</w:t>
      </w:r>
      <w:r w:rsidR="00AE0040" w:rsidRPr="00153074">
        <w:rPr>
          <w:lang w:val="es-ES_tradnl"/>
        </w:rPr>
        <w:t xml:space="preserve">a </w:t>
      </w:r>
      <w:r w:rsidR="00806930" w:rsidRPr="00153074">
        <w:rPr>
          <w:lang w:val="es-ES_tradnl"/>
        </w:rPr>
        <w:t>combinación</w:t>
      </w:r>
      <w:r w:rsidR="00AE0040" w:rsidRPr="00153074">
        <w:rPr>
          <w:lang w:val="es-ES_tradnl"/>
        </w:rPr>
        <w:t xml:space="preserve"> de ayuda y préstamos </w:t>
      </w:r>
      <w:r w:rsidR="00806930" w:rsidRPr="00153074">
        <w:rPr>
          <w:lang w:val="es-ES_tradnl"/>
        </w:rPr>
        <w:t>blandos</w:t>
      </w:r>
      <w:r w:rsidR="002A7792" w:rsidRPr="00153074">
        <w:rPr>
          <w:lang w:val="es-ES_tradnl"/>
        </w:rPr>
        <w:t>”</w:t>
      </w:r>
      <w:r w:rsidR="00AE0040" w:rsidRPr="00153074">
        <w:rPr>
          <w:lang w:val="es-ES_tradnl"/>
        </w:rPr>
        <w:t xml:space="preserve"> </w:t>
      </w:r>
      <w:r w:rsidR="00F946B3" w:rsidRPr="00153074">
        <w:rPr>
          <w:lang w:val="es-ES_tradnl"/>
        </w:rPr>
        <w:t>con financiación privada con fines lucrativos</w:t>
      </w:r>
      <w:r w:rsidRPr="00153074">
        <w:rPr>
          <w:lang w:val="es-ES_tradnl"/>
        </w:rPr>
        <w:t>.</w:t>
      </w:r>
    </w:p>
    <w:p w:rsidR="00F946B3" w:rsidRPr="00153074" w:rsidRDefault="00EF1AF6" w:rsidP="007462FA">
      <w:pPr>
        <w:pStyle w:val="ListParagraph"/>
        <w:numPr>
          <w:ilvl w:val="0"/>
          <w:numId w:val="22"/>
        </w:numPr>
        <w:jc w:val="both"/>
        <w:rPr>
          <w:lang w:val="es-ES_tradnl"/>
        </w:rPr>
      </w:pPr>
      <w:r w:rsidRPr="00153074">
        <w:rPr>
          <w:lang w:val="es-ES_tradnl"/>
        </w:rPr>
        <w:t>U</w:t>
      </w:r>
      <w:r w:rsidR="00F946B3" w:rsidRPr="00153074">
        <w:rPr>
          <w:lang w:val="es-ES_tradnl"/>
        </w:rPr>
        <w:t>tili</w:t>
      </w:r>
      <w:r w:rsidRPr="00153074">
        <w:rPr>
          <w:lang w:val="es-ES_tradnl"/>
        </w:rPr>
        <w:t>cen</w:t>
      </w:r>
      <w:r w:rsidR="00F946B3" w:rsidRPr="00153074">
        <w:rPr>
          <w:lang w:val="es-ES_tradnl"/>
        </w:rPr>
        <w:t xml:space="preserve"> los conoci</w:t>
      </w:r>
      <w:r w:rsidR="00806930" w:rsidRPr="00153074">
        <w:rPr>
          <w:lang w:val="es-ES_tradnl"/>
        </w:rPr>
        <w:t>mientos y los instrumentos de lo</w:t>
      </w:r>
      <w:r w:rsidR="00F946B3" w:rsidRPr="00153074">
        <w:rPr>
          <w:lang w:val="es-ES_tradnl"/>
        </w:rPr>
        <w:t xml:space="preserve">s </w:t>
      </w:r>
      <w:r w:rsidR="00806930" w:rsidRPr="00153074">
        <w:rPr>
          <w:lang w:val="es-ES_tradnl"/>
        </w:rPr>
        <w:t>organismos</w:t>
      </w:r>
      <w:r w:rsidR="00F946B3" w:rsidRPr="00153074">
        <w:rPr>
          <w:lang w:val="es-ES_tradnl"/>
        </w:rPr>
        <w:t xml:space="preserve"> oficiales y las Instituciones Financieros del Desarrollo para contribuir a reducir la gestión y exposición de riesgo por parte del sector privado.</w:t>
      </w:r>
    </w:p>
    <w:p w:rsidR="00B1268C" w:rsidRPr="00153074" w:rsidRDefault="00B1268C" w:rsidP="007462FA">
      <w:pPr>
        <w:jc w:val="both"/>
        <w:rPr>
          <w:rFonts w:ascii="Arial" w:hAnsi="Arial" w:cs="Arial"/>
          <w:sz w:val="20"/>
          <w:szCs w:val="20"/>
          <w:lang w:val="es-ES_tradnl"/>
        </w:rPr>
      </w:pPr>
    </w:p>
    <w:p w:rsidR="001F697D" w:rsidRPr="00153074" w:rsidRDefault="00EF1AF6" w:rsidP="007462FA">
      <w:pPr>
        <w:jc w:val="both"/>
        <w:rPr>
          <w:lang w:val="es-ES_tradnl"/>
        </w:rPr>
      </w:pPr>
      <w:r w:rsidRPr="00153074">
        <w:rPr>
          <w:lang w:val="es-ES_tradnl"/>
        </w:rPr>
        <w:t xml:space="preserve">En cambio, </w:t>
      </w:r>
      <w:r w:rsidR="00546EBD" w:rsidRPr="00153074">
        <w:rPr>
          <w:lang w:val="es-ES_tradnl"/>
        </w:rPr>
        <w:t>de</w:t>
      </w:r>
      <w:r w:rsidR="001F697D" w:rsidRPr="00153074">
        <w:rPr>
          <w:lang w:val="es-ES_tradnl"/>
        </w:rPr>
        <w:t xml:space="preserve"> los grupos empresariales y </w:t>
      </w:r>
      <w:r w:rsidR="002A7792" w:rsidRPr="00153074">
        <w:rPr>
          <w:lang w:val="es-ES_tradnl"/>
        </w:rPr>
        <w:t>“</w:t>
      </w:r>
      <w:r w:rsidR="001F697D" w:rsidRPr="00153074">
        <w:rPr>
          <w:lang w:val="es-ES_tradnl"/>
        </w:rPr>
        <w:t>representantes del sector privado</w:t>
      </w:r>
      <w:r w:rsidR="002A7792" w:rsidRPr="00153074">
        <w:rPr>
          <w:lang w:val="es-ES_tradnl"/>
        </w:rPr>
        <w:t>”</w:t>
      </w:r>
      <w:r w:rsidR="001F697D" w:rsidRPr="00153074">
        <w:rPr>
          <w:lang w:val="es-ES_tradnl"/>
        </w:rPr>
        <w:t xml:space="preserve"> </w:t>
      </w:r>
      <w:r w:rsidR="006E3ABA" w:rsidRPr="00153074">
        <w:rPr>
          <w:lang w:val="es-ES_tradnl"/>
        </w:rPr>
        <w:t xml:space="preserve">se exige más bien poco. </w:t>
      </w:r>
      <w:r w:rsidR="001F697D" w:rsidRPr="00153074">
        <w:rPr>
          <w:lang w:val="es-ES_tradnl"/>
        </w:rPr>
        <w:t xml:space="preserve">Se les </w:t>
      </w:r>
      <w:r w:rsidR="006E3ABA" w:rsidRPr="00153074">
        <w:rPr>
          <w:lang w:val="es-ES_tradnl"/>
        </w:rPr>
        <w:t>pide</w:t>
      </w:r>
      <w:r w:rsidR="001F697D" w:rsidRPr="00153074">
        <w:rPr>
          <w:lang w:val="es-ES_tradnl"/>
        </w:rPr>
        <w:t xml:space="preserve"> </w:t>
      </w:r>
      <w:r w:rsidR="002A7792" w:rsidRPr="00153074">
        <w:rPr>
          <w:lang w:val="es-ES_tradnl"/>
        </w:rPr>
        <w:t>“</w:t>
      </w:r>
      <w:r w:rsidR="001F697D" w:rsidRPr="00153074">
        <w:rPr>
          <w:lang w:val="es-ES_tradnl"/>
        </w:rPr>
        <w:t>tratar de obtener formas efectivas de organización</w:t>
      </w:r>
      <w:r w:rsidR="002A7792" w:rsidRPr="00153074">
        <w:rPr>
          <w:lang w:val="es-ES_tradnl"/>
        </w:rPr>
        <w:t>”</w:t>
      </w:r>
      <w:r w:rsidR="001F697D" w:rsidRPr="00153074">
        <w:rPr>
          <w:lang w:val="es-ES_tradnl"/>
        </w:rPr>
        <w:t xml:space="preserve"> para poder </w:t>
      </w:r>
      <w:r w:rsidR="002A7792" w:rsidRPr="00153074">
        <w:rPr>
          <w:lang w:val="es-ES_tradnl"/>
        </w:rPr>
        <w:t>“</w:t>
      </w:r>
      <w:r w:rsidR="001F697D" w:rsidRPr="00153074">
        <w:rPr>
          <w:lang w:val="es-ES_tradnl"/>
        </w:rPr>
        <w:t>comunicar las necesidades e inquietudes</w:t>
      </w:r>
      <w:r w:rsidR="002A7792" w:rsidRPr="00153074">
        <w:rPr>
          <w:lang w:val="es-ES_tradnl"/>
        </w:rPr>
        <w:t>”</w:t>
      </w:r>
      <w:r w:rsidR="001F697D" w:rsidRPr="00153074">
        <w:rPr>
          <w:lang w:val="es-ES_tradnl"/>
        </w:rPr>
        <w:t xml:space="preserve"> de sus propias </w:t>
      </w:r>
      <w:r w:rsidR="00680D66" w:rsidRPr="00153074">
        <w:rPr>
          <w:lang w:val="es-ES_tradnl"/>
        </w:rPr>
        <w:t>comunidades</w:t>
      </w:r>
      <w:r w:rsidR="00D75BCA" w:rsidRPr="00153074">
        <w:rPr>
          <w:lang w:val="es-ES_tradnl"/>
        </w:rPr>
        <w:t xml:space="preserve"> empresariales y </w:t>
      </w:r>
      <w:r w:rsidR="002A7792" w:rsidRPr="00153074">
        <w:rPr>
          <w:lang w:val="es-ES_tradnl"/>
        </w:rPr>
        <w:t>“</w:t>
      </w:r>
      <w:r w:rsidR="00D75BCA" w:rsidRPr="00153074">
        <w:rPr>
          <w:lang w:val="es-ES_tradnl"/>
        </w:rPr>
        <w:t>promover</w:t>
      </w:r>
      <w:r w:rsidR="002A7792" w:rsidRPr="00153074">
        <w:rPr>
          <w:lang w:val="es-ES_tradnl"/>
        </w:rPr>
        <w:t>”</w:t>
      </w:r>
      <w:r w:rsidR="00D75BCA" w:rsidRPr="00153074">
        <w:rPr>
          <w:lang w:val="es-ES_tradnl"/>
        </w:rPr>
        <w:t xml:space="preserve"> iniciativas voluntarias sobre medidas </w:t>
      </w:r>
      <w:r w:rsidR="00680D66" w:rsidRPr="00153074">
        <w:rPr>
          <w:lang w:val="es-ES_tradnl"/>
        </w:rPr>
        <w:t xml:space="preserve">para luchar </w:t>
      </w:r>
      <w:r w:rsidR="00D75BCA" w:rsidRPr="00153074">
        <w:rPr>
          <w:lang w:val="es-ES_tradnl"/>
        </w:rPr>
        <w:t>contra el soborno y la corrupción.</w:t>
      </w:r>
    </w:p>
    <w:p w:rsidR="00B1268C" w:rsidRPr="00153074" w:rsidRDefault="00B1268C" w:rsidP="007462FA">
      <w:pPr>
        <w:pStyle w:val="ListParagraph"/>
        <w:ind w:left="0"/>
        <w:jc w:val="both"/>
        <w:rPr>
          <w:rFonts w:ascii="Arial" w:hAnsi="Arial" w:cs="Arial"/>
          <w:sz w:val="20"/>
          <w:szCs w:val="20"/>
          <w:lang w:val="es-ES_tradnl"/>
        </w:rPr>
      </w:pPr>
    </w:p>
    <w:p w:rsidR="00D75BCA" w:rsidRPr="00153074" w:rsidRDefault="00D75BCA" w:rsidP="007462FA">
      <w:pPr>
        <w:pStyle w:val="ListParagraph"/>
        <w:ind w:left="0"/>
        <w:jc w:val="both"/>
        <w:rPr>
          <w:lang w:val="es-ES_tradnl"/>
        </w:rPr>
      </w:pPr>
      <w:r w:rsidRPr="00153074">
        <w:rPr>
          <w:rFonts w:cs="Arial"/>
          <w:lang w:val="es-ES_tradnl"/>
        </w:rPr>
        <w:t xml:space="preserve">No es de extrañar, y con razón, que las empresas implicadas en estos esfuerzos </w:t>
      </w:r>
      <w:r w:rsidR="0077157F" w:rsidRPr="00153074">
        <w:rPr>
          <w:rFonts w:cs="Arial"/>
          <w:lang w:val="es-ES_tradnl"/>
        </w:rPr>
        <w:t>estén entusiasmadas con la posibilidad de</w:t>
      </w:r>
      <w:r w:rsidRPr="00153074">
        <w:rPr>
          <w:rFonts w:cs="Arial"/>
          <w:lang w:val="es-ES_tradnl"/>
        </w:rPr>
        <w:t xml:space="preserve"> que el sector privado </w:t>
      </w:r>
      <w:r w:rsidR="0077157F" w:rsidRPr="00153074">
        <w:rPr>
          <w:rFonts w:cs="Arial"/>
          <w:lang w:val="es-ES_tradnl"/>
        </w:rPr>
        <w:t>sea</w:t>
      </w:r>
      <w:r w:rsidRPr="00153074">
        <w:rPr>
          <w:rFonts w:cs="Arial"/>
          <w:lang w:val="es-ES_tradnl"/>
        </w:rPr>
        <w:t xml:space="preserve"> reconocido como un asociado </w:t>
      </w:r>
      <w:r w:rsidR="002A7792" w:rsidRPr="00153074">
        <w:rPr>
          <w:rFonts w:cs="Arial"/>
          <w:lang w:val="es-ES_tradnl"/>
        </w:rPr>
        <w:t>“</w:t>
      </w:r>
      <w:r w:rsidRPr="00153074">
        <w:rPr>
          <w:rFonts w:cs="Arial"/>
          <w:lang w:val="es-ES_tradnl"/>
        </w:rPr>
        <w:t>en pie de igualdad</w:t>
      </w:r>
      <w:r w:rsidR="002A7792" w:rsidRPr="00153074">
        <w:rPr>
          <w:rFonts w:cs="Arial"/>
          <w:lang w:val="es-ES_tradnl"/>
        </w:rPr>
        <w:t>”</w:t>
      </w:r>
      <w:r w:rsidRPr="00153074">
        <w:rPr>
          <w:rFonts w:cs="Arial"/>
          <w:lang w:val="es-ES_tradnl"/>
        </w:rPr>
        <w:t xml:space="preserve"> a la hora de discutir </w:t>
      </w:r>
      <w:r w:rsidR="005B2E97" w:rsidRPr="00153074">
        <w:rPr>
          <w:rFonts w:cs="Arial"/>
          <w:lang w:val="es-ES_tradnl"/>
        </w:rPr>
        <w:t xml:space="preserve">e </w:t>
      </w:r>
      <w:r w:rsidRPr="00153074">
        <w:rPr>
          <w:rFonts w:cs="Arial"/>
          <w:lang w:val="es-ES_tradnl"/>
        </w:rPr>
        <w:t xml:space="preserve">identificar soluciones y acciones, y </w:t>
      </w:r>
      <w:r w:rsidR="0077157F" w:rsidRPr="00153074">
        <w:rPr>
          <w:rFonts w:cs="Arial"/>
          <w:lang w:val="es-ES_tradnl"/>
        </w:rPr>
        <w:t>de</w:t>
      </w:r>
      <w:r w:rsidR="005B2E97" w:rsidRPr="00153074">
        <w:rPr>
          <w:rFonts w:cs="Arial"/>
          <w:lang w:val="es-ES_tradnl"/>
        </w:rPr>
        <w:t xml:space="preserve"> </w:t>
      </w:r>
      <w:r w:rsidRPr="00153074">
        <w:rPr>
          <w:rFonts w:cs="Arial"/>
          <w:lang w:val="es-ES_tradnl"/>
        </w:rPr>
        <w:t xml:space="preserve">que se solicite </w:t>
      </w:r>
      <w:r w:rsidR="005B2E97" w:rsidRPr="00153074">
        <w:rPr>
          <w:rFonts w:cs="Arial"/>
          <w:lang w:val="es-ES_tradnl"/>
        </w:rPr>
        <w:t xml:space="preserve">a </w:t>
      </w:r>
      <w:r w:rsidRPr="00153074">
        <w:rPr>
          <w:rFonts w:cs="Arial"/>
          <w:lang w:val="es-ES_tradnl"/>
        </w:rPr>
        <w:t xml:space="preserve">los </w:t>
      </w:r>
      <w:r w:rsidR="00864464" w:rsidRPr="00153074">
        <w:rPr>
          <w:rFonts w:cs="Arial"/>
          <w:lang w:val="es-ES_tradnl"/>
        </w:rPr>
        <w:t>Gobierno</w:t>
      </w:r>
      <w:r w:rsidRPr="00153074">
        <w:rPr>
          <w:rFonts w:cs="Arial"/>
          <w:lang w:val="es-ES_tradnl"/>
        </w:rPr>
        <w:t xml:space="preserve">s </w:t>
      </w:r>
      <w:r w:rsidR="002A7792" w:rsidRPr="00153074">
        <w:rPr>
          <w:rFonts w:cs="Arial"/>
          <w:lang w:val="es-ES_tradnl"/>
        </w:rPr>
        <w:t>“</w:t>
      </w:r>
      <w:r w:rsidR="005B2E97" w:rsidRPr="00153074">
        <w:rPr>
          <w:rFonts w:cs="Arial"/>
          <w:lang w:val="es-ES_tradnl"/>
        </w:rPr>
        <w:t>mantener estrechas consultas</w:t>
      </w:r>
      <w:r w:rsidRPr="00153074">
        <w:rPr>
          <w:rFonts w:cs="Arial"/>
          <w:lang w:val="es-ES_tradnl"/>
        </w:rPr>
        <w:t xml:space="preserve"> con los sectores privados nacionales y extranjeros</w:t>
      </w:r>
      <w:r w:rsidR="002A7792" w:rsidRPr="00153074">
        <w:rPr>
          <w:rFonts w:cs="Arial"/>
          <w:lang w:val="es-ES_tradnl"/>
        </w:rPr>
        <w:t>”</w:t>
      </w:r>
      <w:r w:rsidRPr="00153074">
        <w:rPr>
          <w:rFonts w:cs="Arial"/>
          <w:lang w:val="es-ES_tradnl"/>
        </w:rPr>
        <w:t>. La declaración conjunta fue</w:t>
      </w:r>
      <w:r w:rsidR="00824002" w:rsidRPr="00153074">
        <w:rPr>
          <w:rFonts w:cs="Arial"/>
          <w:lang w:val="es-ES_tradnl"/>
        </w:rPr>
        <w:t xml:space="preserve"> bien</w:t>
      </w:r>
      <w:r w:rsidRPr="00153074">
        <w:rPr>
          <w:rFonts w:cs="Arial"/>
          <w:lang w:val="es-ES_tradnl"/>
        </w:rPr>
        <w:t xml:space="preserve"> recibida en el seno </w:t>
      </w:r>
      <w:r w:rsidR="00AC4C90" w:rsidRPr="00153074">
        <w:rPr>
          <w:rFonts w:cs="Arial"/>
          <w:lang w:val="es-ES_tradnl"/>
        </w:rPr>
        <w:t xml:space="preserve">de la junta de cooperación al desarrollo de la OCDE como </w:t>
      </w:r>
      <w:r w:rsidR="002A7792" w:rsidRPr="00153074">
        <w:rPr>
          <w:rFonts w:cs="Arial"/>
          <w:lang w:val="es-ES_tradnl"/>
        </w:rPr>
        <w:t>“</w:t>
      </w:r>
      <w:r w:rsidR="00AC4C90" w:rsidRPr="00153074">
        <w:rPr>
          <w:rFonts w:cs="Arial"/>
          <w:lang w:val="es-ES_tradnl"/>
        </w:rPr>
        <w:t>uno de los principales resultados de Busan</w:t>
      </w:r>
      <w:r w:rsidR="002A7792" w:rsidRPr="00153074">
        <w:rPr>
          <w:rFonts w:cs="Arial"/>
          <w:lang w:val="es-ES_tradnl"/>
        </w:rPr>
        <w:t>”</w:t>
      </w:r>
      <w:r w:rsidR="00AC4C90" w:rsidRPr="00153074">
        <w:rPr>
          <w:rFonts w:cs="Arial"/>
          <w:lang w:val="es-ES_tradnl"/>
        </w:rPr>
        <w:t xml:space="preserve"> (</w:t>
      </w:r>
      <w:r w:rsidR="00824002" w:rsidRPr="00153074">
        <w:rPr>
          <w:rFonts w:cs="Arial"/>
          <w:lang w:val="es-ES_tradnl"/>
        </w:rPr>
        <w:t>DAC</w:t>
      </w:r>
      <w:r w:rsidR="00E95AA6" w:rsidRPr="00153074">
        <w:rPr>
          <w:rFonts w:cs="Arial"/>
          <w:lang w:val="es-ES_tradnl"/>
        </w:rPr>
        <w:t xml:space="preserve"> 2011); </w:t>
      </w:r>
      <w:r w:rsidR="002A7792" w:rsidRPr="00153074">
        <w:rPr>
          <w:rFonts w:cs="Arial"/>
          <w:lang w:val="es-ES_tradnl"/>
        </w:rPr>
        <w:t>“</w:t>
      </w:r>
      <w:r w:rsidR="00E95AA6" w:rsidRPr="00153074">
        <w:rPr>
          <w:rFonts w:cs="Arial"/>
          <w:lang w:val="es-ES_tradnl"/>
        </w:rPr>
        <w:t>un elemento de cambio</w:t>
      </w:r>
      <w:r w:rsidR="002A7792" w:rsidRPr="00153074">
        <w:rPr>
          <w:lang w:val="es-ES_tradnl"/>
        </w:rPr>
        <w:t>”</w:t>
      </w:r>
      <w:r w:rsidR="00AC4C90" w:rsidRPr="00153074">
        <w:rPr>
          <w:lang w:val="es-ES_tradnl"/>
        </w:rPr>
        <w:t xml:space="preserve"> (sic) por la manera en que los actores públicos y privados están </w:t>
      </w:r>
      <w:r w:rsidR="00274DD4" w:rsidRPr="00153074">
        <w:rPr>
          <w:lang w:val="es-ES_tradnl"/>
        </w:rPr>
        <w:t>planteándose</w:t>
      </w:r>
      <w:r w:rsidR="00AC4C90" w:rsidRPr="00153074">
        <w:rPr>
          <w:lang w:val="es-ES_tradnl"/>
        </w:rPr>
        <w:t xml:space="preserve"> </w:t>
      </w:r>
      <w:r w:rsidR="00E95AA6" w:rsidRPr="00153074">
        <w:rPr>
          <w:lang w:val="es-ES_tradnl"/>
        </w:rPr>
        <w:t xml:space="preserve">a </w:t>
      </w:r>
      <w:r w:rsidR="00AC4C90" w:rsidRPr="00153074">
        <w:rPr>
          <w:lang w:val="es-ES_tradnl"/>
        </w:rPr>
        <w:t xml:space="preserve">presente su compromiso conjunto para apoyar </w:t>
      </w:r>
      <w:r w:rsidR="00E95AA6" w:rsidRPr="00153074">
        <w:rPr>
          <w:lang w:val="es-ES_tradnl"/>
        </w:rPr>
        <w:t xml:space="preserve">los </w:t>
      </w:r>
      <w:r w:rsidR="00AC4C90" w:rsidRPr="00153074">
        <w:rPr>
          <w:lang w:val="es-ES_tradnl"/>
        </w:rPr>
        <w:t xml:space="preserve">procesos de desarrollo nacional. </w:t>
      </w:r>
      <w:r w:rsidR="00586D08" w:rsidRPr="00153074">
        <w:rPr>
          <w:lang w:val="es-ES_tradnl"/>
        </w:rPr>
        <w:t>Pero e</w:t>
      </w:r>
      <w:r w:rsidR="00AC4C90" w:rsidRPr="00153074">
        <w:rPr>
          <w:lang w:val="es-ES_tradnl"/>
        </w:rPr>
        <w:t xml:space="preserve">n realidad la iniciativa parece haber sido recibida con sentimientos </w:t>
      </w:r>
      <w:r w:rsidR="00586D08" w:rsidRPr="00153074">
        <w:rPr>
          <w:lang w:val="es-ES_tradnl"/>
        </w:rPr>
        <w:t>encontrados</w:t>
      </w:r>
      <w:r w:rsidR="00E95AA6" w:rsidRPr="00153074">
        <w:rPr>
          <w:lang w:val="es-ES_tradnl"/>
        </w:rPr>
        <w:t xml:space="preserve"> </w:t>
      </w:r>
      <w:r w:rsidR="00AC4C90" w:rsidRPr="00153074">
        <w:rPr>
          <w:lang w:val="es-ES_tradnl"/>
        </w:rPr>
        <w:t xml:space="preserve">por los </w:t>
      </w:r>
      <w:r w:rsidR="00864464" w:rsidRPr="00153074">
        <w:rPr>
          <w:lang w:val="es-ES_tradnl"/>
        </w:rPr>
        <w:t>Gobierno</w:t>
      </w:r>
      <w:r w:rsidR="00E95AA6" w:rsidRPr="00153074">
        <w:rPr>
          <w:lang w:val="es-ES_tradnl"/>
        </w:rPr>
        <w:t>s, tal y como lo demuestra</w:t>
      </w:r>
      <w:r w:rsidR="00AC4C90" w:rsidRPr="00153074">
        <w:rPr>
          <w:lang w:val="es-ES_tradnl"/>
        </w:rPr>
        <w:t xml:space="preserve"> la falta de aprobación por p</w:t>
      </w:r>
      <w:r w:rsidR="00E95AA6" w:rsidRPr="00153074">
        <w:rPr>
          <w:lang w:val="es-ES_tradnl"/>
        </w:rPr>
        <w:t>arte de varios donantes claves</w:t>
      </w:r>
      <w:r w:rsidR="00AC4C90" w:rsidRPr="00153074">
        <w:rPr>
          <w:lang w:val="es-ES_tradnl"/>
        </w:rPr>
        <w:t xml:space="preserve"> de la OCDE, pero </w:t>
      </w:r>
      <w:r w:rsidR="006E3763" w:rsidRPr="00153074">
        <w:rPr>
          <w:lang w:val="es-ES_tradnl"/>
        </w:rPr>
        <w:t>sobre todo</w:t>
      </w:r>
      <w:r w:rsidR="00AC4C90" w:rsidRPr="00153074">
        <w:rPr>
          <w:lang w:val="es-ES_tradnl"/>
        </w:rPr>
        <w:t xml:space="preserve"> </w:t>
      </w:r>
      <w:r w:rsidR="00E95AA6" w:rsidRPr="00153074">
        <w:rPr>
          <w:lang w:val="es-ES_tradnl"/>
        </w:rPr>
        <w:t xml:space="preserve">por </w:t>
      </w:r>
      <w:r w:rsidR="00AC4C90" w:rsidRPr="00153074">
        <w:rPr>
          <w:lang w:val="es-ES_tradnl"/>
        </w:rPr>
        <w:t>la mayoría de los signatarios de países en desarrollo</w:t>
      </w:r>
      <w:r w:rsidR="00F040EA" w:rsidRPr="00153074">
        <w:rPr>
          <w:lang w:val="es-ES_tradnl"/>
        </w:rPr>
        <w:t xml:space="preserve"> </w:t>
      </w:r>
      <w:r w:rsidR="006E3763" w:rsidRPr="00153074">
        <w:rPr>
          <w:lang w:val="es-ES_tradnl"/>
        </w:rPr>
        <w:t xml:space="preserve">de la Alianza de Busan </w:t>
      </w:r>
      <w:r w:rsidR="00E95AA6" w:rsidRPr="00153074">
        <w:rPr>
          <w:lang w:val="es-ES_tradnl"/>
        </w:rPr>
        <w:t>–</w:t>
      </w:r>
      <w:r w:rsidR="006E3763" w:rsidRPr="00153074">
        <w:rPr>
          <w:lang w:val="es-ES_tradnl"/>
        </w:rPr>
        <w:t xml:space="preserve"> por</w:t>
      </w:r>
      <w:r w:rsidR="00E95AA6" w:rsidRPr="00153074">
        <w:rPr>
          <w:lang w:val="es-ES_tradnl"/>
        </w:rPr>
        <w:t xml:space="preserve"> </w:t>
      </w:r>
      <w:r w:rsidR="006E3763" w:rsidRPr="00153074">
        <w:rPr>
          <w:lang w:val="es-ES_tradnl"/>
        </w:rPr>
        <w:t xml:space="preserve">no hablar de </w:t>
      </w:r>
      <w:r w:rsidR="00E95AA6" w:rsidRPr="00153074">
        <w:rPr>
          <w:lang w:val="es-ES_tradnl"/>
        </w:rPr>
        <w:t>las demás</w:t>
      </w:r>
      <w:r w:rsidR="006E3763" w:rsidRPr="00153074">
        <w:rPr>
          <w:lang w:val="es-ES_tradnl"/>
        </w:rPr>
        <w:t xml:space="preserve"> partes interesadas de Busan.</w:t>
      </w:r>
    </w:p>
    <w:p w:rsidR="00C90AC0" w:rsidRPr="00153074" w:rsidRDefault="00C90AC0" w:rsidP="00C90AC0">
      <w:pPr>
        <w:pStyle w:val="Heading2"/>
        <w:rPr>
          <w:lang w:val="es-ES_tradnl"/>
        </w:rPr>
      </w:pPr>
      <w:bookmarkStart w:id="42" w:name="_Toc230681464"/>
      <w:bookmarkStart w:id="43" w:name="_Toc359331979"/>
    </w:p>
    <w:p w:rsidR="00B1268C" w:rsidRPr="00153074" w:rsidRDefault="00EE7019" w:rsidP="00C90AC0">
      <w:pPr>
        <w:pStyle w:val="Heading2"/>
        <w:rPr>
          <w:lang w:val="es-ES_tradnl"/>
        </w:rPr>
      </w:pPr>
      <w:bookmarkStart w:id="44" w:name="_Toc369604914"/>
      <w:r w:rsidRPr="00153074">
        <w:rPr>
          <w:lang w:val="es-ES_tradnl"/>
        </w:rPr>
        <w:t>El Proceso del G20</w:t>
      </w:r>
      <w:bookmarkEnd w:id="42"/>
      <w:bookmarkEnd w:id="43"/>
      <w:bookmarkEnd w:id="44"/>
    </w:p>
    <w:p w:rsidR="00B1268C" w:rsidRPr="00153074" w:rsidRDefault="0052045C" w:rsidP="007462FA">
      <w:pPr>
        <w:jc w:val="both"/>
        <w:rPr>
          <w:lang w:val="es-ES_tradnl"/>
        </w:rPr>
      </w:pPr>
      <w:r w:rsidRPr="00153074">
        <w:rPr>
          <w:lang w:val="es-ES_tradnl"/>
        </w:rPr>
        <w:t xml:space="preserve">La </w:t>
      </w:r>
      <w:r w:rsidR="00370192" w:rsidRPr="00153074">
        <w:rPr>
          <w:lang w:val="es-ES_tradnl"/>
        </w:rPr>
        <w:t>C</w:t>
      </w:r>
      <w:r w:rsidRPr="00153074">
        <w:rPr>
          <w:lang w:val="es-ES_tradnl"/>
        </w:rPr>
        <w:t>umbre del G20 en Seúl en noviembre de 2010 marc</w:t>
      </w:r>
      <w:r w:rsidR="00370192" w:rsidRPr="00153074">
        <w:rPr>
          <w:lang w:val="es-ES_tradnl"/>
        </w:rPr>
        <w:t>ó</w:t>
      </w:r>
      <w:r w:rsidRPr="00153074">
        <w:rPr>
          <w:lang w:val="es-ES_tradnl"/>
        </w:rPr>
        <w:t xml:space="preserve"> un </w:t>
      </w:r>
      <w:r w:rsidR="00DF78D6" w:rsidRPr="00153074">
        <w:rPr>
          <w:lang w:val="es-ES_tradnl"/>
        </w:rPr>
        <w:t xml:space="preserve">importante </w:t>
      </w:r>
      <w:r w:rsidRPr="00153074">
        <w:rPr>
          <w:lang w:val="es-ES_tradnl"/>
        </w:rPr>
        <w:t>cambio en el enfoque de</w:t>
      </w:r>
      <w:r w:rsidR="00370192" w:rsidRPr="00153074">
        <w:rPr>
          <w:lang w:val="es-ES_tradnl"/>
        </w:rPr>
        <w:t>l</w:t>
      </w:r>
      <w:r w:rsidRPr="00153074">
        <w:rPr>
          <w:lang w:val="es-ES_tradnl"/>
        </w:rPr>
        <w:t xml:space="preserve"> G20 </w:t>
      </w:r>
      <w:r w:rsidR="00DF78D6" w:rsidRPr="00153074">
        <w:rPr>
          <w:lang w:val="es-ES_tradnl"/>
        </w:rPr>
        <w:t xml:space="preserve">con </w:t>
      </w:r>
      <w:r w:rsidRPr="00153074">
        <w:rPr>
          <w:lang w:val="es-ES_tradnl"/>
        </w:rPr>
        <w:t xml:space="preserve">respecto a cuestiones de desarrollo. </w:t>
      </w:r>
      <w:r w:rsidR="00370192" w:rsidRPr="00153074">
        <w:rPr>
          <w:lang w:val="es-ES_tradnl"/>
        </w:rPr>
        <w:t>Abordado</w:t>
      </w:r>
      <w:r w:rsidRPr="00153074">
        <w:rPr>
          <w:lang w:val="es-ES_tradnl"/>
        </w:rPr>
        <w:t xml:space="preserve"> como una prioridad secundaria en previas cumbres, el desarrollo se convirtió en un distintivo del comunicado </w:t>
      </w:r>
      <w:r w:rsidR="00DF78D6" w:rsidRPr="00153074">
        <w:rPr>
          <w:lang w:val="es-ES_tradnl"/>
        </w:rPr>
        <w:t xml:space="preserve">oficial </w:t>
      </w:r>
      <w:r w:rsidRPr="00153074">
        <w:rPr>
          <w:lang w:val="es-ES_tradnl"/>
        </w:rPr>
        <w:t>final de la Cumbre de Seúl</w:t>
      </w:r>
      <w:r w:rsidR="00B1268C" w:rsidRPr="00153074">
        <w:rPr>
          <w:lang w:val="es-ES_tradnl"/>
        </w:rPr>
        <w:t xml:space="preserve"> (G20 2010a). </w:t>
      </w:r>
      <w:r w:rsidRPr="00153074">
        <w:rPr>
          <w:lang w:val="es-ES_tradnl"/>
        </w:rPr>
        <w:t>En Toronto</w:t>
      </w:r>
      <w:r w:rsidRPr="00153074">
        <w:rPr>
          <w:rStyle w:val="FootnoteReference"/>
          <w:rFonts w:ascii="Arial" w:hAnsi="Arial" w:cs="Arial"/>
          <w:sz w:val="20"/>
          <w:szCs w:val="20"/>
          <w:lang w:val="es-ES_tradnl"/>
        </w:rPr>
        <w:footnoteReference w:id="8"/>
      </w:r>
      <w:r w:rsidRPr="00153074">
        <w:rPr>
          <w:lang w:val="es-ES_tradnl"/>
        </w:rPr>
        <w:t xml:space="preserve"> se había establecido un </w:t>
      </w:r>
      <w:r w:rsidR="00D7467A" w:rsidRPr="00153074">
        <w:rPr>
          <w:lang w:val="es-ES_tradnl"/>
        </w:rPr>
        <w:t>G</w:t>
      </w:r>
      <w:r w:rsidRPr="00153074">
        <w:rPr>
          <w:lang w:val="es-ES_tradnl"/>
        </w:rPr>
        <w:t xml:space="preserve">rupo de trabajo sobre desarrollo, compuesto principalmente por delegados de alto nivel procedentes de </w:t>
      </w:r>
      <w:r w:rsidR="00370192" w:rsidRPr="00153074">
        <w:rPr>
          <w:lang w:val="es-ES_tradnl"/>
        </w:rPr>
        <w:t>M</w:t>
      </w:r>
      <w:r w:rsidRPr="00153074">
        <w:rPr>
          <w:lang w:val="es-ES_tradnl"/>
        </w:rPr>
        <w:t xml:space="preserve">inisterios de </w:t>
      </w:r>
      <w:r w:rsidR="00370192" w:rsidRPr="00153074">
        <w:rPr>
          <w:lang w:val="es-ES_tradnl"/>
        </w:rPr>
        <w:t>A</w:t>
      </w:r>
      <w:r w:rsidRPr="00153074">
        <w:rPr>
          <w:lang w:val="es-ES_tradnl"/>
        </w:rPr>
        <w:t xml:space="preserve">suntos </w:t>
      </w:r>
      <w:r w:rsidR="00370192" w:rsidRPr="00153074">
        <w:rPr>
          <w:lang w:val="es-ES_tradnl"/>
        </w:rPr>
        <w:t>E</w:t>
      </w:r>
      <w:r w:rsidRPr="00153074">
        <w:rPr>
          <w:lang w:val="es-ES_tradnl"/>
        </w:rPr>
        <w:t>xteriores de países del G20.</w:t>
      </w:r>
      <w:r w:rsidR="00283BD6" w:rsidRPr="00153074">
        <w:rPr>
          <w:lang w:val="es-ES_tradnl"/>
        </w:rPr>
        <w:t xml:space="preserve"> </w:t>
      </w:r>
      <w:r w:rsidRPr="00153074">
        <w:rPr>
          <w:lang w:val="es-ES_tradnl"/>
        </w:rPr>
        <w:t>En Seúl el G20 aprobó</w:t>
      </w:r>
      <w:r w:rsidR="00283BD6" w:rsidRPr="00153074">
        <w:rPr>
          <w:lang w:val="es-ES_tradnl"/>
        </w:rPr>
        <w:t xml:space="preserve"> </w:t>
      </w:r>
      <w:r w:rsidR="00E97D12" w:rsidRPr="00153074">
        <w:rPr>
          <w:lang w:val="es-ES_tradnl"/>
        </w:rPr>
        <w:t xml:space="preserve">el </w:t>
      </w:r>
      <w:r w:rsidR="002A7792" w:rsidRPr="00153074">
        <w:rPr>
          <w:lang w:val="es-ES_tradnl"/>
        </w:rPr>
        <w:t>“</w:t>
      </w:r>
      <w:r w:rsidR="00472B90" w:rsidRPr="00153074">
        <w:rPr>
          <w:lang w:val="es-ES_tradnl"/>
        </w:rPr>
        <w:t>Plan de Ac</w:t>
      </w:r>
      <w:r w:rsidR="00E97D12" w:rsidRPr="00153074">
        <w:rPr>
          <w:lang w:val="es-ES_tradnl"/>
        </w:rPr>
        <w:t xml:space="preserve">ción </w:t>
      </w:r>
      <w:r w:rsidR="006D350D" w:rsidRPr="00153074">
        <w:rPr>
          <w:lang w:val="es-ES_tradnl"/>
        </w:rPr>
        <w:t>Pluri</w:t>
      </w:r>
      <w:r w:rsidR="00DF78D6" w:rsidRPr="00153074">
        <w:rPr>
          <w:lang w:val="es-ES_tradnl"/>
        </w:rPr>
        <w:t>anual sobre Desarrollo</w:t>
      </w:r>
      <w:r w:rsidR="002A7792" w:rsidRPr="00153074">
        <w:rPr>
          <w:lang w:val="es-ES_tradnl"/>
        </w:rPr>
        <w:t>”</w:t>
      </w:r>
      <w:r w:rsidR="00E97D12" w:rsidRPr="00153074">
        <w:rPr>
          <w:lang w:val="es-ES_tradnl"/>
        </w:rPr>
        <w:t xml:space="preserve"> compuesto </w:t>
      </w:r>
      <w:r w:rsidR="00DF78D6" w:rsidRPr="00153074">
        <w:rPr>
          <w:lang w:val="es-ES_tradnl"/>
        </w:rPr>
        <w:t>por</w:t>
      </w:r>
      <w:r w:rsidR="00E97D12" w:rsidRPr="00153074">
        <w:rPr>
          <w:lang w:val="es-ES_tradnl"/>
        </w:rPr>
        <w:t xml:space="preserve"> nueve pilares </w:t>
      </w:r>
      <w:r w:rsidR="00DF78D6" w:rsidRPr="00153074">
        <w:rPr>
          <w:lang w:val="es-ES_tradnl"/>
        </w:rPr>
        <w:t>claros</w:t>
      </w:r>
      <w:r w:rsidR="00E97D12" w:rsidRPr="00153074">
        <w:rPr>
          <w:lang w:val="es-ES_tradnl"/>
        </w:rPr>
        <w:t xml:space="preserve">: infraestructura, desarrollo de recursos humanos, comercio, inversión privada y creación de empleo, seguridad alimentaria, crecimiento con </w:t>
      </w:r>
      <w:r w:rsidR="00DF78D6" w:rsidRPr="00153074">
        <w:rPr>
          <w:lang w:val="es-ES_tradnl"/>
        </w:rPr>
        <w:t>resiliencia</w:t>
      </w:r>
      <w:r w:rsidR="00E97D12" w:rsidRPr="00153074">
        <w:rPr>
          <w:lang w:val="es-ES_tradnl"/>
        </w:rPr>
        <w:t>, inclusión financiera, movi</w:t>
      </w:r>
      <w:r w:rsidR="00D7467A" w:rsidRPr="00153074">
        <w:rPr>
          <w:lang w:val="es-ES_tradnl"/>
        </w:rPr>
        <w:t>lización de recursos nacionales</w:t>
      </w:r>
      <w:r w:rsidR="00E97D12" w:rsidRPr="00153074">
        <w:rPr>
          <w:lang w:val="es-ES_tradnl"/>
        </w:rPr>
        <w:t xml:space="preserve"> e intercambio de conocimientos</w:t>
      </w:r>
      <w:r w:rsidR="00B1268C" w:rsidRPr="00153074">
        <w:rPr>
          <w:lang w:val="es-ES_tradnl"/>
        </w:rPr>
        <w:t xml:space="preserve"> (G20 2010b). </w:t>
      </w:r>
    </w:p>
    <w:p w:rsidR="00B1268C" w:rsidRPr="00153074" w:rsidRDefault="00B1268C" w:rsidP="007462FA">
      <w:pPr>
        <w:jc w:val="both"/>
        <w:rPr>
          <w:lang w:val="es-ES_tradnl"/>
        </w:rPr>
      </w:pPr>
    </w:p>
    <w:p w:rsidR="005A0540" w:rsidRPr="00153074" w:rsidRDefault="00895160" w:rsidP="00445A2C">
      <w:pPr>
        <w:tabs>
          <w:tab w:val="left" w:pos="6171"/>
        </w:tabs>
        <w:jc w:val="both"/>
        <w:rPr>
          <w:lang w:val="es-ES_tradnl"/>
        </w:rPr>
      </w:pPr>
      <w:r w:rsidRPr="00153074">
        <w:rPr>
          <w:lang w:val="es-ES_tradnl"/>
        </w:rPr>
        <w:t>De</w:t>
      </w:r>
      <w:r w:rsidR="00D7467A" w:rsidRPr="00153074">
        <w:rPr>
          <w:lang w:val="es-ES_tradnl"/>
        </w:rPr>
        <w:t>sde la adopción del Plan de Acc</w:t>
      </w:r>
      <w:r w:rsidRPr="00153074">
        <w:rPr>
          <w:lang w:val="es-ES_tradnl"/>
        </w:rPr>
        <w:t xml:space="preserve">ión </w:t>
      </w:r>
      <w:r w:rsidR="006D350D" w:rsidRPr="00153074">
        <w:rPr>
          <w:lang w:val="es-ES_tradnl"/>
        </w:rPr>
        <w:t>Plurianual</w:t>
      </w:r>
      <w:r w:rsidR="00D7467A" w:rsidRPr="00153074">
        <w:rPr>
          <w:lang w:val="es-ES_tradnl"/>
        </w:rPr>
        <w:t>, el Gr</w:t>
      </w:r>
      <w:r w:rsidRPr="00153074">
        <w:rPr>
          <w:lang w:val="es-ES_tradnl"/>
        </w:rPr>
        <w:t>upo de trabajo</w:t>
      </w:r>
      <w:r w:rsidR="005A0540" w:rsidRPr="00153074">
        <w:rPr>
          <w:lang w:val="es-ES_tradnl"/>
        </w:rPr>
        <w:t xml:space="preserve"> sobre desarrollo</w:t>
      </w:r>
      <w:r w:rsidRPr="00153074">
        <w:rPr>
          <w:lang w:val="es-ES_tradnl"/>
        </w:rPr>
        <w:t xml:space="preserve"> del G20</w:t>
      </w:r>
      <w:r w:rsidR="005A0540" w:rsidRPr="00153074">
        <w:rPr>
          <w:lang w:val="es-ES_tradnl"/>
        </w:rPr>
        <w:t xml:space="preserve"> ha presentado varios informes con recomendaciones de políticas sobre cada uno de los nueve pilares</w:t>
      </w:r>
      <w:r w:rsidR="00B1268C" w:rsidRPr="00153074">
        <w:rPr>
          <w:lang w:val="es-ES_tradnl"/>
        </w:rPr>
        <w:t xml:space="preserve"> (G20WG 2011 </w:t>
      </w:r>
      <w:r w:rsidR="005A0540" w:rsidRPr="00153074">
        <w:rPr>
          <w:lang w:val="es-ES_tradnl"/>
        </w:rPr>
        <w:t>y</w:t>
      </w:r>
      <w:r w:rsidR="00B1268C" w:rsidRPr="00153074">
        <w:rPr>
          <w:lang w:val="es-ES_tradnl"/>
        </w:rPr>
        <w:t xml:space="preserve"> 2012).</w:t>
      </w:r>
      <w:r w:rsidR="00776451" w:rsidRPr="00153074">
        <w:rPr>
          <w:lang w:val="es-ES_tradnl"/>
        </w:rPr>
        <w:t xml:space="preserve"> </w:t>
      </w:r>
      <w:r w:rsidR="005A0540" w:rsidRPr="00153074">
        <w:rPr>
          <w:lang w:val="es-ES_tradnl"/>
        </w:rPr>
        <w:t>Entre los diferentes informes preparados</w:t>
      </w:r>
      <w:r w:rsidR="00C36C22" w:rsidRPr="00153074">
        <w:rPr>
          <w:lang w:val="es-ES_tradnl"/>
        </w:rPr>
        <w:t>,</w:t>
      </w:r>
      <w:r w:rsidR="005A0540" w:rsidRPr="00153074">
        <w:rPr>
          <w:lang w:val="es-ES_tradnl"/>
        </w:rPr>
        <w:t xml:space="preserve"> los tres que se detallan a continuación ilustran con la mayor claridad el enfoque del sector privado dentro de la dimensión del desarrollo del trabajo del G20.</w:t>
      </w:r>
    </w:p>
    <w:p w:rsidR="00B1268C" w:rsidRPr="00153074" w:rsidRDefault="00B1268C" w:rsidP="007462FA">
      <w:pPr>
        <w:jc w:val="both"/>
        <w:rPr>
          <w:rFonts w:ascii="Arial" w:hAnsi="Arial" w:cs="Arial"/>
          <w:sz w:val="20"/>
          <w:szCs w:val="20"/>
          <w:lang w:val="es-ES_tradnl"/>
        </w:rPr>
      </w:pPr>
    </w:p>
    <w:p w:rsidR="00B1268C" w:rsidRPr="00153074" w:rsidRDefault="005A0540" w:rsidP="007462FA">
      <w:pPr>
        <w:pStyle w:val="Heading3"/>
        <w:rPr>
          <w:lang w:val="es-ES_tradnl"/>
        </w:rPr>
      </w:pPr>
      <w:bookmarkStart w:id="45" w:name="_Toc359331980"/>
      <w:r w:rsidRPr="00153074">
        <w:rPr>
          <w:lang w:val="es-ES_tradnl"/>
        </w:rPr>
        <w:t xml:space="preserve"> </w:t>
      </w:r>
      <w:bookmarkStart w:id="46" w:name="_Toc369604915"/>
      <w:r w:rsidRPr="00153074">
        <w:rPr>
          <w:lang w:val="es-ES_tradnl"/>
        </w:rPr>
        <w:t>Infraestructura</w:t>
      </w:r>
      <w:r w:rsidR="00B1268C" w:rsidRPr="00153074">
        <w:rPr>
          <w:lang w:val="es-ES_tradnl"/>
        </w:rPr>
        <w:t xml:space="preserve"> </w:t>
      </w:r>
      <w:r w:rsidRPr="00153074">
        <w:rPr>
          <w:lang w:val="es-ES_tradnl"/>
        </w:rPr>
        <w:t>bajo el sol de</w:t>
      </w:r>
      <w:r w:rsidR="00B1268C" w:rsidRPr="00153074">
        <w:rPr>
          <w:lang w:val="es-ES_tradnl"/>
        </w:rPr>
        <w:t xml:space="preserve"> </w:t>
      </w:r>
      <w:r w:rsidR="001306E9" w:rsidRPr="00153074">
        <w:rPr>
          <w:lang w:val="es-ES_tradnl"/>
        </w:rPr>
        <w:t xml:space="preserve">las </w:t>
      </w:r>
      <w:r w:rsidR="00E54F55" w:rsidRPr="00153074">
        <w:rPr>
          <w:lang w:val="es-ES_tradnl"/>
        </w:rPr>
        <w:t>APP</w:t>
      </w:r>
      <w:bookmarkEnd w:id="45"/>
      <w:bookmarkEnd w:id="46"/>
    </w:p>
    <w:p w:rsidR="005A0540" w:rsidRPr="00153074" w:rsidRDefault="00C47FC6" w:rsidP="007462FA">
      <w:pPr>
        <w:jc w:val="both"/>
        <w:rPr>
          <w:lang w:val="es-ES_tradnl"/>
        </w:rPr>
      </w:pPr>
      <w:r w:rsidRPr="00153074">
        <w:rPr>
          <w:lang w:val="es-ES_tradnl"/>
        </w:rPr>
        <w:t>Resulta fundamental p</w:t>
      </w:r>
      <w:r w:rsidR="005A0540" w:rsidRPr="00153074">
        <w:rPr>
          <w:lang w:val="es-ES_tradnl"/>
        </w:rPr>
        <w:t>ara el mandato de</w:t>
      </w:r>
      <w:r w:rsidRPr="00153074">
        <w:rPr>
          <w:lang w:val="es-ES_tradnl"/>
        </w:rPr>
        <w:t>l</w:t>
      </w:r>
      <w:r w:rsidR="005A0540" w:rsidRPr="00153074">
        <w:rPr>
          <w:lang w:val="es-ES_tradnl"/>
        </w:rPr>
        <w:t xml:space="preserve"> G</w:t>
      </w:r>
      <w:r w:rsidR="00FF37D4" w:rsidRPr="00153074">
        <w:rPr>
          <w:lang w:val="es-ES_tradnl"/>
        </w:rPr>
        <w:t xml:space="preserve">T </w:t>
      </w:r>
      <w:r w:rsidR="0054120C" w:rsidRPr="00153074">
        <w:rPr>
          <w:lang w:val="es-ES_tradnl"/>
        </w:rPr>
        <w:t xml:space="preserve">del G20 </w:t>
      </w:r>
      <w:r w:rsidR="005A0540" w:rsidRPr="00153074">
        <w:rPr>
          <w:lang w:val="es-ES_tradnl"/>
        </w:rPr>
        <w:t>sobre desarrollo</w:t>
      </w:r>
      <w:r w:rsidR="00283BD6" w:rsidRPr="00153074">
        <w:rPr>
          <w:lang w:val="es-ES_tradnl"/>
        </w:rPr>
        <w:t xml:space="preserve"> </w:t>
      </w:r>
      <w:r w:rsidR="005A0540" w:rsidRPr="00153074">
        <w:rPr>
          <w:lang w:val="es-ES_tradnl"/>
        </w:rPr>
        <w:t>identific</w:t>
      </w:r>
      <w:r w:rsidR="002A7792" w:rsidRPr="00153074">
        <w:rPr>
          <w:lang w:val="es-ES_tradnl"/>
        </w:rPr>
        <w:t>ar recomendaciones de políticas “</w:t>
      </w:r>
      <w:r w:rsidR="00E20EB6" w:rsidRPr="00153074">
        <w:rPr>
          <w:lang w:val="es-ES_tradnl"/>
        </w:rPr>
        <w:t>para superar</w:t>
      </w:r>
      <w:r w:rsidR="00283BD6" w:rsidRPr="00153074">
        <w:rPr>
          <w:lang w:val="es-ES_tradnl"/>
        </w:rPr>
        <w:t xml:space="preserve"> </w:t>
      </w:r>
      <w:r w:rsidR="00E20EB6" w:rsidRPr="00153074">
        <w:rPr>
          <w:lang w:val="es-ES_tradnl"/>
        </w:rPr>
        <w:t>los obstáculos a la inversión en infraestructura</w:t>
      </w:r>
      <w:r w:rsidR="002A7792" w:rsidRPr="00153074">
        <w:rPr>
          <w:lang w:val="es-ES_tradnl"/>
        </w:rPr>
        <w:t>”</w:t>
      </w:r>
      <w:r w:rsidR="00E20EB6" w:rsidRPr="00153074">
        <w:rPr>
          <w:lang w:val="es-ES_tradnl"/>
        </w:rPr>
        <w:t xml:space="preserve">, </w:t>
      </w:r>
      <w:r w:rsidR="002A7792" w:rsidRPr="00153074">
        <w:rPr>
          <w:lang w:val="es-ES_tradnl"/>
        </w:rPr>
        <w:t>“</w:t>
      </w:r>
      <w:r w:rsidR="00E20EB6" w:rsidRPr="00153074">
        <w:rPr>
          <w:lang w:val="es-ES_tradnl"/>
        </w:rPr>
        <w:t xml:space="preserve">mejorar la capacidad y </w:t>
      </w:r>
      <w:r w:rsidR="00E20EB6" w:rsidRPr="00153074">
        <w:rPr>
          <w:lang w:val="es-ES_tradnl"/>
        </w:rPr>
        <w:lastRenderedPageBreak/>
        <w:t>facilitar una mayor dotación financiera para la inversión en infraestructura</w:t>
      </w:r>
      <w:r w:rsidR="00283BD6" w:rsidRPr="00153074">
        <w:rPr>
          <w:lang w:val="es-ES_tradnl"/>
        </w:rPr>
        <w:t xml:space="preserve"> </w:t>
      </w:r>
      <w:r w:rsidR="00E20EB6" w:rsidRPr="00153074">
        <w:rPr>
          <w:lang w:val="es-ES_tradnl"/>
        </w:rPr>
        <w:t>en países en desarrollo</w:t>
      </w:r>
      <w:r w:rsidR="002A7792" w:rsidRPr="00153074">
        <w:rPr>
          <w:lang w:val="es-ES_tradnl"/>
        </w:rPr>
        <w:t>”</w:t>
      </w:r>
      <w:r w:rsidR="00283BD6" w:rsidRPr="00153074">
        <w:rPr>
          <w:lang w:val="es-ES_tradnl"/>
        </w:rPr>
        <w:t xml:space="preserve"> </w:t>
      </w:r>
      <w:r w:rsidR="00E20EB6" w:rsidRPr="00153074">
        <w:rPr>
          <w:lang w:val="es-ES_tradnl"/>
        </w:rPr>
        <w:t>con un énfasis</w:t>
      </w:r>
      <w:r w:rsidR="00283BD6" w:rsidRPr="00153074">
        <w:rPr>
          <w:lang w:val="es-ES_tradnl"/>
        </w:rPr>
        <w:t xml:space="preserve"> </w:t>
      </w:r>
      <w:r w:rsidR="00E20EB6" w:rsidRPr="00153074">
        <w:rPr>
          <w:lang w:val="es-ES_tradnl"/>
        </w:rPr>
        <w:t>especifico</w:t>
      </w:r>
      <w:r w:rsidR="00283BD6" w:rsidRPr="00153074">
        <w:rPr>
          <w:lang w:val="es-ES_tradnl"/>
        </w:rPr>
        <w:t xml:space="preserve"> </w:t>
      </w:r>
      <w:r w:rsidR="00E20EB6" w:rsidRPr="00153074">
        <w:rPr>
          <w:lang w:val="es-ES_tradnl"/>
        </w:rPr>
        <w:t>en los países de renta baja,</w:t>
      </w:r>
      <w:r w:rsidR="00283BD6" w:rsidRPr="00153074">
        <w:rPr>
          <w:lang w:val="es-ES_tradnl"/>
        </w:rPr>
        <w:t xml:space="preserve"> </w:t>
      </w:r>
      <w:r w:rsidR="00E20EB6" w:rsidRPr="00153074">
        <w:rPr>
          <w:lang w:val="es-ES_tradnl"/>
        </w:rPr>
        <w:t>y un</w:t>
      </w:r>
      <w:r w:rsidR="00283BD6" w:rsidRPr="00153074">
        <w:rPr>
          <w:lang w:val="es-ES_tradnl"/>
        </w:rPr>
        <w:t xml:space="preserve"> </w:t>
      </w:r>
      <w:r w:rsidR="002A7792" w:rsidRPr="00153074">
        <w:rPr>
          <w:lang w:val="es-ES_tradnl"/>
        </w:rPr>
        <w:t>“</w:t>
      </w:r>
      <w:r w:rsidR="00E20EB6" w:rsidRPr="00153074">
        <w:rPr>
          <w:lang w:val="es-ES_tradnl"/>
        </w:rPr>
        <w:t>énfasis especial</w:t>
      </w:r>
      <w:r w:rsidR="002A7792" w:rsidRPr="00153074">
        <w:rPr>
          <w:lang w:val="es-ES_tradnl"/>
        </w:rPr>
        <w:t>”</w:t>
      </w:r>
      <w:r w:rsidR="00283BD6" w:rsidRPr="00153074">
        <w:rPr>
          <w:lang w:val="es-ES_tradnl"/>
        </w:rPr>
        <w:t xml:space="preserve"> </w:t>
      </w:r>
      <w:r w:rsidR="00E20EB6" w:rsidRPr="00153074">
        <w:rPr>
          <w:lang w:val="es-ES_tradnl"/>
        </w:rPr>
        <w:t>en el África subsahariana</w:t>
      </w:r>
    </w:p>
    <w:p w:rsidR="00B1268C" w:rsidRPr="00153074" w:rsidRDefault="005E3D4C" w:rsidP="007462FA">
      <w:pPr>
        <w:jc w:val="both"/>
        <w:rPr>
          <w:lang w:val="es-ES_tradnl"/>
        </w:rPr>
      </w:pPr>
      <w:r w:rsidRPr="00153074">
        <w:rPr>
          <w:lang w:val="es-ES_tradnl"/>
        </w:rPr>
        <w:t xml:space="preserve"> </w:t>
      </w:r>
    </w:p>
    <w:p w:rsidR="00B1268C" w:rsidRPr="00153074" w:rsidRDefault="005E3D4C" w:rsidP="007462FA">
      <w:pPr>
        <w:jc w:val="both"/>
        <w:rPr>
          <w:lang w:val="es-ES_tradnl"/>
        </w:rPr>
      </w:pPr>
      <w:r w:rsidRPr="00153074">
        <w:rPr>
          <w:lang w:val="es-ES_tradnl"/>
        </w:rPr>
        <w:t>En febrero de 2011, después de la Cumbre de Seúl, se nombró un</w:t>
      </w:r>
      <w:r w:rsidR="00283BD6" w:rsidRPr="00153074">
        <w:rPr>
          <w:lang w:val="es-ES_tradnl"/>
        </w:rPr>
        <w:t xml:space="preserve"> </w:t>
      </w:r>
      <w:r w:rsidRPr="00153074">
        <w:rPr>
          <w:lang w:val="es-ES_tradnl"/>
        </w:rPr>
        <w:t>Panel de Alto Nivel (PAN)</w:t>
      </w:r>
      <w:r w:rsidR="00283BD6" w:rsidRPr="00153074">
        <w:rPr>
          <w:lang w:val="es-ES_tradnl"/>
        </w:rPr>
        <w:t xml:space="preserve"> </w:t>
      </w:r>
      <w:r w:rsidRPr="00153074">
        <w:rPr>
          <w:lang w:val="es-ES_tradnl"/>
        </w:rPr>
        <w:t>que presentó un informe en noviembre</w:t>
      </w:r>
      <w:r w:rsidR="004720D5" w:rsidRPr="00153074">
        <w:rPr>
          <w:lang w:val="es-ES_tradnl"/>
        </w:rPr>
        <w:t>,</w:t>
      </w:r>
      <w:r w:rsidRPr="00153074">
        <w:rPr>
          <w:lang w:val="es-ES_tradnl"/>
        </w:rPr>
        <w:t xml:space="preserve"> antes de la Cumbre de Cannes. Después, en abril de 2012, se presentó un informe conjunto del Banco Mundial y los bancos de desarrollo regional:</w:t>
      </w:r>
      <w:r w:rsidR="00FF15C9" w:rsidRPr="00153074">
        <w:rPr>
          <w:lang w:val="es-ES_tradnl"/>
        </w:rPr>
        <w:t xml:space="preserve"> </w:t>
      </w:r>
      <w:r w:rsidR="004720D5" w:rsidRPr="00153074">
        <w:rPr>
          <w:lang w:val="es-ES_tradnl"/>
        </w:rPr>
        <w:t>el Ba</w:t>
      </w:r>
      <w:r w:rsidRPr="00153074">
        <w:rPr>
          <w:lang w:val="es-ES_tradnl"/>
        </w:rPr>
        <w:t>nco Africano de Desarrollo</w:t>
      </w:r>
      <w:r w:rsidR="00B1268C" w:rsidRPr="00153074">
        <w:rPr>
          <w:lang w:val="es-ES_tradnl"/>
        </w:rPr>
        <w:t xml:space="preserve"> (</w:t>
      </w:r>
      <w:r w:rsidRPr="00153074">
        <w:rPr>
          <w:lang w:val="es-ES_tradnl"/>
        </w:rPr>
        <w:t>B</w:t>
      </w:r>
      <w:r w:rsidR="00B1268C" w:rsidRPr="00153074">
        <w:rPr>
          <w:lang w:val="es-ES_tradnl"/>
        </w:rPr>
        <w:t xml:space="preserve">AfD), </w:t>
      </w:r>
      <w:r w:rsidR="004720D5" w:rsidRPr="00153074">
        <w:rPr>
          <w:lang w:val="es-ES_tradnl"/>
        </w:rPr>
        <w:t xml:space="preserve">el </w:t>
      </w:r>
      <w:r w:rsidR="00FF37D4" w:rsidRPr="00153074">
        <w:rPr>
          <w:lang w:val="es-ES_tradnl"/>
        </w:rPr>
        <w:t>Banco Asiático de Desarrollo (BA</w:t>
      </w:r>
      <w:r w:rsidR="00B1268C" w:rsidRPr="00153074">
        <w:rPr>
          <w:lang w:val="es-ES_tradnl"/>
        </w:rPr>
        <w:t xml:space="preserve">sD), </w:t>
      </w:r>
      <w:r w:rsidR="004720D5" w:rsidRPr="00153074">
        <w:rPr>
          <w:lang w:val="es-ES_tradnl"/>
        </w:rPr>
        <w:t xml:space="preserve">el </w:t>
      </w:r>
      <w:r w:rsidRPr="00153074">
        <w:rPr>
          <w:lang w:val="es-ES_tradnl"/>
        </w:rPr>
        <w:t>Banco Europeo de Inversiones (BEI),</w:t>
      </w:r>
      <w:r w:rsidR="00FF37D4" w:rsidRPr="00153074">
        <w:rPr>
          <w:lang w:val="es-ES_tradnl"/>
        </w:rPr>
        <w:t xml:space="preserve"> </w:t>
      </w:r>
      <w:r w:rsidR="004720D5" w:rsidRPr="00153074">
        <w:rPr>
          <w:lang w:val="es-ES_tradnl"/>
        </w:rPr>
        <w:t xml:space="preserve">el </w:t>
      </w:r>
      <w:r w:rsidR="00FF37D4" w:rsidRPr="00153074">
        <w:rPr>
          <w:lang w:val="es-ES_tradnl"/>
        </w:rPr>
        <w:t xml:space="preserve">Banco </w:t>
      </w:r>
      <w:r w:rsidR="00B1268C" w:rsidRPr="00153074">
        <w:rPr>
          <w:lang w:val="es-ES_tradnl"/>
        </w:rPr>
        <w:t>Inter</w:t>
      </w:r>
      <w:r w:rsidR="004720D5" w:rsidRPr="00153074">
        <w:rPr>
          <w:lang w:val="es-ES_tradnl"/>
        </w:rPr>
        <w:t>americano de Desarrollo (BID)</w:t>
      </w:r>
      <w:r w:rsidR="00FF37D4" w:rsidRPr="00153074">
        <w:rPr>
          <w:lang w:val="es-ES_tradnl"/>
        </w:rPr>
        <w:t xml:space="preserve"> y </w:t>
      </w:r>
      <w:r w:rsidR="004720D5" w:rsidRPr="00153074">
        <w:rPr>
          <w:lang w:val="es-ES_tradnl"/>
        </w:rPr>
        <w:t xml:space="preserve">el </w:t>
      </w:r>
      <w:r w:rsidR="00FF37D4" w:rsidRPr="00153074">
        <w:rPr>
          <w:lang w:val="es-ES_tradnl"/>
        </w:rPr>
        <w:t>Banco Islámico de Desarrollo (BIs</w:t>
      </w:r>
      <w:r w:rsidR="00B1268C" w:rsidRPr="00153074">
        <w:rPr>
          <w:lang w:val="es-ES_tradnl"/>
        </w:rPr>
        <w:t>D).</w:t>
      </w:r>
      <w:r w:rsidR="00FF37D4" w:rsidRPr="00153074">
        <w:rPr>
          <w:lang w:val="es-ES_tradnl"/>
        </w:rPr>
        <w:t xml:space="preserve"> En el informe sobre los avances del GT presentado en Cannes en </w:t>
      </w:r>
      <w:r w:rsidR="00FE6437" w:rsidRPr="00153074">
        <w:rPr>
          <w:lang w:val="es-ES_tradnl"/>
        </w:rPr>
        <w:t>noviembre de 2011 el objetivo es</w:t>
      </w:r>
      <w:r w:rsidR="00F960D2" w:rsidRPr="00153074">
        <w:rPr>
          <w:lang w:val="es-ES_tradnl"/>
        </w:rPr>
        <w:t xml:space="preserve"> </w:t>
      </w:r>
      <w:r w:rsidR="002A7792" w:rsidRPr="00153074">
        <w:rPr>
          <w:lang w:val="es-ES_tradnl"/>
        </w:rPr>
        <w:t>“</w:t>
      </w:r>
      <w:r w:rsidR="00F960D2" w:rsidRPr="00153074">
        <w:rPr>
          <w:lang w:val="es-ES_tradnl"/>
        </w:rPr>
        <w:t>ampliar y diversificar la financiación para las necesidades de infraestructura, incluyendo por parte de fuentes de los sectores público, semi</w:t>
      </w:r>
      <w:r w:rsidR="003F355C" w:rsidRPr="00153074">
        <w:rPr>
          <w:lang w:val="es-ES_tradnl"/>
        </w:rPr>
        <w:t>-</w:t>
      </w:r>
      <w:r w:rsidR="00F960D2" w:rsidRPr="00153074">
        <w:rPr>
          <w:lang w:val="es-ES_tradnl"/>
        </w:rPr>
        <w:t>público y privado, e identificar, con bancos multilaterales de desarrollo, una lista de iniciativas regionales concretas</w:t>
      </w:r>
      <w:r w:rsidR="002A7792" w:rsidRPr="00153074">
        <w:rPr>
          <w:lang w:val="es-ES_tradnl"/>
        </w:rPr>
        <w:t>”</w:t>
      </w:r>
      <w:r w:rsidR="00B1268C" w:rsidRPr="00153074">
        <w:rPr>
          <w:lang w:val="es-ES_tradnl"/>
        </w:rPr>
        <w:t xml:space="preserve"> (MDB 2011).</w:t>
      </w:r>
    </w:p>
    <w:p w:rsidR="00B1268C" w:rsidRPr="00153074" w:rsidRDefault="00B1268C" w:rsidP="007462FA">
      <w:pPr>
        <w:jc w:val="both"/>
        <w:rPr>
          <w:lang w:val="es-ES_tradnl"/>
        </w:rPr>
      </w:pPr>
    </w:p>
    <w:p w:rsidR="00F960D2" w:rsidRPr="00153074" w:rsidRDefault="00F960D2" w:rsidP="007462FA">
      <w:pPr>
        <w:jc w:val="both"/>
        <w:rPr>
          <w:lang w:val="es-ES_tradnl"/>
        </w:rPr>
      </w:pPr>
      <w:r w:rsidRPr="00153074">
        <w:rPr>
          <w:lang w:val="es-ES_tradnl"/>
        </w:rPr>
        <w:t>Mientras que el mandato inicial</w:t>
      </w:r>
      <w:r w:rsidR="006764EC" w:rsidRPr="00153074">
        <w:rPr>
          <w:lang w:val="es-ES_tradnl"/>
        </w:rPr>
        <w:t xml:space="preserve"> sobre infraestructura </w:t>
      </w:r>
      <w:r w:rsidR="00833157" w:rsidRPr="00153074">
        <w:rPr>
          <w:lang w:val="es-ES_tradnl"/>
        </w:rPr>
        <w:t>proporciona</w:t>
      </w:r>
      <w:r w:rsidR="006764EC" w:rsidRPr="00153074">
        <w:rPr>
          <w:lang w:val="es-ES_tradnl"/>
        </w:rPr>
        <w:t xml:space="preserve"> opciones de financiación </w:t>
      </w:r>
      <w:r w:rsidR="00833157" w:rsidRPr="00153074">
        <w:rPr>
          <w:lang w:val="es-ES_tradnl"/>
        </w:rPr>
        <w:t xml:space="preserve">tanto </w:t>
      </w:r>
      <w:r w:rsidR="006764EC" w:rsidRPr="00153074">
        <w:rPr>
          <w:lang w:val="es-ES_tradnl"/>
        </w:rPr>
        <w:t xml:space="preserve">pública </w:t>
      </w:r>
      <w:r w:rsidR="00833157" w:rsidRPr="00153074">
        <w:rPr>
          <w:lang w:val="es-ES_tradnl"/>
        </w:rPr>
        <w:t>como</w:t>
      </w:r>
      <w:r w:rsidR="006764EC" w:rsidRPr="00153074">
        <w:rPr>
          <w:lang w:val="es-ES_tradnl"/>
        </w:rPr>
        <w:t xml:space="preserve"> privada, los informes </w:t>
      </w:r>
      <w:r w:rsidR="00833157" w:rsidRPr="00153074">
        <w:rPr>
          <w:lang w:val="es-ES_tradnl"/>
        </w:rPr>
        <w:t xml:space="preserve">sobre infraestructura </w:t>
      </w:r>
      <w:r w:rsidR="006764EC" w:rsidRPr="00153074">
        <w:rPr>
          <w:lang w:val="es-ES_tradnl"/>
        </w:rPr>
        <w:t>preparados respectivamente por el PAN en no</w:t>
      </w:r>
      <w:r w:rsidR="0014572E" w:rsidRPr="00153074">
        <w:rPr>
          <w:lang w:val="es-ES_tradnl"/>
        </w:rPr>
        <w:t xml:space="preserve">viembre de 2011 (PAN 2011) y </w:t>
      </w:r>
      <w:r w:rsidR="006764EC" w:rsidRPr="00153074">
        <w:rPr>
          <w:lang w:val="es-ES_tradnl"/>
        </w:rPr>
        <w:t xml:space="preserve">los BMD </w:t>
      </w:r>
      <w:r w:rsidR="0014572E" w:rsidRPr="00153074">
        <w:rPr>
          <w:lang w:val="es-ES_tradnl"/>
        </w:rPr>
        <w:t>en</w:t>
      </w:r>
      <w:r w:rsidR="006764EC" w:rsidRPr="00153074">
        <w:rPr>
          <w:lang w:val="es-ES_tradnl"/>
        </w:rPr>
        <w:t xml:space="preserve"> abril de 2012 (BMD 2012)</w:t>
      </w:r>
      <w:r w:rsidR="008C36E5" w:rsidRPr="00153074">
        <w:rPr>
          <w:lang w:val="es-ES_tradnl"/>
        </w:rPr>
        <w:t>,</w:t>
      </w:r>
      <w:r w:rsidR="006764EC" w:rsidRPr="00153074">
        <w:rPr>
          <w:lang w:val="es-ES_tradnl"/>
        </w:rPr>
        <w:t xml:space="preserve"> </w:t>
      </w:r>
      <w:r w:rsidR="008C36E5" w:rsidRPr="00153074">
        <w:rPr>
          <w:lang w:val="es-ES_tradnl"/>
        </w:rPr>
        <w:t xml:space="preserve">se centran </w:t>
      </w:r>
      <w:r w:rsidR="006764EC" w:rsidRPr="00153074">
        <w:rPr>
          <w:lang w:val="es-ES_tradnl"/>
        </w:rPr>
        <w:t xml:space="preserve">unilateralmente en </w:t>
      </w:r>
      <w:r w:rsidR="008F4447" w:rsidRPr="00153074">
        <w:rPr>
          <w:lang w:val="es-ES_tradnl"/>
        </w:rPr>
        <w:t>ampliar</w:t>
      </w:r>
      <w:r w:rsidR="006764EC" w:rsidRPr="00153074">
        <w:rPr>
          <w:lang w:val="es-ES_tradnl"/>
        </w:rPr>
        <w:t xml:space="preserve"> los mode</w:t>
      </w:r>
      <w:r w:rsidR="00414A35" w:rsidRPr="00153074">
        <w:rPr>
          <w:lang w:val="es-ES_tradnl"/>
        </w:rPr>
        <w:t>l</w:t>
      </w:r>
      <w:r w:rsidR="006764EC" w:rsidRPr="00153074">
        <w:rPr>
          <w:lang w:val="es-ES_tradnl"/>
        </w:rPr>
        <w:t>os de infraestructura</w:t>
      </w:r>
      <w:r w:rsidR="00414A35" w:rsidRPr="00153074">
        <w:rPr>
          <w:lang w:val="es-ES_tradnl"/>
        </w:rPr>
        <w:t xml:space="preserve"> con contratos privados financiados por el sector privado en países en desarrollo.</w:t>
      </w:r>
      <w:r w:rsidR="00C60324" w:rsidRPr="00153074">
        <w:rPr>
          <w:lang w:val="es-ES_tradnl"/>
        </w:rPr>
        <w:t xml:space="preserve"> En realidad, ambos informes se inclinan</w:t>
      </w:r>
      <w:r w:rsidR="00414A35" w:rsidRPr="00153074">
        <w:rPr>
          <w:lang w:val="es-ES_tradnl"/>
        </w:rPr>
        <w:t xml:space="preserve"> </w:t>
      </w:r>
      <w:r w:rsidR="0014572E" w:rsidRPr="00153074">
        <w:rPr>
          <w:lang w:val="es-ES_tradnl"/>
        </w:rPr>
        <w:t>manifiestamente</w:t>
      </w:r>
      <w:r w:rsidR="00414A35" w:rsidRPr="00153074">
        <w:rPr>
          <w:lang w:val="es-ES_tradnl"/>
        </w:rPr>
        <w:t xml:space="preserve"> </w:t>
      </w:r>
      <w:r w:rsidR="00C60324" w:rsidRPr="00153074">
        <w:rPr>
          <w:lang w:val="es-ES_tradnl"/>
        </w:rPr>
        <w:t>a favor de las empresas</w:t>
      </w:r>
      <w:r w:rsidR="00414A35" w:rsidRPr="00153074">
        <w:rPr>
          <w:lang w:val="es-ES_tradnl"/>
        </w:rPr>
        <w:t xml:space="preserve"> y </w:t>
      </w:r>
      <w:r w:rsidR="00C60324" w:rsidRPr="00153074">
        <w:rPr>
          <w:lang w:val="es-ES_tradnl"/>
        </w:rPr>
        <w:t>de las</w:t>
      </w:r>
      <w:r w:rsidR="00414A35" w:rsidRPr="00153074">
        <w:rPr>
          <w:lang w:val="es-ES_tradnl"/>
        </w:rPr>
        <w:t xml:space="preserve"> </w:t>
      </w:r>
      <w:r w:rsidR="00E54F55" w:rsidRPr="00153074">
        <w:rPr>
          <w:lang w:val="es-ES_tradnl"/>
        </w:rPr>
        <w:t>APP</w:t>
      </w:r>
      <w:r w:rsidR="00C60324" w:rsidRPr="00153074">
        <w:rPr>
          <w:lang w:val="es-ES_tradnl"/>
        </w:rPr>
        <w:t>, y</w:t>
      </w:r>
      <w:r w:rsidR="00414A35" w:rsidRPr="00153074">
        <w:rPr>
          <w:lang w:val="es-ES_tradnl"/>
        </w:rPr>
        <w:t xml:space="preserve"> están redactados como</w:t>
      </w:r>
      <w:r w:rsidR="00556C6D" w:rsidRPr="00153074">
        <w:rPr>
          <w:lang w:val="es-ES_tradnl"/>
        </w:rPr>
        <w:t xml:space="preserve"> unas</w:t>
      </w:r>
      <w:r w:rsidR="00414A35" w:rsidRPr="00153074">
        <w:rPr>
          <w:lang w:val="es-ES_tradnl"/>
        </w:rPr>
        <w:t xml:space="preserve"> listas de la compra de lo que </w:t>
      </w:r>
      <w:r w:rsidR="00556C6D" w:rsidRPr="00153074">
        <w:rPr>
          <w:lang w:val="es-ES_tradnl"/>
        </w:rPr>
        <w:t xml:space="preserve">a </w:t>
      </w:r>
      <w:r w:rsidR="00414A35" w:rsidRPr="00153074">
        <w:rPr>
          <w:lang w:val="es-ES_tradnl"/>
        </w:rPr>
        <w:t xml:space="preserve">estos defensores de grupos </w:t>
      </w:r>
      <w:r w:rsidR="00556C6D" w:rsidRPr="00153074">
        <w:rPr>
          <w:lang w:val="es-ES_tradnl"/>
        </w:rPr>
        <w:t>les gustaría</w:t>
      </w:r>
      <w:r w:rsidR="00414A35" w:rsidRPr="00153074">
        <w:rPr>
          <w:lang w:val="es-ES_tradnl"/>
        </w:rPr>
        <w:t xml:space="preserve"> que sucediera en el futuro.</w:t>
      </w:r>
    </w:p>
    <w:p w:rsidR="00B1268C" w:rsidRPr="00153074" w:rsidRDefault="00B1268C" w:rsidP="007462FA">
      <w:pPr>
        <w:jc w:val="both"/>
        <w:rPr>
          <w:lang w:val="es-ES_tradnl"/>
        </w:rPr>
      </w:pPr>
    </w:p>
    <w:p w:rsidR="00B1268C" w:rsidRPr="00153074" w:rsidRDefault="00414A35" w:rsidP="007462FA">
      <w:pPr>
        <w:jc w:val="both"/>
        <w:rPr>
          <w:lang w:val="es-ES_tradnl"/>
        </w:rPr>
      </w:pPr>
      <w:r w:rsidRPr="00153074">
        <w:rPr>
          <w:lang w:val="es-ES_tradnl"/>
        </w:rPr>
        <w:t>Las recomendaciones clave incluyen</w:t>
      </w:r>
      <w:r w:rsidR="00B1268C" w:rsidRPr="00153074">
        <w:rPr>
          <w:lang w:val="es-ES_tradnl"/>
        </w:rPr>
        <w:t>:</w:t>
      </w:r>
    </w:p>
    <w:p w:rsidR="00B1268C" w:rsidRPr="00153074" w:rsidRDefault="00C60324" w:rsidP="007462FA">
      <w:pPr>
        <w:pStyle w:val="ListParagraph"/>
        <w:numPr>
          <w:ilvl w:val="0"/>
          <w:numId w:val="21"/>
        </w:numPr>
        <w:jc w:val="both"/>
        <w:rPr>
          <w:lang w:val="es-ES_tradnl"/>
        </w:rPr>
      </w:pPr>
      <w:r w:rsidRPr="00153074">
        <w:rPr>
          <w:lang w:val="es-ES_tradnl"/>
        </w:rPr>
        <w:t>a</w:t>
      </w:r>
      <w:r w:rsidR="00CE2308" w:rsidRPr="00153074">
        <w:rPr>
          <w:lang w:val="es-ES_tradnl"/>
        </w:rPr>
        <w:t xml:space="preserve">rmonizar las normas de contratación nacional que se ajusten a los acuerdos contractuales privados de las </w:t>
      </w:r>
      <w:r w:rsidR="00E54F55" w:rsidRPr="00153074">
        <w:rPr>
          <w:lang w:val="es-ES_tradnl"/>
        </w:rPr>
        <w:t>APP</w:t>
      </w:r>
      <w:r w:rsidR="00EF7DEA" w:rsidRPr="00153074">
        <w:rPr>
          <w:lang w:val="es-ES_tradnl"/>
        </w:rPr>
        <w:t>;</w:t>
      </w:r>
    </w:p>
    <w:p w:rsidR="00B1268C" w:rsidRPr="00153074" w:rsidRDefault="00C60324" w:rsidP="007462FA">
      <w:pPr>
        <w:pStyle w:val="ListParagraph"/>
        <w:numPr>
          <w:ilvl w:val="0"/>
          <w:numId w:val="21"/>
        </w:numPr>
        <w:jc w:val="both"/>
        <w:rPr>
          <w:rFonts w:cs="Arial"/>
          <w:lang w:val="es-ES_tradnl"/>
        </w:rPr>
      </w:pPr>
      <w:r w:rsidRPr="00153074">
        <w:rPr>
          <w:rFonts w:cs="Arial"/>
          <w:lang w:val="es-ES_tradnl"/>
        </w:rPr>
        <w:t>a</w:t>
      </w:r>
      <w:r w:rsidR="00CE2308" w:rsidRPr="00153074">
        <w:rPr>
          <w:rFonts w:cs="Arial"/>
          <w:lang w:val="es-ES_tradnl"/>
        </w:rPr>
        <w:t xml:space="preserve">poyar la creación de </w:t>
      </w:r>
      <w:r w:rsidR="002A7792" w:rsidRPr="00153074">
        <w:rPr>
          <w:rFonts w:cs="Arial"/>
          <w:lang w:val="es-ES_tradnl"/>
        </w:rPr>
        <w:t>“</w:t>
      </w:r>
      <w:r w:rsidR="00CE2308" w:rsidRPr="00153074">
        <w:rPr>
          <w:rFonts w:cs="Arial"/>
          <w:lang w:val="es-ES_tradnl"/>
        </w:rPr>
        <w:t xml:space="preserve">unidades de </w:t>
      </w:r>
      <w:r w:rsidR="00E54F55" w:rsidRPr="00153074">
        <w:rPr>
          <w:rFonts w:cs="Arial"/>
          <w:lang w:val="es-ES_tradnl"/>
        </w:rPr>
        <w:t>APP</w:t>
      </w:r>
      <w:r w:rsidR="002A7792" w:rsidRPr="00153074">
        <w:rPr>
          <w:rFonts w:cs="Arial"/>
          <w:lang w:val="es-ES_tradnl"/>
        </w:rPr>
        <w:t xml:space="preserve">” </w:t>
      </w:r>
      <w:r w:rsidR="00CE2308" w:rsidRPr="00153074">
        <w:rPr>
          <w:rFonts w:cs="Arial"/>
          <w:lang w:val="es-ES_tradnl"/>
        </w:rPr>
        <w:t xml:space="preserve">en países en desarrollo y la creación de </w:t>
      </w:r>
      <w:r w:rsidR="002A7792" w:rsidRPr="00153074">
        <w:rPr>
          <w:rFonts w:cs="Arial"/>
          <w:lang w:val="es-ES_tradnl"/>
        </w:rPr>
        <w:t>“</w:t>
      </w:r>
      <w:r w:rsidR="00CE2308" w:rsidRPr="00153074">
        <w:rPr>
          <w:rFonts w:cs="Arial"/>
          <w:lang w:val="es-ES_tradnl"/>
        </w:rPr>
        <w:t xml:space="preserve">redes de profesionales de las </w:t>
      </w:r>
      <w:r w:rsidR="00E54F55" w:rsidRPr="00153074">
        <w:rPr>
          <w:rFonts w:cs="Arial"/>
          <w:lang w:val="es-ES_tradnl"/>
        </w:rPr>
        <w:t>APP</w:t>
      </w:r>
      <w:r w:rsidR="002A7792" w:rsidRPr="00153074">
        <w:rPr>
          <w:rFonts w:cs="Arial"/>
          <w:lang w:val="es-ES_tradnl"/>
        </w:rPr>
        <w:t>”</w:t>
      </w:r>
      <w:r w:rsidR="00833C1B" w:rsidRPr="00153074">
        <w:rPr>
          <w:rFonts w:cs="Arial"/>
          <w:lang w:val="es-ES_tradnl"/>
        </w:rPr>
        <w:t>,</w:t>
      </w:r>
      <w:r w:rsidR="00CE2308" w:rsidRPr="00153074">
        <w:rPr>
          <w:rFonts w:cs="Arial"/>
          <w:lang w:val="es-ES_tradnl"/>
        </w:rPr>
        <w:t xml:space="preserve"> dirigidas por </w:t>
      </w:r>
      <w:r w:rsidRPr="00153074">
        <w:rPr>
          <w:rFonts w:cs="Arial"/>
          <w:lang w:val="es-ES_tradnl"/>
        </w:rPr>
        <w:t xml:space="preserve">un </w:t>
      </w:r>
      <w:r w:rsidR="00CE2308" w:rsidRPr="00153074">
        <w:rPr>
          <w:rFonts w:cs="Arial"/>
          <w:lang w:val="es-ES_tradnl"/>
        </w:rPr>
        <w:t>sector privado regional</w:t>
      </w:r>
      <w:r w:rsidR="00833C1B" w:rsidRPr="00153074">
        <w:rPr>
          <w:rFonts w:cs="Arial"/>
          <w:lang w:val="es-ES_tradnl"/>
        </w:rPr>
        <w:t>,</w:t>
      </w:r>
      <w:r w:rsidR="00CE2308" w:rsidRPr="00153074">
        <w:rPr>
          <w:rFonts w:cs="Arial"/>
          <w:lang w:val="es-ES_tradnl"/>
        </w:rPr>
        <w:t xml:space="preserve"> </w:t>
      </w:r>
      <w:r w:rsidR="0016088D" w:rsidRPr="00153074">
        <w:rPr>
          <w:rFonts w:cs="Arial"/>
          <w:lang w:val="es-ES_tradnl"/>
        </w:rPr>
        <w:t xml:space="preserve">que puedan proporcionar </w:t>
      </w:r>
      <w:r w:rsidR="002A7792" w:rsidRPr="00153074">
        <w:rPr>
          <w:rFonts w:cs="Arial"/>
          <w:lang w:val="es-ES_tradnl"/>
        </w:rPr>
        <w:t>“</w:t>
      </w:r>
      <w:r w:rsidR="0016088D" w:rsidRPr="00153074">
        <w:rPr>
          <w:rFonts w:cs="Arial"/>
          <w:lang w:val="es-ES_tradnl"/>
        </w:rPr>
        <w:t>asistencia técnica práctica</w:t>
      </w:r>
      <w:r w:rsidR="002A7792" w:rsidRPr="00153074">
        <w:rPr>
          <w:rFonts w:cs="Arial"/>
          <w:lang w:val="es-ES_tradnl"/>
        </w:rPr>
        <w:t>”</w:t>
      </w:r>
      <w:r w:rsidR="0016088D" w:rsidRPr="00153074">
        <w:rPr>
          <w:rFonts w:cs="Arial"/>
          <w:lang w:val="es-ES_tradnl"/>
        </w:rPr>
        <w:t xml:space="preserve"> a los </w:t>
      </w:r>
      <w:r w:rsidR="00864464" w:rsidRPr="00153074">
        <w:rPr>
          <w:rFonts w:cs="Arial"/>
          <w:lang w:val="es-ES_tradnl"/>
        </w:rPr>
        <w:t>Gobierno</w:t>
      </w:r>
      <w:r w:rsidR="0016088D" w:rsidRPr="00153074">
        <w:rPr>
          <w:rFonts w:cs="Arial"/>
          <w:lang w:val="es-ES_tradnl"/>
        </w:rPr>
        <w:t xml:space="preserve">s receptores y </w:t>
      </w:r>
      <w:r w:rsidR="00833C1B" w:rsidRPr="00153074">
        <w:rPr>
          <w:rFonts w:cs="Arial"/>
          <w:lang w:val="es-ES_tradnl"/>
        </w:rPr>
        <w:t>encauzar</w:t>
      </w:r>
      <w:r w:rsidR="0016088D" w:rsidRPr="00153074">
        <w:rPr>
          <w:rFonts w:cs="Arial"/>
          <w:lang w:val="es-ES_tradnl"/>
        </w:rPr>
        <w:t xml:space="preserve"> </w:t>
      </w:r>
      <w:r w:rsidR="002A7792" w:rsidRPr="00153074">
        <w:rPr>
          <w:rFonts w:cs="Arial"/>
          <w:lang w:val="es-ES_tradnl"/>
        </w:rPr>
        <w:t>“</w:t>
      </w:r>
      <w:r w:rsidR="0016088D" w:rsidRPr="00153074">
        <w:rPr>
          <w:rFonts w:cs="Arial"/>
          <w:lang w:val="es-ES_tradnl"/>
        </w:rPr>
        <w:t>los conocimientos hacia la adopción de buenas prácticas por parte de los responsables políticos</w:t>
      </w:r>
      <w:r w:rsidR="002A7792" w:rsidRPr="00153074">
        <w:rPr>
          <w:rFonts w:cs="Arial"/>
          <w:lang w:val="es-ES_tradnl"/>
        </w:rPr>
        <w:t>”</w:t>
      </w:r>
      <w:r w:rsidR="00B1268C" w:rsidRPr="00153074">
        <w:rPr>
          <w:rFonts w:cs="Arial"/>
          <w:lang w:val="es-ES_tradnl"/>
        </w:rPr>
        <w:t>;</w:t>
      </w:r>
    </w:p>
    <w:p w:rsidR="00B1268C" w:rsidRPr="00153074" w:rsidRDefault="0016088D" w:rsidP="007462FA">
      <w:pPr>
        <w:pStyle w:val="ListParagraph"/>
        <w:numPr>
          <w:ilvl w:val="0"/>
          <w:numId w:val="21"/>
        </w:numPr>
        <w:jc w:val="both"/>
        <w:rPr>
          <w:lang w:val="es-ES_tradnl"/>
        </w:rPr>
      </w:pPr>
      <w:r w:rsidRPr="00153074">
        <w:rPr>
          <w:lang w:val="es-ES_tradnl"/>
        </w:rPr>
        <w:t xml:space="preserve">establecer </w:t>
      </w:r>
      <w:r w:rsidR="002A7792" w:rsidRPr="00153074">
        <w:rPr>
          <w:lang w:val="es-ES_tradnl"/>
        </w:rPr>
        <w:t>“</w:t>
      </w:r>
      <w:r w:rsidRPr="00153074">
        <w:rPr>
          <w:lang w:val="es-ES_tradnl"/>
        </w:rPr>
        <w:t>plataformas de mercados regionales en línea</w:t>
      </w:r>
      <w:r w:rsidR="002A7792" w:rsidRPr="00153074">
        <w:rPr>
          <w:lang w:val="es-ES_tradnl"/>
        </w:rPr>
        <w:t>”</w:t>
      </w:r>
      <w:r w:rsidRPr="00153074">
        <w:rPr>
          <w:lang w:val="es-ES_tradnl"/>
        </w:rPr>
        <w:t xml:space="preserve"> para intercambiar información sobre proyectos de infraestructura a fin de </w:t>
      </w:r>
      <w:r w:rsidR="002A7792" w:rsidRPr="00153074">
        <w:rPr>
          <w:lang w:val="es-ES_tradnl"/>
        </w:rPr>
        <w:t>“</w:t>
      </w:r>
      <w:r w:rsidRPr="00153074">
        <w:rPr>
          <w:lang w:val="es-ES_tradnl"/>
        </w:rPr>
        <w:t>vincular específicamente entidades financieras y</w:t>
      </w:r>
      <w:r w:rsidR="00246E9D" w:rsidRPr="00153074">
        <w:rPr>
          <w:lang w:val="es-ES_tradnl"/>
        </w:rPr>
        <w:t xml:space="preserve"> patrocinadoras de proyectos</w:t>
      </w:r>
      <w:r w:rsidR="002A7792" w:rsidRPr="00153074">
        <w:rPr>
          <w:lang w:val="es-ES_tradnl"/>
        </w:rPr>
        <w:t>”</w:t>
      </w:r>
      <w:r w:rsidR="00246E9D" w:rsidRPr="00153074">
        <w:rPr>
          <w:lang w:val="es-ES_tradnl"/>
        </w:rPr>
        <w:t>,</w:t>
      </w:r>
      <w:r w:rsidR="00B1268C" w:rsidRPr="00153074">
        <w:rPr>
          <w:lang w:val="es-ES_tradnl"/>
        </w:rPr>
        <w:t xml:space="preserve"> </w:t>
      </w:r>
      <w:r w:rsidR="00246E9D" w:rsidRPr="00153074">
        <w:rPr>
          <w:lang w:val="es-ES_tradnl"/>
        </w:rPr>
        <w:t xml:space="preserve">como </w:t>
      </w:r>
      <w:r w:rsidR="00A65F6F" w:rsidRPr="00153074">
        <w:rPr>
          <w:lang w:val="es-ES_tradnl"/>
        </w:rPr>
        <w:t>el</w:t>
      </w:r>
      <w:r w:rsidR="00246E9D" w:rsidRPr="00153074">
        <w:rPr>
          <w:lang w:val="es-ES_tradnl"/>
        </w:rPr>
        <w:t xml:space="preserve"> </w:t>
      </w:r>
      <w:r w:rsidR="00A65F6F" w:rsidRPr="00153074">
        <w:rPr>
          <w:lang w:val="es-ES_tradnl"/>
        </w:rPr>
        <w:t>recién</w:t>
      </w:r>
      <w:r w:rsidR="00246E9D" w:rsidRPr="00153074">
        <w:rPr>
          <w:lang w:val="es-ES_tradnl"/>
        </w:rPr>
        <w:t xml:space="preserve"> cread</w:t>
      </w:r>
      <w:r w:rsidR="0032021A" w:rsidRPr="00153074">
        <w:rPr>
          <w:lang w:val="es-ES_tradnl"/>
        </w:rPr>
        <w:t>o</w:t>
      </w:r>
      <w:r w:rsidR="00246E9D" w:rsidRPr="00153074">
        <w:rPr>
          <w:lang w:val="es-ES_tradnl"/>
        </w:rPr>
        <w:t xml:space="preserve"> </w:t>
      </w:r>
      <w:r w:rsidR="00B1268C" w:rsidRPr="00153074">
        <w:rPr>
          <w:lang w:val="es-ES_tradnl"/>
        </w:rPr>
        <w:t>Sokoni Africa Infrastructure Marketplace;</w:t>
      </w:r>
    </w:p>
    <w:p w:rsidR="00B1268C" w:rsidRPr="00153074" w:rsidRDefault="002A7792" w:rsidP="007462FA">
      <w:pPr>
        <w:pStyle w:val="ListParagraph"/>
        <w:numPr>
          <w:ilvl w:val="0"/>
          <w:numId w:val="21"/>
        </w:numPr>
        <w:jc w:val="both"/>
        <w:rPr>
          <w:lang w:val="es-ES_tradnl"/>
        </w:rPr>
      </w:pPr>
      <w:r w:rsidRPr="00153074">
        <w:rPr>
          <w:lang w:val="es-ES_tradnl"/>
        </w:rPr>
        <w:t>“</w:t>
      </w:r>
      <w:r w:rsidR="00C60324" w:rsidRPr="00153074">
        <w:rPr>
          <w:lang w:val="es-ES_tradnl"/>
        </w:rPr>
        <w:t>a</w:t>
      </w:r>
      <w:r w:rsidR="00246E9D" w:rsidRPr="00153074">
        <w:rPr>
          <w:lang w:val="es-ES_tradnl"/>
        </w:rPr>
        <w:t>mpliar</w:t>
      </w:r>
      <w:r w:rsidRPr="00153074">
        <w:rPr>
          <w:lang w:val="es-ES_tradnl"/>
        </w:rPr>
        <w:t>”</w:t>
      </w:r>
      <w:r w:rsidR="00246E9D" w:rsidRPr="00153074">
        <w:rPr>
          <w:lang w:val="es-ES_tradnl"/>
        </w:rPr>
        <w:t xml:space="preserve"> la Iniciativa para la Transparencia del Sector de la Construcción</w:t>
      </w:r>
      <w:r w:rsidR="00B1268C" w:rsidRPr="00153074">
        <w:rPr>
          <w:lang w:val="es-ES_tradnl"/>
        </w:rPr>
        <w:t xml:space="preserve"> (CoST)</w:t>
      </w:r>
      <w:r w:rsidR="00776451" w:rsidRPr="00153074">
        <w:rPr>
          <w:lang w:val="es-ES_tradnl"/>
        </w:rPr>
        <w:t xml:space="preserve"> – </w:t>
      </w:r>
      <w:r w:rsidR="00246E9D" w:rsidRPr="00153074">
        <w:rPr>
          <w:lang w:val="es-ES_tradnl"/>
        </w:rPr>
        <w:t xml:space="preserve">una plataforma industrial </w:t>
      </w:r>
      <w:r w:rsidR="00A65F6F" w:rsidRPr="00153074">
        <w:rPr>
          <w:lang w:val="es-ES_tradnl"/>
        </w:rPr>
        <w:t>de carácter voluntario</w:t>
      </w:r>
      <w:r w:rsidR="00246E9D" w:rsidRPr="00153074">
        <w:rPr>
          <w:lang w:val="es-ES_tradnl"/>
        </w:rPr>
        <w:t xml:space="preserve"> </w:t>
      </w:r>
      <w:r w:rsidR="0032021A" w:rsidRPr="00153074">
        <w:rPr>
          <w:lang w:val="es-ES_tradnl"/>
        </w:rPr>
        <w:t>dedicada a la</w:t>
      </w:r>
      <w:r w:rsidR="00246E9D" w:rsidRPr="00153074">
        <w:rPr>
          <w:lang w:val="es-ES_tradnl"/>
        </w:rPr>
        <w:t xml:space="preserve"> transparencia y </w:t>
      </w:r>
      <w:r w:rsidR="0032021A" w:rsidRPr="00153074">
        <w:rPr>
          <w:lang w:val="es-ES_tradnl"/>
        </w:rPr>
        <w:t xml:space="preserve">la </w:t>
      </w:r>
      <w:r w:rsidR="00246E9D" w:rsidRPr="00153074">
        <w:rPr>
          <w:lang w:val="es-ES_tradnl"/>
        </w:rPr>
        <w:t xml:space="preserve">competencia de los procedimientos de las </w:t>
      </w:r>
      <w:r w:rsidR="00E54F55" w:rsidRPr="00153074">
        <w:rPr>
          <w:lang w:val="es-ES_tradnl"/>
        </w:rPr>
        <w:t>APP</w:t>
      </w:r>
      <w:r w:rsidR="00B1268C" w:rsidRPr="00153074">
        <w:rPr>
          <w:lang w:val="es-ES_tradnl"/>
        </w:rPr>
        <w:t>;</w:t>
      </w:r>
    </w:p>
    <w:p w:rsidR="00B1268C" w:rsidRPr="00153074" w:rsidRDefault="00C60324" w:rsidP="007462FA">
      <w:pPr>
        <w:pStyle w:val="ListParagraph"/>
        <w:numPr>
          <w:ilvl w:val="0"/>
          <w:numId w:val="21"/>
        </w:numPr>
        <w:jc w:val="both"/>
        <w:rPr>
          <w:lang w:val="es-ES_tradnl"/>
        </w:rPr>
      </w:pPr>
      <w:r w:rsidRPr="00153074">
        <w:rPr>
          <w:lang w:val="es-ES_tradnl"/>
        </w:rPr>
        <w:t>i</w:t>
      </w:r>
      <w:r w:rsidR="00246E9D" w:rsidRPr="00153074">
        <w:rPr>
          <w:lang w:val="es-ES_tradnl"/>
        </w:rPr>
        <w:t xml:space="preserve">dentificar proyectos pilotos </w:t>
      </w:r>
      <w:r w:rsidR="002A7792" w:rsidRPr="00153074">
        <w:rPr>
          <w:lang w:val="es-ES_tradnl"/>
        </w:rPr>
        <w:t>“</w:t>
      </w:r>
      <w:r w:rsidR="00A65F6F" w:rsidRPr="00153074">
        <w:rPr>
          <w:lang w:val="es-ES_tradnl"/>
        </w:rPr>
        <w:t>catalizadores</w:t>
      </w:r>
      <w:r w:rsidR="002A7792" w:rsidRPr="00153074">
        <w:rPr>
          <w:lang w:val="es-ES_tradnl"/>
        </w:rPr>
        <w:t>”</w:t>
      </w:r>
      <w:r w:rsidR="00B1268C" w:rsidRPr="00153074">
        <w:rPr>
          <w:lang w:val="es-ES_tradnl"/>
        </w:rPr>
        <w:t xml:space="preserve"> </w:t>
      </w:r>
      <w:r w:rsidR="00246E9D" w:rsidRPr="00153074">
        <w:rPr>
          <w:lang w:val="es-ES_tradnl"/>
        </w:rPr>
        <w:t xml:space="preserve">de las </w:t>
      </w:r>
      <w:r w:rsidR="00E54F55" w:rsidRPr="00153074">
        <w:rPr>
          <w:lang w:val="es-ES_tradnl"/>
        </w:rPr>
        <w:t>APP</w:t>
      </w:r>
      <w:r w:rsidR="00246E9D" w:rsidRPr="00153074">
        <w:rPr>
          <w:lang w:val="es-ES_tradnl"/>
        </w:rPr>
        <w:t xml:space="preserve"> en toda la región.</w:t>
      </w:r>
    </w:p>
    <w:p w:rsidR="00B1268C" w:rsidRPr="00153074" w:rsidRDefault="00B1268C" w:rsidP="007462FA">
      <w:pPr>
        <w:jc w:val="both"/>
        <w:rPr>
          <w:lang w:val="es-ES_tradnl"/>
        </w:rPr>
      </w:pPr>
    </w:p>
    <w:p w:rsidR="00FF15C9" w:rsidRPr="00153074" w:rsidRDefault="005B5449" w:rsidP="00FF15C9">
      <w:pPr>
        <w:pStyle w:val="Heading3"/>
        <w:rPr>
          <w:lang w:val="es-ES_tradnl"/>
        </w:rPr>
      </w:pPr>
      <w:bookmarkStart w:id="47" w:name="_Toc359331981"/>
      <w:bookmarkStart w:id="48" w:name="_Toc369604916"/>
      <w:r w:rsidRPr="00153074">
        <w:rPr>
          <w:lang w:val="es-ES_tradnl"/>
        </w:rPr>
        <w:t xml:space="preserve">Cambiar el </w:t>
      </w:r>
      <w:r w:rsidR="002A7792" w:rsidRPr="00153074">
        <w:rPr>
          <w:lang w:val="es-ES_tradnl"/>
        </w:rPr>
        <w:t>“</w:t>
      </w:r>
      <w:r w:rsidRPr="00153074">
        <w:rPr>
          <w:lang w:val="es-ES_tradnl"/>
        </w:rPr>
        <w:t>modelo empresarial</w:t>
      </w:r>
      <w:r w:rsidR="002A7792" w:rsidRPr="00153074">
        <w:rPr>
          <w:lang w:val="es-ES_tradnl"/>
        </w:rPr>
        <w:t>”</w:t>
      </w:r>
      <w:r w:rsidRPr="00153074">
        <w:rPr>
          <w:lang w:val="es-ES_tradnl"/>
        </w:rPr>
        <w:t xml:space="preserve"> de los BMD</w:t>
      </w:r>
      <w:bookmarkEnd w:id="47"/>
      <w:bookmarkEnd w:id="48"/>
    </w:p>
    <w:p w:rsidR="00B1268C" w:rsidRPr="00153074" w:rsidRDefault="005B5449" w:rsidP="007462FA">
      <w:pPr>
        <w:jc w:val="both"/>
        <w:rPr>
          <w:lang w:val="es-ES_tradnl"/>
        </w:rPr>
      </w:pPr>
      <w:r w:rsidRPr="00153074">
        <w:rPr>
          <w:lang w:val="es-ES_tradnl"/>
        </w:rPr>
        <w:t>Pero fundamentalmente, el trabajo del G20 indica un cambio en el modelo empresarial de los BMD</w:t>
      </w:r>
      <w:r w:rsidR="00562DF0" w:rsidRPr="00153074">
        <w:rPr>
          <w:lang w:val="es-ES_tradnl"/>
        </w:rPr>
        <w:t xml:space="preserve"> – un </w:t>
      </w:r>
      <w:r w:rsidR="002A7792" w:rsidRPr="00153074">
        <w:rPr>
          <w:lang w:val="es-ES_tradnl"/>
        </w:rPr>
        <w:t>“</w:t>
      </w:r>
      <w:r w:rsidRPr="00153074">
        <w:rPr>
          <w:lang w:val="es-ES_tradnl"/>
        </w:rPr>
        <w:t>cambio cultural</w:t>
      </w:r>
      <w:r w:rsidR="002A7792" w:rsidRPr="00153074">
        <w:rPr>
          <w:lang w:val="es-ES_tradnl"/>
        </w:rPr>
        <w:t>”</w:t>
      </w:r>
      <w:r w:rsidR="00562DF0" w:rsidRPr="00153074">
        <w:rPr>
          <w:lang w:val="es-ES_tradnl"/>
        </w:rPr>
        <w:t>,</w:t>
      </w:r>
      <w:r w:rsidRPr="00153074">
        <w:rPr>
          <w:lang w:val="es-ES_tradnl"/>
        </w:rPr>
        <w:t xml:space="preserve"> </w:t>
      </w:r>
      <w:r w:rsidR="00A65F6F" w:rsidRPr="00153074">
        <w:rPr>
          <w:lang w:val="es-ES_tradnl"/>
        </w:rPr>
        <w:t xml:space="preserve">al pasar </w:t>
      </w:r>
      <w:r w:rsidRPr="00153074">
        <w:rPr>
          <w:lang w:val="es-ES_tradnl"/>
        </w:rPr>
        <w:t xml:space="preserve">de la tendencia a prestar (es decir la función tradicional de un banco) a </w:t>
      </w:r>
      <w:r w:rsidR="002A7792" w:rsidRPr="00153074">
        <w:rPr>
          <w:lang w:val="es-ES_tradnl"/>
        </w:rPr>
        <w:t>“</w:t>
      </w:r>
      <w:r w:rsidRPr="00153074">
        <w:rPr>
          <w:lang w:val="es-ES_tradnl"/>
        </w:rPr>
        <w:t>favorecer</w:t>
      </w:r>
      <w:r w:rsidR="002A7792" w:rsidRPr="00153074">
        <w:rPr>
          <w:lang w:val="es-ES_tradnl"/>
        </w:rPr>
        <w:t>”</w:t>
      </w:r>
      <w:r w:rsidR="00562DF0" w:rsidRPr="00153074">
        <w:rPr>
          <w:lang w:val="es-ES_tradnl"/>
        </w:rPr>
        <w:t xml:space="preserve"> y</w:t>
      </w:r>
      <w:r w:rsidR="00A65F6F" w:rsidRPr="00153074">
        <w:rPr>
          <w:lang w:val="es-ES_tradnl"/>
        </w:rPr>
        <w:t xml:space="preserve"> </w:t>
      </w:r>
      <w:r w:rsidR="002A7792" w:rsidRPr="00153074">
        <w:rPr>
          <w:lang w:val="es-ES_tradnl"/>
        </w:rPr>
        <w:t>“</w:t>
      </w:r>
      <w:r w:rsidRPr="00153074">
        <w:rPr>
          <w:lang w:val="es-ES_tradnl"/>
        </w:rPr>
        <w:t>asistir</w:t>
      </w:r>
      <w:r w:rsidR="002A7792" w:rsidRPr="00153074">
        <w:rPr>
          <w:lang w:val="es-ES_tradnl"/>
        </w:rPr>
        <w:t>”</w:t>
      </w:r>
      <w:r w:rsidRPr="00153074">
        <w:rPr>
          <w:lang w:val="es-ES_tradnl"/>
        </w:rPr>
        <w:t xml:space="preserve"> </w:t>
      </w:r>
      <w:r w:rsidR="00A65F6F" w:rsidRPr="00153074">
        <w:rPr>
          <w:lang w:val="es-ES_tradnl"/>
        </w:rPr>
        <w:t xml:space="preserve">al </w:t>
      </w:r>
      <w:r w:rsidRPr="00153074">
        <w:rPr>
          <w:lang w:val="es-ES_tradnl"/>
        </w:rPr>
        <w:t>capital privado a través de subvenciones, garantías públicas y</w:t>
      </w:r>
      <w:r w:rsidR="000A4A18" w:rsidRPr="00153074">
        <w:rPr>
          <w:lang w:val="es-ES_tradnl"/>
        </w:rPr>
        <w:t xml:space="preserve"> productos de reducción de riesgos de </w:t>
      </w:r>
      <w:r w:rsidR="002A7792" w:rsidRPr="00153074">
        <w:rPr>
          <w:lang w:val="es-ES_tradnl"/>
        </w:rPr>
        <w:t>“</w:t>
      </w:r>
      <w:r w:rsidR="000A4A18" w:rsidRPr="00153074">
        <w:rPr>
          <w:lang w:val="es-ES_tradnl"/>
        </w:rPr>
        <w:t>financiación innovadora</w:t>
      </w:r>
      <w:r w:rsidR="002A7792" w:rsidRPr="00153074">
        <w:rPr>
          <w:lang w:val="es-ES_tradnl"/>
        </w:rPr>
        <w:t>”</w:t>
      </w:r>
      <w:r w:rsidR="000A4A18" w:rsidRPr="00153074">
        <w:rPr>
          <w:lang w:val="es-ES_tradnl"/>
        </w:rPr>
        <w:t xml:space="preserve">. Se solicita a los BMD que modernicen sus </w:t>
      </w:r>
      <w:r w:rsidR="002A7792" w:rsidRPr="00153074">
        <w:rPr>
          <w:lang w:val="es-ES_tradnl"/>
        </w:rPr>
        <w:t>“</w:t>
      </w:r>
      <w:r w:rsidR="00562DF0" w:rsidRPr="00153074">
        <w:rPr>
          <w:lang w:val="es-ES_tradnl"/>
        </w:rPr>
        <w:t>instrumentos</w:t>
      </w:r>
      <w:r w:rsidR="000A4A18" w:rsidRPr="00153074">
        <w:rPr>
          <w:lang w:val="es-ES_tradnl"/>
        </w:rPr>
        <w:t xml:space="preserve"> de mejora de créditos</w:t>
      </w:r>
      <w:r w:rsidR="002A7792" w:rsidRPr="00153074">
        <w:rPr>
          <w:lang w:val="es-ES_tradnl"/>
        </w:rPr>
        <w:t>”</w:t>
      </w:r>
      <w:r w:rsidR="000A4A18" w:rsidRPr="00153074">
        <w:rPr>
          <w:lang w:val="es-ES_tradnl"/>
        </w:rPr>
        <w:t xml:space="preserve">, </w:t>
      </w:r>
      <w:r w:rsidR="006577F4" w:rsidRPr="00153074">
        <w:rPr>
          <w:lang w:val="es-ES_tradnl"/>
        </w:rPr>
        <w:t>que se impliquen</w:t>
      </w:r>
      <w:r w:rsidR="000A4A18" w:rsidRPr="00153074">
        <w:rPr>
          <w:lang w:val="es-ES_tradnl"/>
        </w:rPr>
        <w:t xml:space="preserve"> directamente con nuevos inversores a través de </w:t>
      </w:r>
      <w:r w:rsidR="002A7792" w:rsidRPr="00153074">
        <w:rPr>
          <w:lang w:val="es-ES_tradnl"/>
        </w:rPr>
        <w:t>“</w:t>
      </w:r>
      <w:r w:rsidR="000A4A18" w:rsidRPr="00153074">
        <w:rPr>
          <w:lang w:val="es-ES_tradnl"/>
        </w:rPr>
        <w:t>eventos</w:t>
      </w:r>
      <w:r w:rsidR="002A7792" w:rsidRPr="00153074">
        <w:rPr>
          <w:lang w:val="es-ES_tradnl"/>
        </w:rPr>
        <w:t>”</w:t>
      </w:r>
      <w:r w:rsidR="000A4A18" w:rsidRPr="00153074">
        <w:rPr>
          <w:lang w:val="es-ES_tradnl"/>
        </w:rPr>
        <w:t xml:space="preserve"> y </w:t>
      </w:r>
      <w:r w:rsidR="006577F4" w:rsidRPr="00153074">
        <w:rPr>
          <w:lang w:val="es-ES_tradnl"/>
        </w:rPr>
        <w:t xml:space="preserve">que apliquen </w:t>
      </w:r>
      <w:r w:rsidR="002A7792" w:rsidRPr="00153074">
        <w:rPr>
          <w:lang w:val="es-ES_tradnl"/>
        </w:rPr>
        <w:t>“</w:t>
      </w:r>
      <w:r w:rsidR="000A4A18" w:rsidRPr="00153074">
        <w:rPr>
          <w:lang w:val="es-ES_tradnl"/>
        </w:rPr>
        <w:t>instrumentos de financiación innovadora</w:t>
      </w:r>
      <w:r w:rsidR="002A7792" w:rsidRPr="00153074">
        <w:rPr>
          <w:lang w:val="es-ES_tradnl"/>
        </w:rPr>
        <w:t>”</w:t>
      </w:r>
      <w:r w:rsidR="000A4A18" w:rsidRPr="00153074">
        <w:rPr>
          <w:lang w:val="es-ES_tradnl"/>
        </w:rPr>
        <w:t xml:space="preserve">. Los BMD deberían introducir </w:t>
      </w:r>
      <w:r w:rsidR="002A7792" w:rsidRPr="00153074">
        <w:rPr>
          <w:lang w:val="es-ES_tradnl"/>
        </w:rPr>
        <w:t>“</w:t>
      </w:r>
      <w:r w:rsidR="000A4A18" w:rsidRPr="00153074">
        <w:rPr>
          <w:lang w:val="es-ES_tradnl"/>
        </w:rPr>
        <w:t>incentivos para el personal</w:t>
      </w:r>
      <w:r w:rsidR="002A7792" w:rsidRPr="00153074">
        <w:rPr>
          <w:lang w:val="es-ES_tradnl"/>
        </w:rPr>
        <w:t>”</w:t>
      </w:r>
      <w:r w:rsidR="000A4A18" w:rsidRPr="00153074">
        <w:rPr>
          <w:lang w:val="es-ES_tradnl"/>
        </w:rPr>
        <w:t xml:space="preserve"> a fin de participar en proyectos regionales </w:t>
      </w:r>
      <w:r w:rsidR="006577F4" w:rsidRPr="00153074">
        <w:rPr>
          <w:lang w:val="es-ES_tradnl"/>
        </w:rPr>
        <w:t xml:space="preserve">y transacciones </w:t>
      </w:r>
      <w:r w:rsidR="000A4A18" w:rsidRPr="00153074">
        <w:rPr>
          <w:lang w:val="es-ES_tradnl"/>
        </w:rPr>
        <w:t xml:space="preserve">de las </w:t>
      </w:r>
      <w:r w:rsidR="00E54F55" w:rsidRPr="00153074">
        <w:rPr>
          <w:lang w:val="es-ES_tradnl"/>
        </w:rPr>
        <w:t>APP</w:t>
      </w:r>
      <w:r w:rsidR="000A4A18" w:rsidRPr="00153074">
        <w:rPr>
          <w:lang w:val="es-ES_tradnl"/>
        </w:rPr>
        <w:t xml:space="preserve"> y facilitar la colaboración con el sector privado</w:t>
      </w:r>
      <w:r w:rsidR="002A7792" w:rsidRPr="00153074">
        <w:rPr>
          <w:lang w:val="es-ES_tradnl"/>
        </w:rPr>
        <w:t>”</w:t>
      </w:r>
      <w:r w:rsidR="00B1268C" w:rsidRPr="00153074">
        <w:rPr>
          <w:lang w:val="es-ES_tradnl"/>
        </w:rPr>
        <w:t xml:space="preserve"> (MDB 2012, 2.6</w:t>
      </w:r>
      <w:r w:rsidR="00E923A9" w:rsidRPr="00153074">
        <w:rPr>
          <w:lang w:val="es-ES_tradnl"/>
        </w:rPr>
        <w:t xml:space="preserve"> y</w:t>
      </w:r>
      <w:r w:rsidR="00B1268C" w:rsidRPr="00153074">
        <w:rPr>
          <w:lang w:val="es-ES_tradnl"/>
        </w:rPr>
        <w:t xml:space="preserve"> HLP 2011, 24)</w:t>
      </w:r>
      <w:r w:rsidR="006577F4" w:rsidRPr="00153074">
        <w:rPr>
          <w:lang w:val="es-ES_tradnl"/>
        </w:rPr>
        <w:t>, entre otras cosas</w:t>
      </w:r>
      <w:r w:rsidR="00E923A9" w:rsidRPr="00153074">
        <w:rPr>
          <w:lang w:val="es-ES_tradnl"/>
        </w:rPr>
        <w:t xml:space="preserve"> </w:t>
      </w:r>
      <w:r w:rsidR="002A7792" w:rsidRPr="00153074">
        <w:rPr>
          <w:lang w:val="es-ES_tradnl"/>
        </w:rPr>
        <w:t>“</w:t>
      </w:r>
      <w:r w:rsidR="00E923A9" w:rsidRPr="00153074">
        <w:rPr>
          <w:lang w:val="es-ES_tradnl"/>
        </w:rPr>
        <w:t>para</w:t>
      </w:r>
      <w:r w:rsidR="00283BD6" w:rsidRPr="00153074">
        <w:rPr>
          <w:lang w:val="es-ES_tradnl"/>
        </w:rPr>
        <w:t xml:space="preserve"> </w:t>
      </w:r>
      <w:r w:rsidR="00E923A9" w:rsidRPr="00153074">
        <w:rPr>
          <w:lang w:val="es-ES_tradnl"/>
        </w:rPr>
        <w:t xml:space="preserve">adaptar las </w:t>
      </w:r>
      <w:r w:rsidR="00E54F55" w:rsidRPr="00153074">
        <w:rPr>
          <w:lang w:val="es-ES_tradnl"/>
        </w:rPr>
        <w:t>APP</w:t>
      </w:r>
      <w:r w:rsidR="002A7792" w:rsidRPr="00153074">
        <w:rPr>
          <w:lang w:val="es-ES_tradnl"/>
        </w:rPr>
        <w:t>”</w:t>
      </w:r>
      <w:r w:rsidR="00E923A9" w:rsidRPr="00153074">
        <w:rPr>
          <w:lang w:val="es-ES_tradnl"/>
        </w:rPr>
        <w:t xml:space="preserve"> </w:t>
      </w:r>
      <w:r w:rsidR="00B1268C" w:rsidRPr="00153074">
        <w:rPr>
          <w:lang w:val="es-ES_tradnl"/>
        </w:rPr>
        <w:t xml:space="preserve">(HLP 2011 #23). </w:t>
      </w:r>
      <w:r w:rsidR="00E923A9" w:rsidRPr="00153074">
        <w:rPr>
          <w:lang w:val="es-ES_tradnl"/>
        </w:rPr>
        <w:t xml:space="preserve">Debería prevalecer un </w:t>
      </w:r>
      <w:r w:rsidR="002A7792" w:rsidRPr="00153074">
        <w:rPr>
          <w:lang w:val="es-ES_tradnl"/>
        </w:rPr>
        <w:t>“</w:t>
      </w:r>
      <w:r w:rsidR="00E923A9" w:rsidRPr="00153074">
        <w:rPr>
          <w:lang w:val="es-ES_tradnl"/>
        </w:rPr>
        <w:t>enfoque más flexible a</w:t>
      </w:r>
      <w:r w:rsidR="00B1268C" w:rsidRPr="00153074">
        <w:rPr>
          <w:lang w:val="es-ES_tradnl"/>
        </w:rPr>
        <w:t xml:space="preserve"> </w:t>
      </w:r>
      <w:r w:rsidR="001306E9" w:rsidRPr="00153074">
        <w:rPr>
          <w:lang w:val="es-ES_tradnl"/>
        </w:rPr>
        <w:t xml:space="preserve">las </w:t>
      </w:r>
      <w:r w:rsidR="00E54F55" w:rsidRPr="00153074">
        <w:rPr>
          <w:lang w:val="es-ES_tradnl"/>
        </w:rPr>
        <w:t>APP</w:t>
      </w:r>
      <w:r w:rsidR="002A7792" w:rsidRPr="00153074">
        <w:rPr>
          <w:lang w:val="es-ES_tradnl"/>
        </w:rPr>
        <w:t>”</w:t>
      </w:r>
      <w:r w:rsidR="00E923A9" w:rsidRPr="00153074">
        <w:rPr>
          <w:lang w:val="es-ES_tradnl"/>
        </w:rPr>
        <w:t xml:space="preserve">, </w:t>
      </w:r>
      <w:r w:rsidR="002A7792" w:rsidRPr="00153074">
        <w:rPr>
          <w:lang w:val="es-ES_tradnl"/>
        </w:rPr>
        <w:t>“</w:t>
      </w:r>
      <w:r w:rsidR="00E923A9" w:rsidRPr="00153074">
        <w:rPr>
          <w:lang w:val="es-ES_tradnl"/>
        </w:rPr>
        <w:t>incluyendo la adaptación de los acuerdos comerciales del sector privado</w:t>
      </w:r>
      <w:r w:rsidR="002A7792" w:rsidRPr="00153074">
        <w:rPr>
          <w:lang w:val="es-ES_tradnl"/>
        </w:rPr>
        <w:t>”</w:t>
      </w:r>
      <w:r w:rsidR="00B1268C" w:rsidRPr="00153074">
        <w:rPr>
          <w:lang w:val="es-ES_tradnl"/>
        </w:rPr>
        <w:t xml:space="preserve"> (HLP 2011,</w:t>
      </w:r>
      <w:r w:rsidR="005102B4" w:rsidRPr="00153074">
        <w:rPr>
          <w:lang w:val="es-ES_tradnl"/>
        </w:rPr>
        <w:t xml:space="preserve"> </w:t>
      </w:r>
      <w:r w:rsidR="00B1268C" w:rsidRPr="00153074">
        <w:rPr>
          <w:lang w:val="es-ES_tradnl"/>
        </w:rPr>
        <w:t>#25).</w:t>
      </w:r>
      <w:r w:rsidR="00B67BD5" w:rsidRPr="00153074">
        <w:rPr>
          <w:lang w:val="es-ES_tradnl"/>
        </w:rPr>
        <w:t xml:space="preserve"> </w:t>
      </w:r>
      <w:r w:rsidR="00E923A9" w:rsidRPr="00153074">
        <w:rPr>
          <w:lang w:val="es-ES_tradnl"/>
        </w:rPr>
        <w:t>En dos palabras, se solicita a los BMD que se comporten como bancos de inversión de</w:t>
      </w:r>
      <w:r w:rsidR="006577F4" w:rsidRPr="00153074">
        <w:rPr>
          <w:lang w:val="es-ES_tradnl"/>
        </w:rPr>
        <w:t>l</w:t>
      </w:r>
      <w:r w:rsidR="00E923A9" w:rsidRPr="00153074">
        <w:rPr>
          <w:lang w:val="es-ES_tradnl"/>
        </w:rPr>
        <w:t xml:space="preserve"> sector privado. De hecho, el Banco Mundial</w:t>
      </w:r>
      <w:r w:rsidR="006577F4" w:rsidRPr="00153074">
        <w:rPr>
          <w:lang w:val="es-ES_tradnl"/>
        </w:rPr>
        <w:t xml:space="preserve"> ya ha tomado medidas en ese sentido</w:t>
      </w:r>
      <w:r w:rsidR="00E923A9" w:rsidRPr="00153074">
        <w:rPr>
          <w:lang w:val="es-ES_tradnl"/>
        </w:rPr>
        <w:t xml:space="preserve"> como parte de su nueva Estrategia de Infraestructura</w:t>
      </w:r>
      <w:r w:rsidR="00B1268C" w:rsidRPr="00153074">
        <w:rPr>
          <w:rStyle w:val="FootnoteReference"/>
          <w:rFonts w:ascii="Arial" w:hAnsi="Arial" w:cs="Arial"/>
          <w:sz w:val="20"/>
          <w:szCs w:val="20"/>
          <w:lang w:val="es-ES_tradnl"/>
        </w:rPr>
        <w:footnoteReference w:id="9"/>
      </w:r>
      <w:r w:rsidR="00B1268C" w:rsidRPr="00153074">
        <w:rPr>
          <w:lang w:val="es-ES_tradnl"/>
        </w:rPr>
        <w:t>.</w:t>
      </w:r>
    </w:p>
    <w:p w:rsidR="00B1268C" w:rsidRPr="00153074" w:rsidRDefault="00B1268C" w:rsidP="007462FA">
      <w:pPr>
        <w:jc w:val="both"/>
        <w:rPr>
          <w:rFonts w:ascii="Arial" w:hAnsi="Arial" w:cs="Arial"/>
          <w:sz w:val="20"/>
          <w:szCs w:val="20"/>
          <w:lang w:val="es-ES_tradnl"/>
        </w:rPr>
      </w:pPr>
    </w:p>
    <w:p w:rsidR="00B1268C" w:rsidRPr="00153074" w:rsidRDefault="00837CFA" w:rsidP="00AC00BF">
      <w:pPr>
        <w:autoSpaceDE w:val="0"/>
        <w:autoSpaceDN w:val="0"/>
        <w:adjustRightInd w:val="0"/>
        <w:jc w:val="both"/>
        <w:rPr>
          <w:lang w:val="es-ES_tradnl"/>
        </w:rPr>
      </w:pPr>
      <w:r w:rsidRPr="00153074">
        <w:rPr>
          <w:lang w:val="es-ES_tradnl"/>
        </w:rPr>
        <w:lastRenderedPageBreak/>
        <w:t>El gran impulso para</w:t>
      </w:r>
      <w:r w:rsidR="00B1268C" w:rsidRPr="00153074">
        <w:rPr>
          <w:lang w:val="es-ES_tradnl"/>
        </w:rPr>
        <w:t xml:space="preserve"> </w:t>
      </w:r>
      <w:r w:rsidR="001306E9" w:rsidRPr="00153074">
        <w:rPr>
          <w:lang w:val="es-ES_tradnl"/>
        </w:rPr>
        <w:t xml:space="preserve">las </w:t>
      </w:r>
      <w:r w:rsidR="00E54F55" w:rsidRPr="00153074">
        <w:rPr>
          <w:lang w:val="es-ES_tradnl"/>
        </w:rPr>
        <w:t>APP</w:t>
      </w:r>
      <w:r w:rsidR="00B1268C" w:rsidRPr="00153074">
        <w:rPr>
          <w:lang w:val="es-ES_tradnl"/>
        </w:rPr>
        <w:t xml:space="preserve"> </w:t>
      </w:r>
      <w:r w:rsidRPr="00153074">
        <w:rPr>
          <w:lang w:val="es-ES_tradnl"/>
        </w:rPr>
        <w:t xml:space="preserve">en el núcleo del proceso de desarrollo del </w:t>
      </w:r>
      <w:r w:rsidR="00B1268C" w:rsidRPr="00153074">
        <w:rPr>
          <w:lang w:val="es-ES_tradnl"/>
        </w:rPr>
        <w:t xml:space="preserve">G20 </w:t>
      </w:r>
      <w:r w:rsidRPr="00153074">
        <w:rPr>
          <w:lang w:val="es-ES_tradnl"/>
        </w:rPr>
        <w:t xml:space="preserve">no </w:t>
      </w:r>
      <w:r w:rsidR="00FD3E16" w:rsidRPr="00153074">
        <w:rPr>
          <w:lang w:val="es-ES_tradnl"/>
        </w:rPr>
        <w:t xml:space="preserve">fue ninguna </w:t>
      </w:r>
      <w:r w:rsidRPr="00153074">
        <w:rPr>
          <w:lang w:val="es-ES_tradnl"/>
        </w:rPr>
        <w:t>sorpresa</w:t>
      </w:r>
      <w:r w:rsidR="009C0FD1" w:rsidRPr="00153074">
        <w:rPr>
          <w:lang w:val="es-ES_tradnl"/>
        </w:rPr>
        <w:t>,</w:t>
      </w:r>
      <w:r w:rsidR="00FD3E16" w:rsidRPr="00153074">
        <w:rPr>
          <w:lang w:val="es-ES_tradnl"/>
        </w:rPr>
        <w:t xml:space="preserve"> teniendo en cuenta </w:t>
      </w:r>
      <w:r w:rsidRPr="00153074">
        <w:rPr>
          <w:lang w:val="es-ES_tradnl"/>
        </w:rPr>
        <w:t xml:space="preserve">la composición del PAN. La Fundación Heinrich Boell sostiene que </w:t>
      </w:r>
      <w:r w:rsidR="002A7792" w:rsidRPr="00153074">
        <w:rPr>
          <w:lang w:val="es-ES_tradnl"/>
        </w:rPr>
        <w:t>“</w:t>
      </w:r>
      <w:r w:rsidR="00AC00BF" w:rsidRPr="00153074">
        <w:rPr>
          <w:lang w:val="es-ES_tradnl"/>
        </w:rPr>
        <w:t xml:space="preserve">el rol del </w:t>
      </w:r>
      <w:r w:rsidR="00AC00BF" w:rsidRPr="00153074">
        <w:rPr>
          <w:szCs w:val="22"/>
          <w:lang w:val="es-ES_tradnl"/>
        </w:rPr>
        <w:t xml:space="preserve">PAN </w:t>
      </w:r>
      <w:r w:rsidR="00AC00BF" w:rsidRPr="00153074">
        <w:rPr>
          <w:rFonts w:eastAsia="Times New Roman" w:cs="BellGothicStd-Bold"/>
          <w:bCs/>
          <w:szCs w:val="22"/>
          <w:lang w:val="es-ES_tradnl" w:eastAsia="es-ES"/>
        </w:rPr>
        <w:t xml:space="preserve">y el dominio de </w:t>
      </w:r>
      <w:r w:rsidR="009C0FD1" w:rsidRPr="00153074">
        <w:rPr>
          <w:rFonts w:eastAsia="Times New Roman" w:cs="BellGothicStd-Bold"/>
          <w:bCs/>
          <w:szCs w:val="22"/>
          <w:lang w:val="es-ES_tradnl" w:eastAsia="es-ES"/>
        </w:rPr>
        <w:t>los financiadores privados en la</w:t>
      </w:r>
      <w:r w:rsidR="00AC00BF" w:rsidRPr="00153074">
        <w:rPr>
          <w:rFonts w:eastAsia="Times New Roman" w:cs="BellGothicStd-Bold"/>
          <w:bCs/>
          <w:szCs w:val="22"/>
          <w:lang w:val="es-ES_tradnl" w:eastAsia="es-ES"/>
        </w:rPr>
        <w:t xml:space="preserve"> composición</w:t>
      </w:r>
      <w:r w:rsidR="009C0FD1" w:rsidRPr="00153074">
        <w:rPr>
          <w:rFonts w:eastAsia="Times New Roman" w:cs="BellGothicStd-Bold"/>
          <w:bCs/>
          <w:szCs w:val="22"/>
          <w:lang w:val="es-ES_tradnl" w:eastAsia="es-ES"/>
        </w:rPr>
        <w:t xml:space="preserve"> del mismo</w:t>
      </w:r>
      <w:r w:rsidR="00AC00BF" w:rsidRPr="00153074">
        <w:rPr>
          <w:rFonts w:eastAsia="Times New Roman" w:cs="BellGothicStd-Bold"/>
          <w:bCs/>
          <w:szCs w:val="22"/>
          <w:lang w:val="es-ES_tradnl" w:eastAsia="es-ES"/>
        </w:rPr>
        <w:t xml:space="preserve"> crean la impresión de que, mano a mano con los BMD, el G20 ha creado un mecanismo para diseñar y aplicar una agenda de infraestructura con </w:t>
      </w:r>
      <w:r w:rsidR="00FD3E16" w:rsidRPr="00153074">
        <w:rPr>
          <w:rFonts w:eastAsia="Times New Roman" w:cs="BellGothicStd-Bold"/>
          <w:bCs/>
          <w:szCs w:val="22"/>
          <w:lang w:val="es-ES_tradnl" w:eastAsia="es-ES"/>
        </w:rPr>
        <w:t xml:space="preserve">una </w:t>
      </w:r>
      <w:r w:rsidR="00AC00BF" w:rsidRPr="00153074">
        <w:rPr>
          <w:rFonts w:eastAsia="Times New Roman" w:cs="BellGothicStd-Bold"/>
          <w:bCs/>
          <w:szCs w:val="22"/>
          <w:lang w:val="es-ES_tradnl" w:eastAsia="es-ES"/>
        </w:rPr>
        <w:t xml:space="preserve">participación </w:t>
      </w:r>
      <w:r w:rsidR="00FD3E16" w:rsidRPr="00153074">
        <w:rPr>
          <w:rFonts w:eastAsia="Times New Roman" w:cs="BellGothicStd-Bold"/>
          <w:bCs/>
          <w:szCs w:val="22"/>
          <w:lang w:val="es-ES_tradnl" w:eastAsia="es-ES"/>
        </w:rPr>
        <w:t xml:space="preserve">mínima por parte </w:t>
      </w:r>
      <w:r w:rsidR="00AC00BF" w:rsidRPr="00153074">
        <w:rPr>
          <w:rFonts w:eastAsia="Times New Roman" w:cs="BellGothicStd-Bold"/>
          <w:bCs/>
          <w:szCs w:val="22"/>
          <w:lang w:val="es-ES_tradnl" w:eastAsia="es-ES"/>
        </w:rPr>
        <w:t xml:space="preserve">de los </w:t>
      </w:r>
      <w:r w:rsidR="00864464" w:rsidRPr="00153074">
        <w:rPr>
          <w:rFonts w:eastAsia="Times New Roman" w:cs="BellGothicStd-Bold"/>
          <w:bCs/>
          <w:szCs w:val="22"/>
          <w:lang w:val="es-ES_tradnl" w:eastAsia="es-ES"/>
        </w:rPr>
        <w:t>Gobierno</w:t>
      </w:r>
      <w:r w:rsidR="00AC00BF" w:rsidRPr="00153074">
        <w:rPr>
          <w:rFonts w:eastAsia="Times New Roman" w:cs="BellGothicStd-Bold"/>
          <w:bCs/>
          <w:szCs w:val="22"/>
          <w:lang w:val="es-ES_tradnl" w:eastAsia="es-ES"/>
        </w:rPr>
        <w:t xml:space="preserve">s y las partes interesadas de los países </w:t>
      </w:r>
      <w:r w:rsidR="006F5717" w:rsidRPr="00153074">
        <w:rPr>
          <w:lang w:val="es-ES_tradnl"/>
        </w:rPr>
        <w:t>de renta baja</w:t>
      </w:r>
      <w:r w:rsidR="006F5717" w:rsidRPr="00153074">
        <w:rPr>
          <w:rFonts w:eastAsia="Times New Roman" w:cs="BellGothicStd-Bold"/>
          <w:bCs/>
          <w:szCs w:val="22"/>
          <w:lang w:val="es-ES_tradnl" w:eastAsia="es-ES"/>
        </w:rPr>
        <w:t xml:space="preserve"> </w:t>
      </w:r>
      <w:r w:rsidR="00AC00BF" w:rsidRPr="00153074">
        <w:rPr>
          <w:rFonts w:eastAsia="Times New Roman" w:cs="BellGothicStd-Bold"/>
          <w:bCs/>
          <w:szCs w:val="22"/>
          <w:lang w:val="es-ES_tradnl" w:eastAsia="es-ES"/>
        </w:rPr>
        <w:t xml:space="preserve">afectados y, mucho menos, con el desarrollo de algún </w:t>
      </w:r>
      <w:r w:rsidR="00812445" w:rsidRPr="00153074">
        <w:rPr>
          <w:rFonts w:eastAsia="Times New Roman" w:cs="BellGothicStd-Bold"/>
          <w:bCs/>
          <w:szCs w:val="22"/>
          <w:lang w:val="es-ES_tradnl" w:eastAsia="es-ES"/>
        </w:rPr>
        <w:t>debate o proceso democrático</w:t>
      </w:r>
      <w:r w:rsidR="002A7792" w:rsidRPr="00153074">
        <w:rPr>
          <w:lang w:val="es-ES_tradnl"/>
        </w:rPr>
        <w:t>”</w:t>
      </w:r>
      <w:r w:rsidR="00B1268C" w:rsidRPr="00153074">
        <w:rPr>
          <w:lang w:val="es-ES_tradnl"/>
        </w:rPr>
        <w:t xml:space="preserve"> (BOELL 2011). </w:t>
      </w:r>
      <w:r w:rsidR="00812445" w:rsidRPr="00153074">
        <w:rPr>
          <w:lang w:val="es-ES_tradnl"/>
        </w:rPr>
        <w:t>No obstante, peor aún que la inclusión del PAN de los bancos privados,</w:t>
      </w:r>
      <w:r w:rsidR="00CE2057" w:rsidRPr="00153074">
        <w:rPr>
          <w:lang w:val="es-ES_tradnl"/>
        </w:rPr>
        <w:t xml:space="preserve"> gestores de capital de riesgo e incluso gestores de fondos especulativos, </w:t>
      </w:r>
      <w:r w:rsidR="009C0FD1" w:rsidRPr="00153074">
        <w:rPr>
          <w:lang w:val="es-ES_tradnl"/>
        </w:rPr>
        <w:t>ha sido</w:t>
      </w:r>
      <w:r w:rsidR="00CE2057" w:rsidRPr="00153074">
        <w:rPr>
          <w:lang w:val="es-ES_tradnl"/>
        </w:rPr>
        <w:t xml:space="preserve"> que</w:t>
      </w:r>
      <w:r w:rsidR="003F0E1B" w:rsidRPr="00153074">
        <w:rPr>
          <w:lang w:val="es-ES_tradnl"/>
        </w:rPr>
        <w:t xml:space="preserve">, al parecer, </w:t>
      </w:r>
      <w:r w:rsidR="00CE2057" w:rsidRPr="00153074">
        <w:rPr>
          <w:lang w:val="es-ES_tradnl"/>
        </w:rPr>
        <w:t xml:space="preserve">ni un solo experto gubernamental de contratación pública fue invitado a participar: </w:t>
      </w:r>
      <w:r w:rsidR="00F0657B" w:rsidRPr="00153074">
        <w:rPr>
          <w:lang w:val="es-ES_tradnl"/>
        </w:rPr>
        <w:t xml:space="preserve">de los </w:t>
      </w:r>
      <w:r w:rsidR="00CE2057" w:rsidRPr="00153074">
        <w:rPr>
          <w:lang w:val="es-ES_tradnl"/>
        </w:rPr>
        <w:t xml:space="preserve">17 miembros del panel, el grupo incluía cinco aseguradoras o bancos privados </w:t>
      </w:r>
      <w:r w:rsidR="00B1268C" w:rsidRPr="00153074">
        <w:rPr>
          <w:lang w:val="es-ES_tradnl"/>
        </w:rPr>
        <w:t xml:space="preserve">(Fidelity Bank Ltd., Gulf International Bank, Infrastructure Development Finance Company, Macquarie Bank </w:t>
      </w:r>
      <w:r w:rsidR="00CE2057" w:rsidRPr="00153074">
        <w:rPr>
          <w:lang w:val="es-ES_tradnl"/>
        </w:rPr>
        <w:t>y</w:t>
      </w:r>
      <w:r w:rsidR="00B1268C" w:rsidRPr="00153074">
        <w:rPr>
          <w:lang w:val="es-ES_tradnl"/>
        </w:rPr>
        <w:t xml:space="preserve"> Prudential plc), </w:t>
      </w:r>
      <w:r w:rsidR="00CE2057" w:rsidRPr="00153074">
        <w:rPr>
          <w:lang w:val="es-ES_tradnl"/>
        </w:rPr>
        <w:t xml:space="preserve">dos gestores de capital de riesgo o de fondos especulativos </w:t>
      </w:r>
      <w:r w:rsidR="00B1268C" w:rsidRPr="00153074">
        <w:rPr>
          <w:lang w:val="es-ES_tradnl"/>
        </w:rPr>
        <w:t xml:space="preserve">(Caravel Fund, PAI Partner), </w:t>
      </w:r>
      <w:r w:rsidR="00CE2057" w:rsidRPr="00153074">
        <w:rPr>
          <w:lang w:val="es-ES_tradnl"/>
        </w:rPr>
        <w:t xml:space="preserve">un experto del departamento de estudios de un banco japonés privado </w:t>
      </w:r>
      <w:r w:rsidR="00B1268C" w:rsidRPr="00153074">
        <w:rPr>
          <w:lang w:val="es-ES_tradnl"/>
        </w:rPr>
        <w:t xml:space="preserve">(Japan Center for International Finance) </w:t>
      </w:r>
      <w:r w:rsidR="00CE2057" w:rsidRPr="00153074">
        <w:rPr>
          <w:lang w:val="es-ES_tradnl"/>
        </w:rPr>
        <w:t xml:space="preserve">y un representante de una multinacional del sector de la construcción </w:t>
      </w:r>
      <w:r w:rsidR="00B1268C" w:rsidRPr="00153074">
        <w:rPr>
          <w:lang w:val="es-ES_tradnl"/>
        </w:rPr>
        <w:t xml:space="preserve">(PCL). </w:t>
      </w:r>
      <w:r w:rsidR="009C0FD1" w:rsidRPr="00153074">
        <w:rPr>
          <w:lang w:val="es-ES_tradnl"/>
        </w:rPr>
        <w:t>Los otros</w:t>
      </w:r>
      <w:r w:rsidR="00CE2057" w:rsidRPr="00153074">
        <w:rPr>
          <w:lang w:val="es-ES_tradnl"/>
        </w:rPr>
        <w:t xml:space="preserve"> miembros eran representantes de cuatro instituciones financieras estatales </w:t>
      </w:r>
      <w:r w:rsidR="00B1268C" w:rsidRPr="00153074">
        <w:rPr>
          <w:lang w:val="es-ES_tradnl"/>
        </w:rPr>
        <w:t xml:space="preserve">(BNDES, KfW, CIC), </w:t>
      </w:r>
      <w:r w:rsidR="00D66BFD" w:rsidRPr="00153074">
        <w:rPr>
          <w:lang w:val="es-ES_tradnl"/>
        </w:rPr>
        <w:t>una agencia de crédito a la exportación</w:t>
      </w:r>
      <w:r w:rsidR="00B1268C" w:rsidRPr="00153074">
        <w:rPr>
          <w:lang w:val="es-ES_tradnl"/>
        </w:rPr>
        <w:t xml:space="preserve"> (Turk Eximbank), </w:t>
      </w:r>
      <w:r w:rsidR="00D66BFD" w:rsidRPr="00153074">
        <w:rPr>
          <w:lang w:val="es-ES_tradnl"/>
        </w:rPr>
        <w:t xml:space="preserve">un empresario africano </w:t>
      </w:r>
      <w:r w:rsidR="00B1268C" w:rsidRPr="00153074">
        <w:rPr>
          <w:lang w:val="es-ES_tradnl"/>
        </w:rPr>
        <w:t xml:space="preserve">(Mo Ibrahim), </w:t>
      </w:r>
      <w:r w:rsidR="00D66BFD" w:rsidRPr="00153074">
        <w:rPr>
          <w:lang w:val="es-ES_tradnl"/>
        </w:rPr>
        <w:t>un académico</w:t>
      </w:r>
      <w:r w:rsidR="00283BD6" w:rsidRPr="00153074">
        <w:rPr>
          <w:lang w:val="es-ES_tradnl"/>
        </w:rPr>
        <w:t xml:space="preserve"> </w:t>
      </w:r>
      <w:r w:rsidR="00B1268C" w:rsidRPr="00153074">
        <w:rPr>
          <w:lang w:val="es-ES_tradnl"/>
        </w:rPr>
        <w:t xml:space="preserve">(Sogang </w:t>
      </w:r>
      <w:proofErr w:type="gramStart"/>
      <w:r w:rsidR="00B1268C" w:rsidRPr="00153074">
        <w:rPr>
          <w:lang w:val="es-ES_tradnl"/>
        </w:rPr>
        <w:t>University )</w:t>
      </w:r>
      <w:proofErr w:type="gramEnd"/>
      <w:r w:rsidR="00B1268C" w:rsidRPr="00153074">
        <w:rPr>
          <w:lang w:val="es-ES_tradnl"/>
        </w:rPr>
        <w:t xml:space="preserve"> </w:t>
      </w:r>
      <w:r w:rsidR="00D66BFD" w:rsidRPr="00153074">
        <w:rPr>
          <w:lang w:val="es-ES_tradnl"/>
        </w:rPr>
        <w:t xml:space="preserve">y un </w:t>
      </w:r>
      <w:r w:rsidR="00B74138" w:rsidRPr="00153074">
        <w:rPr>
          <w:lang w:val="es-ES_tradnl"/>
        </w:rPr>
        <w:t>único</w:t>
      </w:r>
      <w:r w:rsidR="00D66BFD" w:rsidRPr="00153074">
        <w:rPr>
          <w:lang w:val="es-ES_tradnl"/>
        </w:rPr>
        <w:t xml:space="preserve"> moderador </w:t>
      </w:r>
      <w:r w:rsidR="00B1268C" w:rsidRPr="00153074">
        <w:rPr>
          <w:lang w:val="es-ES_tradnl"/>
        </w:rPr>
        <w:t>(</w:t>
      </w:r>
      <w:r w:rsidR="004C0193" w:rsidRPr="004C0193">
        <w:rPr>
          <w:lang w:val="es-ES_tradnl"/>
        </w:rPr>
        <w:t>Autorità per l'energia elettrica e il gas</w:t>
      </w:r>
      <w:r w:rsidR="008E3FCC">
        <w:rPr>
          <w:lang w:val="es-ES_tradnl"/>
        </w:rPr>
        <w:t>, de Italia</w:t>
      </w:r>
      <w:r w:rsidR="00B1268C" w:rsidRPr="00153074">
        <w:rPr>
          <w:lang w:val="es-ES_tradnl"/>
        </w:rPr>
        <w:t>)</w:t>
      </w:r>
      <w:r w:rsidR="00B1268C" w:rsidRPr="00153074">
        <w:rPr>
          <w:rStyle w:val="FootnoteReference"/>
          <w:rFonts w:ascii="Arial" w:hAnsi="Arial" w:cs="Arial"/>
          <w:sz w:val="20"/>
          <w:szCs w:val="20"/>
          <w:lang w:val="es-ES_tradnl"/>
        </w:rPr>
        <w:footnoteReference w:id="10"/>
      </w:r>
      <w:r w:rsidR="00B1268C" w:rsidRPr="00153074">
        <w:rPr>
          <w:lang w:val="es-ES_tradnl"/>
        </w:rPr>
        <w:t>.</w:t>
      </w:r>
    </w:p>
    <w:p w:rsidR="00B1268C" w:rsidRPr="00153074" w:rsidRDefault="00B1268C" w:rsidP="007462FA">
      <w:pPr>
        <w:jc w:val="both"/>
        <w:rPr>
          <w:lang w:val="es-ES_tradnl"/>
        </w:rPr>
      </w:pPr>
    </w:p>
    <w:p w:rsidR="00B1268C" w:rsidRPr="00153074" w:rsidRDefault="00197293" w:rsidP="007462FA">
      <w:pPr>
        <w:pStyle w:val="Heading3"/>
        <w:rPr>
          <w:lang w:val="es-ES_tradnl"/>
        </w:rPr>
      </w:pPr>
      <w:bookmarkStart w:id="49" w:name="_Toc369604917"/>
      <w:r w:rsidRPr="00153074">
        <w:rPr>
          <w:lang w:val="es-ES_tradnl"/>
        </w:rPr>
        <w:t>Inversión privada y creación de empleo</w:t>
      </w:r>
      <w:bookmarkEnd w:id="49"/>
    </w:p>
    <w:p w:rsidR="00B1268C" w:rsidRPr="00153074" w:rsidRDefault="0009081E" w:rsidP="007462FA">
      <w:pPr>
        <w:jc w:val="both"/>
        <w:rPr>
          <w:b/>
          <w:i/>
          <w:lang w:val="es-ES_tradnl"/>
        </w:rPr>
      </w:pPr>
      <w:r w:rsidRPr="00153074">
        <w:rPr>
          <w:lang w:val="es-ES_tradnl"/>
        </w:rPr>
        <w:t>El G20 encomendó a u</w:t>
      </w:r>
      <w:r w:rsidR="00A824D5" w:rsidRPr="00153074">
        <w:rPr>
          <w:lang w:val="es-ES_tradnl"/>
        </w:rPr>
        <w:t xml:space="preserve">n </w:t>
      </w:r>
      <w:r w:rsidR="003472F4" w:rsidRPr="00153074">
        <w:rPr>
          <w:lang w:val="es-ES_tradnl"/>
        </w:rPr>
        <w:t>grupo</w:t>
      </w:r>
      <w:r w:rsidR="00F137A9" w:rsidRPr="00153074">
        <w:rPr>
          <w:lang w:val="es-ES_tradnl"/>
        </w:rPr>
        <w:t xml:space="preserve"> interinstitucional </w:t>
      </w:r>
      <w:r w:rsidR="003472F4" w:rsidRPr="00153074">
        <w:rPr>
          <w:lang w:val="es-ES_tradnl"/>
        </w:rPr>
        <w:t xml:space="preserve">encargado del pilar sobre </w:t>
      </w:r>
      <w:r w:rsidR="00A824D5" w:rsidRPr="00153074">
        <w:rPr>
          <w:lang w:val="es-ES_tradnl"/>
        </w:rPr>
        <w:t>i</w:t>
      </w:r>
      <w:r w:rsidR="003472F4" w:rsidRPr="00153074">
        <w:rPr>
          <w:lang w:val="es-ES_tradnl"/>
        </w:rPr>
        <w:t xml:space="preserve">nversión </w:t>
      </w:r>
      <w:r w:rsidR="00A824D5" w:rsidRPr="00153074">
        <w:rPr>
          <w:lang w:val="es-ES_tradnl"/>
        </w:rPr>
        <w:t>p</w:t>
      </w:r>
      <w:r w:rsidR="003472F4" w:rsidRPr="00153074">
        <w:rPr>
          <w:lang w:val="es-ES_tradnl"/>
        </w:rPr>
        <w:t>rivada y creación de empleo, que incluye</w:t>
      </w:r>
      <w:r w:rsidR="00651E7C" w:rsidRPr="00153074">
        <w:rPr>
          <w:lang w:val="es-ES_tradnl"/>
        </w:rPr>
        <w:t xml:space="preserve"> </w:t>
      </w:r>
      <w:r w:rsidR="00081D98" w:rsidRPr="00153074">
        <w:rPr>
          <w:lang w:val="es-ES_tradnl"/>
        </w:rPr>
        <w:t>la UNCTAD, el PNUD, la OIT, la OCDE y el Banco Mundial,</w:t>
      </w:r>
      <w:r w:rsidR="00C4016D" w:rsidRPr="00153074">
        <w:rPr>
          <w:lang w:val="es-ES_tradnl"/>
        </w:rPr>
        <w:t xml:space="preserve"> </w:t>
      </w:r>
      <w:r w:rsidR="002A7792" w:rsidRPr="00153074">
        <w:rPr>
          <w:lang w:val="es-ES_tradnl"/>
        </w:rPr>
        <w:t>“</w:t>
      </w:r>
      <w:r w:rsidR="00081D98" w:rsidRPr="00153074">
        <w:rPr>
          <w:lang w:val="es-ES_tradnl"/>
        </w:rPr>
        <w:t>identificar, mejorar donde proceda y</w:t>
      </w:r>
      <w:r w:rsidR="00A824D5" w:rsidRPr="00153074">
        <w:rPr>
          <w:lang w:val="es-ES_tradnl"/>
        </w:rPr>
        <w:t xml:space="preserve"> promover</w:t>
      </w:r>
      <w:r w:rsidR="00081D98" w:rsidRPr="00153074">
        <w:rPr>
          <w:lang w:val="es-ES_tradnl"/>
        </w:rPr>
        <w:t xml:space="preserve"> las mejores normas existentes (en materia de desarrollo, sociales y medioambientales) para la inversión responsable en cadenas de valores</w:t>
      </w:r>
      <w:r w:rsidR="00A824D5" w:rsidRPr="00153074">
        <w:rPr>
          <w:lang w:val="es-ES_tradnl"/>
        </w:rPr>
        <w:t xml:space="preserve"> y</w:t>
      </w:r>
      <w:r w:rsidR="00182EF6" w:rsidRPr="00153074">
        <w:rPr>
          <w:lang w:val="es-ES_tradnl"/>
        </w:rPr>
        <w:t xml:space="preserve"> </w:t>
      </w:r>
      <w:r w:rsidR="00193A6F" w:rsidRPr="00153074">
        <w:rPr>
          <w:lang w:val="es-ES_tradnl"/>
        </w:rPr>
        <w:t>el cumplimiento voluntario por parte de los inversores de estas tres normas</w:t>
      </w:r>
      <w:r w:rsidR="002A7792" w:rsidRPr="00153074">
        <w:rPr>
          <w:lang w:val="es-ES_tradnl"/>
        </w:rPr>
        <w:t>”</w:t>
      </w:r>
      <w:r w:rsidR="00193A6F" w:rsidRPr="00153074">
        <w:rPr>
          <w:lang w:val="es-ES_tradnl"/>
        </w:rPr>
        <w:t xml:space="preserve">. Los resultados </w:t>
      </w:r>
      <w:r w:rsidR="00BF3002" w:rsidRPr="00153074">
        <w:rPr>
          <w:lang w:val="es-ES_tradnl"/>
        </w:rPr>
        <w:t xml:space="preserve">obtenidos </w:t>
      </w:r>
      <w:r w:rsidR="00193A6F" w:rsidRPr="00153074">
        <w:rPr>
          <w:lang w:val="es-ES_tradnl"/>
        </w:rPr>
        <w:t xml:space="preserve">por el grupo incluyeron el informe </w:t>
      </w:r>
      <w:r w:rsidR="002A7792" w:rsidRPr="00153074">
        <w:rPr>
          <w:lang w:val="es-ES_tradnl"/>
        </w:rPr>
        <w:t>“</w:t>
      </w:r>
      <w:r w:rsidR="00193A6F" w:rsidRPr="00153074">
        <w:rPr>
          <w:lang w:val="es-ES_tradnl"/>
        </w:rPr>
        <w:t>Promoting responsible investment for sustainable development and job creation</w:t>
      </w:r>
      <w:r w:rsidR="002A7792" w:rsidRPr="00153074">
        <w:rPr>
          <w:lang w:val="es-ES_tradnl"/>
        </w:rPr>
        <w:t>”</w:t>
      </w:r>
      <w:r w:rsidR="00193A6F" w:rsidRPr="00153074">
        <w:rPr>
          <w:lang w:val="es-ES_tradnl"/>
        </w:rPr>
        <w:t xml:space="preserve"> (La promoción de la </w:t>
      </w:r>
      <w:r w:rsidR="00BF3002" w:rsidRPr="00153074">
        <w:rPr>
          <w:lang w:val="es-ES_tradnl"/>
        </w:rPr>
        <w:t>inversión</w:t>
      </w:r>
      <w:r w:rsidR="00193A6F" w:rsidRPr="00153074">
        <w:rPr>
          <w:lang w:val="es-ES_tradnl"/>
        </w:rPr>
        <w:t xml:space="preserve"> responsable para el desarrollo sostenible</w:t>
      </w:r>
      <w:r w:rsidR="00BF3002" w:rsidRPr="00153074">
        <w:rPr>
          <w:lang w:val="es-ES_tradnl"/>
        </w:rPr>
        <w:t xml:space="preserve"> y</w:t>
      </w:r>
      <w:r w:rsidR="00193A6F" w:rsidRPr="00153074">
        <w:rPr>
          <w:lang w:val="es-ES_tradnl"/>
        </w:rPr>
        <w:t xml:space="preserve"> la creación de empleo)</w:t>
      </w:r>
      <w:r w:rsidR="00DB4850" w:rsidRPr="00153074">
        <w:rPr>
          <w:lang w:val="es-ES_tradnl"/>
        </w:rPr>
        <w:t>,</w:t>
      </w:r>
      <w:r w:rsidR="00193A6F" w:rsidRPr="00153074">
        <w:rPr>
          <w:lang w:val="es-ES_tradnl"/>
        </w:rPr>
        <w:t xml:space="preserve"> publicado en septiembre de 2011</w:t>
      </w:r>
      <w:r w:rsidR="00B1268C" w:rsidRPr="00153074">
        <w:rPr>
          <w:lang w:val="es-ES_tradnl"/>
        </w:rPr>
        <w:t xml:space="preserve"> (IA 2011a).</w:t>
      </w:r>
      <w:bookmarkStart w:id="50" w:name="_Toc349152786"/>
    </w:p>
    <w:bookmarkEnd w:id="50"/>
    <w:p w:rsidR="00B1268C" w:rsidRPr="00153074" w:rsidRDefault="00B1268C" w:rsidP="007462FA">
      <w:pPr>
        <w:jc w:val="both"/>
        <w:rPr>
          <w:lang w:val="es-ES_tradnl"/>
        </w:rPr>
      </w:pPr>
    </w:p>
    <w:p w:rsidR="00193A6F" w:rsidRPr="00153074" w:rsidRDefault="00193A6F" w:rsidP="007462FA">
      <w:pPr>
        <w:jc w:val="both"/>
        <w:rPr>
          <w:lang w:val="es-ES_tradnl"/>
        </w:rPr>
      </w:pPr>
      <w:r w:rsidRPr="00153074">
        <w:rPr>
          <w:lang w:val="es-ES_tradnl"/>
        </w:rPr>
        <w:t xml:space="preserve">Los otros objetivos clave eran desarrollar </w:t>
      </w:r>
      <w:r w:rsidR="002A7792" w:rsidRPr="00153074">
        <w:rPr>
          <w:lang w:val="es-ES_tradnl"/>
        </w:rPr>
        <w:t>“</w:t>
      </w:r>
      <w:r w:rsidRPr="00153074">
        <w:rPr>
          <w:lang w:val="es-ES_tradnl"/>
        </w:rPr>
        <w:t xml:space="preserve">indicadores financieros </w:t>
      </w:r>
      <w:r w:rsidR="00BF3002" w:rsidRPr="00153074">
        <w:rPr>
          <w:lang w:val="es-ES_tradnl"/>
        </w:rPr>
        <w:t xml:space="preserve">y </w:t>
      </w:r>
      <w:r w:rsidRPr="00153074">
        <w:rPr>
          <w:lang w:val="es-ES_tradnl"/>
        </w:rPr>
        <w:t xml:space="preserve">económicos cuantificables para medir y </w:t>
      </w:r>
      <w:r w:rsidR="00BF3002" w:rsidRPr="00153074">
        <w:rPr>
          <w:lang w:val="es-ES_tradnl"/>
        </w:rPr>
        <w:t>optimizar</w:t>
      </w:r>
      <w:r w:rsidRPr="00153074">
        <w:rPr>
          <w:lang w:val="es-ES_tradnl"/>
        </w:rPr>
        <w:t xml:space="preserve"> el valor económico añadido y la creación de empleo</w:t>
      </w:r>
      <w:r w:rsidR="002A7792" w:rsidRPr="00153074">
        <w:rPr>
          <w:lang w:val="es-ES_tradnl"/>
        </w:rPr>
        <w:t>”</w:t>
      </w:r>
      <w:r w:rsidRPr="00153074">
        <w:rPr>
          <w:lang w:val="es-ES_tradnl"/>
        </w:rPr>
        <w:t xml:space="preserve">, establecer un Reto sobre Innovación del G20 para </w:t>
      </w:r>
      <w:r w:rsidR="002A7792" w:rsidRPr="00153074">
        <w:rPr>
          <w:lang w:val="es-ES_tradnl"/>
        </w:rPr>
        <w:t>“</w:t>
      </w:r>
      <w:r w:rsidRPr="00153074">
        <w:rPr>
          <w:lang w:val="es-ES_tradnl"/>
        </w:rPr>
        <w:t>exponer</w:t>
      </w:r>
      <w:r w:rsidR="002A7792" w:rsidRPr="00153074">
        <w:rPr>
          <w:lang w:val="es-ES_tradnl"/>
        </w:rPr>
        <w:t>”</w:t>
      </w:r>
      <w:r w:rsidRPr="00153074">
        <w:rPr>
          <w:lang w:val="es-ES_tradnl"/>
        </w:rPr>
        <w:t xml:space="preserve"> </w:t>
      </w:r>
      <w:r w:rsidR="00F137A9" w:rsidRPr="00153074">
        <w:rPr>
          <w:lang w:val="es-ES_tradnl"/>
        </w:rPr>
        <w:t>el espíritu empresarial</w:t>
      </w:r>
      <w:r w:rsidR="00BF3002" w:rsidRPr="00153074">
        <w:rPr>
          <w:lang w:val="es-ES_tradnl"/>
        </w:rPr>
        <w:t>,</w:t>
      </w:r>
      <w:r w:rsidR="00F137A9" w:rsidRPr="00153074">
        <w:rPr>
          <w:lang w:val="es-ES_tradnl"/>
        </w:rPr>
        <w:t xml:space="preserve"> y</w:t>
      </w:r>
      <w:r w:rsidR="004F1714" w:rsidRPr="00153074">
        <w:rPr>
          <w:lang w:val="es-ES_tradnl"/>
        </w:rPr>
        <w:t>,</w:t>
      </w:r>
      <w:r w:rsidR="00F137A9" w:rsidRPr="00153074">
        <w:rPr>
          <w:lang w:val="es-ES_tradnl"/>
        </w:rPr>
        <w:t xml:space="preserve"> por último, identificar reformas </w:t>
      </w:r>
      <w:r w:rsidR="00E04479" w:rsidRPr="00153074">
        <w:rPr>
          <w:lang w:val="es-ES_tradnl"/>
        </w:rPr>
        <w:t>reguladoras</w:t>
      </w:r>
      <w:r w:rsidR="00F137A9" w:rsidRPr="00153074">
        <w:rPr>
          <w:lang w:val="es-ES_tradnl"/>
        </w:rPr>
        <w:t xml:space="preserve"> clave</w:t>
      </w:r>
      <w:r w:rsidR="004F1714" w:rsidRPr="00153074">
        <w:rPr>
          <w:lang w:val="es-ES_tradnl"/>
        </w:rPr>
        <w:t>s</w:t>
      </w:r>
      <w:r w:rsidR="00BF3002" w:rsidRPr="00153074">
        <w:rPr>
          <w:lang w:val="es-ES_tradnl"/>
        </w:rPr>
        <w:t xml:space="preserve"> </w:t>
      </w:r>
      <w:r w:rsidR="00954347" w:rsidRPr="00153074">
        <w:rPr>
          <w:lang w:val="es-ES_tradnl"/>
        </w:rPr>
        <w:t xml:space="preserve">para </w:t>
      </w:r>
      <w:r w:rsidR="00BF3002" w:rsidRPr="00153074">
        <w:rPr>
          <w:lang w:val="es-ES_tradnl"/>
        </w:rPr>
        <w:t>el</w:t>
      </w:r>
      <w:r w:rsidR="00F137A9" w:rsidRPr="00153074">
        <w:rPr>
          <w:lang w:val="es-ES_tradnl"/>
        </w:rPr>
        <w:t xml:space="preserve"> </w:t>
      </w:r>
      <w:r w:rsidR="002A7792" w:rsidRPr="00153074">
        <w:rPr>
          <w:lang w:val="es-ES_tradnl"/>
        </w:rPr>
        <w:t>“</w:t>
      </w:r>
      <w:r w:rsidR="00BF3002" w:rsidRPr="00153074">
        <w:rPr>
          <w:lang w:val="es-ES_tradnl"/>
        </w:rPr>
        <w:t>negocio inclusivo</w:t>
      </w:r>
      <w:r w:rsidR="002A7792" w:rsidRPr="00153074">
        <w:rPr>
          <w:lang w:val="es-ES_tradnl"/>
        </w:rPr>
        <w:t>”</w:t>
      </w:r>
      <w:r w:rsidR="00F137A9" w:rsidRPr="00153074">
        <w:rPr>
          <w:lang w:val="es-ES_tradnl"/>
        </w:rPr>
        <w:t>.</w:t>
      </w:r>
    </w:p>
    <w:p w:rsidR="00B1268C" w:rsidRPr="00153074" w:rsidRDefault="00B1268C" w:rsidP="008D3287">
      <w:pPr>
        <w:rPr>
          <w:lang w:val="es-ES_tradnl"/>
        </w:rPr>
      </w:pPr>
    </w:p>
    <w:p w:rsidR="00B1268C" w:rsidRPr="00153074" w:rsidRDefault="00F137A9" w:rsidP="007462FA">
      <w:pPr>
        <w:jc w:val="both"/>
        <w:rPr>
          <w:lang w:val="es-ES_tradnl"/>
        </w:rPr>
      </w:pPr>
      <w:r w:rsidRPr="00153074">
        <w:rPr>
          <w:lang w:val="es-ES_tradnl"/>
        </w:rPr>
        <w:t xml:space="preserve">A primera vista, </w:t>
      </w:r>
      <w:r w:rsidR="004F1714" w:rsidRPr="00153074">
        <w:rPr>
          <w:lang w:val="es-ES_tradnl"/>
        </w:rPr>
        <w:t>el</w:t>
      </w:r>
      <w:r w:rsidRPr="00153074">
        <w:rPr>
          <w:lang w:val="es-ES_tradnl"/>
        </w:rPr>
        <w:t xml:space="preserve"> elemento supuestamente positivo del pilar sobre inversión privada y creación de empleo es la importancia </w:t>
      </w:r>
      <w:r w:rsidR="00954347" w:rsidRPr="00153074">
        <w:rPr>
          <w:lang w:val="es-ES_tradnl"/>
        </w:rPr>
        <w:t xml:space="preserve">que se </w:t>
      </w:r>
      <w:r w:rsidR="00DB4850" w:rsidRPr="00153074">
        <w:rPr>
          <w:lang w:val="es-ES_tradnl"/>
        </w:rPr>
        <w:t>otorga</w:t>
      </w:r>
      <w:r w:rsidRPr="00153074">
        <w:rPr>
          <w:lang w:val="es-ES_tradnl"/>
        </w:rPr>
        <w:t xml:space="preserve"> a las prácticas e iniciativas de inversión responsable. El informe interinstitucional final </w:t>
      </w:r>
      <w:r w:rsidR="00040B05" w:rsidRPr="00153074">
        <w:rPr>
          <w:lang w:val="es-ES_tradnl"/>
        </w:rPr>
        <w:t>se publicó</w:t>
      </w:r>
      <w:r w:rsidRPr="00153074">
        <w:rPr>
          <w:lang w:val="es-ES_tradnl"/>
        </w:rPr>
        <w:t xml:space="preserve"> con ocasión de la </w:t>
      </w:r>
      <w:r w:rsidR="00040B05" w:rsidRPr="00153074">
        <w:rPr>
          <w:lang w:val="es-ES_tradnl"/>
        </w:rPr>
        <w:t>C</w:t>
      </w:r>
      <w:r w:rsidRPr="00153074">
        <w:rPr>
          <w:lang w:val="es-ES_tradnl"/>
        </w:rPr>
        <w:t>umbre del G20 en Los Cabos</w:t>
      </w:r>
      <w:r w:rsidR="00954347" w:rsidRPr="00153074">
        <w:rPr>
          <w:lang w:val="es-ES_tradnl"/>
        </w:rPr>
        <w:t xml:space="preserve"> en</w:t>
      </w:r>
      <w:r w:rsidRPr="00153074">
        <w:rPr>
          <w:lang w:val="es-ES_tradnl"/>
        </w:rPr>
        <w:t xml:space="preserve"> junio de 2012 y proponía 11 recomendaciones dirigidas a generar inversión responsable.</w:t>
      </w:r>
      <w:r w:rsidR="00C27806" w:rsidRPr="00153074">
        <w:rPr>
          <w:lang w:val="es-ES_tradnl"/>
        </w:rPr>
        <w:t xml:space="preserve"> Las recomendaciones, no obstante, parecen estar más </w:t>
      </w:r>
      <w:r w:rsidR="00040B05" w:rsidRPr="00153074">
        <w:rPr>
          <w:lang w:val="es-ES_tradnl"/>
        </w:rPr>
        <w:t>enfocadas a</w:t>
      </w:r>
      <w:r w:rsidR="00C27806" w:rsidRPr="00153074">
        <w:rPr>
          <w:lang w:val="es-ES_tradnl"/>
        </w:rPr>
        <w:t xml:space="preserve"> </w:t>
      </w:r>
      <w:r w:rsidR="002A7792" w:rsidRPr="00153074">
        <w:rPr>
          <w:lang w:val="es-ES_tradnl"/>
        </w:rPr>
        <w:t>“</w:t>
      </w:r>
      <w:r w:rsidR="00C27806" w:rsidRPr="00153074">
        <w:rPr>
          <w:lang w:val="es-ES_tradnl"/>
        </w:rPr>
        <w:t>mejorar el clima empresarial</w:t>
      </w:r>
      <w:r w:rsidR="002A7792" w:rsidRPr="00153074">
        <w:rPr>
          <w:lang w:val="es-ES_tradnl"/>
        </w:rPr>
        <w:t>”</w:t>
      </w:r>
      <w:r w:rsidR="00954347" w:rsidRPr="00153074">
        <w:rPr>
          <w:lang w:val="es-ES_tradnl"/>
        </w:rPr>
        <w:t>,</w:t>
      </w:r>
      <w:r w:rsidR="00C27806" w:rsidRPr="00153074">
        <w:rPr>
          <w:lang w:val="es-ES_tradnl"/>
        </w:rPr>
        <w:t xml:space="preserve"> </w:t>
      </w:r>
      <w:r w:rsidR="00DB4850" w:rsidRPr="00153074">
        <w:rPr>
          <w:lang w:val="es-ES_tradnl"/>
        </w:rPr>
        <w:t>al</w:t>
      </w:r>
      <w:r w:rsidR="00C27806" w:rsidRPr="00153074">
        <w:rPr>
          <w:lang w:val="es-ES_tradnl"/>
        </w:rPr>
        <w:t xml:space="preserve"> sugerir la adaptación de </w:t>
      </w:r>
      <w:r w:rsidR="002A7792" w:rsidRPr="00153074">
        <w:rPr>
          <w:lang w:val="es-ES_tradnl"/>
        </w:rPr>
        <w:t>“</w:t>
      </w:r>
      <w:r w:rsidR="00C450AD" w:rsidRPr="00153074">
        <w:rPr>
          <w:lang w:val="es-ES_tradnl"/>
        </w:rPr>
        <w:t>marcos reguladores</w:t>
      </w:r>
      <w:r w:rsidR="00C27806" w:rsidRPr="00153074">
        <w:rPr>
          <w:lang w:val="es-ES_tradnl"/>
        </w:rPr>
        <w:t xml:space="preserve"> y jurídicos</w:t>
      </w:r>
      <w:r w:rsidR="002A7792" w:rsidRPr="00153074">
        <w:rPr>
          <w:lang w:val="es-ES_tradnl"/>
        </w:rPr>
        <w:t>”</w:t>
      </w:r>
      <w:r w:rsidR="00C27806" w:rsidRPr="00153074">
        <w:rPr>
          <w:lang w:val="es-ES_tradnl"/>
        </w:rPr>
        <w:t xml:space="preserve"> con nuevos indicadores del informe Doing Business del Banco Mundial</w:t>
      </w:r>
      <w:r w:rsidR="00B1268C" w:rsidRPr="00153074">
        <w:rPr>
          <w:rStyle w:val="FootnoteReference"/>
          <w:rFonts w:ascii="Arial" w:hAnsi="Arial" w:cs="Arial"/>
          <w:sz w:val="20"/>
          <w:szCs w:val="20"/>
          <w:lang w:val="es-ES_tradnl"/>
        </w:rPr>
        <w:footnoteReference w:id="11"/>
      </w:r>
      <w:r w:rsidR="00B1268C" w:rsidRPr="00153074">
        <w:rPr>
          <w:lang w:val="es-ES_tradnl"/>
        </w:rPr>
        <w:t xml:space="preserve"> (#1), </w:t>
      </w:r>
      <w:r w:rsidR="00C27806" w:rsidRPr="00153074">
        <w:rPr>
          <w:lang w:val="es-ES_tradnl"/>
        </w:rPr>
        <w:t xml:space="preserve">apoyar a las </w:t>
      </w:r>
      <w:r w:rsidR="00B66968" w:rsidRPr="00153074">
        <w:rPr>
          <w:lang w:val="es-ES_tradnl"/>
        </w:rPr>
        <w:t>pymes</w:t>
      </w:r>
      <w:r w:rsidR="00C27806" w:rsidRPr="00153074">
        <w:rPr>
          <w:lang w:val="es-ES_tradnl"/>
        </w:rPr>
        <w:t>, mediante</w:t>
      </w:r>
      <w:r w:rsidR="00954347" w:rsidRPr="00153074">
        <w:rPr>
          <w:lang w:val="es-ES_tradnl"/>
        </w:rPr>
        <w:t xml:space="preserve"> la</w:t>
      </w:r>
      <w:r w:rsidR="00C27806" w:rsidRPr="00153074">
        <w:rPr>
          <w:lang w:val="es-ES_tradnl"/>
        </w:rPr>
        <w:t xml:space="preserve"> </w:t>
      </w:r>
      <w:r w:rsidR="002A7792" w:rsidRPr="00153074">
        <w:rPr>
          <w:lang w:val="es-ES_tradnl"/>
        </w:rPr>
        <w:t>“</w:t>
      </w:r>
      <w:r w:rsidR="00C27806" w:rsidRPr="00153074">
        <w:rPr>
          <w:lang w:val="es-ES_tradnl"/>
        </w:rPr>
        <w:t xml:space="preserve">eliminación de obstáculos </w:t>
      </w:r>
      <w:r w:rsidR="00E04479" w:rsidRPr="00153074">
        <w:rPr>
          <w:lang w:val="es-ES_tradnl"/>
        </w:rPr>
        <w:t>reguladores</w:t>
      </w:r>
      <w:r w:rsidR="002A7792" w:rsidRPr="00153074">
        <w:rPr>
          <w:lang w:val="es-ES_tradnl"/>
        </w:rPr>
        <w:t>”</w:t>
      </w:r>
      <w:r w:rsidR="00954347" w:rsidRPr="00153074">
        <w:rPr>
          <w:lang w:val="es-ES_tradnl"/>
        </w:rPr>
        <w:t xml:space="preserve"> para </w:t>
      </w:r>
      <w:r w:rsidR="002A7792" w:rsidRPr="00153074">
        <w:rPr>
          <w:lang w:val="es-ES_tradnl"/>
        </w:rPr>
        <w:t>“</w:t>
      </w:r>
      <w:r w:rsidR="00954347" w:rsidRPr="00153074">
        <w:rPr>
          <w:lang w:val="es-ES_tradnl"/>
        </w:rPr>
        <w:t xml:space="preserve">las empresas </w:t>
      </w:r>
      <w:r w:rsidR="00C86799" w:rsidRPr="00153074">
        <w:rPr>
          <w:lang w:val="es-ES_tradnl"/>
        </w:rPr>
        <w:t>integradoras</w:t>
      </w:r>
      <w:r w:rsidR="00954347" w:rsidRPr="00153074">
        <w:rPr>
          <w:lang w:val="es-ES_tradnl"/>
        </w:rPr>
        <w:t xml:space="preserve"> y</w:t>
      </w:r>
      <w:r w:rsidR="00C27806" w:rsidRPr="00153074">
        <w:rPr>
          <w:lang w:val="es-ES_tradnl"/>
        </w:rPr>
        <w:t xml:space="preserve"> sostenibles</w:t>
      </w:r>
      <w:r w:rsidR="002A7792" w:rsidRPr="00153074">
        <w:rPr>
          <w:lang w:val="es-ES_tradnl"/>
        </w:rPr>
        <w:t>”</w:t>
      </w:r>
      <w:r w:rsidR="00C27806" w:rsidRPr="00153074">
        <w:rPr>
          <w:lang w:val="es-ES_tradnl"/>
        </w:rPr>
        <w:t xml:space="preserve"> </w:t>
      </w:r>
      <w:r w:rsidR="00B1268C" w:rsidRPr="00153074">
        <w:rPr>
          <w:lang w:val="es-ES_tradnl"/>
        </w:rPr>
        <w:t>(#10)</w:t>
      </w:r>
      <w:r w:rsidR="00C27806" w:rsidRPr="00153074">
        <w:rPr>
          <w:lang w:val="es-ES_tradnl"/>
        </w:rPr>
        <w:t xml:space="preserve"> y hacer uso de una serie de indicadores sobre valor económico añadido y creación empleo</w:t>
      </w:r>
      <w:r w:rsidR="00B1268C" w:rsidRPr="00153074">
        <w:rPr>
          <w:lang w:val="es-ES_tradnl"/>
        </w:rPr>
        <w:t xml:space="preserve"> (#4) (IA 2012).</w:t>
      </w:r>
    </w:p>
    <w:p w:rsidR="00B1268C" w:rsidRPr="00153074" w:rsidRDefault="00B1268C" w:rsidP="007462FA">
      <w:pPr>
        <w:jc w:val="both"/>
        <w:rPr>
          <w:lang w:val="es-ES_tradnl"/>
        </w:rPr>
      </w:pPr>
    </w:p>
    <w:p w:rsidR="00C27806" w:rsidRPr="00153074" w:rsidRDefault="005A45B5" w:rsidP="0091132E">
      <w:pPr>
        <w:tabs>
          <w:tab w:val="left" w:pos="8602"/>
        </w:tabs>
        <w:jc w:val="both"/>
        <w:rPr>
          <w:lang w:val="es-ES_tradnl"/>
        </w:rPr>
      </w:pPr>
      <w:r w:rsidRPr="00153074">
        <w:rPr>
          <w:lang w:val="es-ES_tradnl"/>
        </w:rPr>
        <w:t xml:space="preserve">En cuanto a la inversión responsable per se, el informe alienta a todos los países a </w:t>
      </w:r>
      <w:r w:rsidR="002A7792" w:rsidRPr="00153074">
        <w:rPr>
          <w:lang w:val="es-ES_tradnl"/>
        </w:rPr>
        <w:t>“</w:t>
      </w:r>
      <w:r w:rsidRPr="00153074">
        <w:rPr>
          <w:lang w:val="es-ES_tradnl"/>
        </w:rPr>
        <w:t>promover</w:t>
      </w:r>
      <w:r w:rsidR="002A7792" w:rsidRPr="00153074">
        <w:rPr>
          <w:lang w:val="es-ES_tradnl"/>
        </w:rPr>
        <w:t>”</w:t>
      </w:r>
      <w:r w:rsidR="00482BBF" w:rsidRPr="00153074">
        <w:rPr>
          <w:lang w:val="es-ES_tradnl"/>
        </w:rPr>
        <w:t xml:space="preserve"> los Principios Rectores de las Naciones </w:t>
      </w:r>
      <w:r w:rsidR="00040B05" w:rsidRPr="00153074">
        <w:rPr>
          <w:lang w:val="es-ES_tradnl"/>
        </w:rPr>
        <w:t xml:space="preserve">Unidas </w:t>
      </w:r>
      <w:r w:rsidR="00482BBF" w:rsidRPr="00153074">
        <w:rPr>
          <w:lang w:val="es-ES_tradnl"/>
        </w:rPr>
        <w:t xml:space="preserve">sobre Empresas y Derechos Humanos, la Declaración Tripartita sobre Empresas </w:t>
      </w:r>
      <w:r w:rsidR="00C86799" w:rsidRPr="00153074">
        <w:rPr>
          <w:lang w:val="es-ES_tradnl"/>
        </w:rPr>
        <w:t>Multinacionales (EMN) de la OIT</w:t>
      </w:r>
      <w:r w:rsidR="00482BBF" w:rsidRPr="00153074">
        <w:rPr>
          <w:lang w:val="es-ES_tradnl"/>
        </w:rPr>
        <w:t xml:space="preserve"> y las Directrices de la OCDE para EMN. </w:t>
      </w:r>
      <w:r w:rsidR="00F43D4C" w:rsidRPr="00153074">
        <w:rPr>
          <w:lang w:val="es-ES_tradnl"/>
        </w:rPr>
        <w:t xml:space="preserve">Las recomendaciones políticas, además de </w:t>
      </w:r>
      <w:r w:rsidR="002A7792" w:rsidRPr="00153074">
        <w:rPr>
          <w:lang w:val="es-ES_tradnl"/>
        </w:rPr>
        <w:t>“</w:t>
      </w:r>
      <w:r w:rsidR="00F43D4C" w:rsidRPr="00153074">
        <w:rPr>
          <w:lang w:val="es-ES_tradnl"/>
        </w:rPr>
        <w:t>la observancia de las</w:t>
      </w:r>
      <w:r w:rsidR="00C86799" w:rsidRPr="00153074">
        <w:rPr>
          <w:lang w:val="es-ES_tradnl"/>
        </w:rPr>
        <w:t xml:space="preserve"> normas voluntarias</w:t>
      </w:r>
      <w:r w:rsidR="002A7792" w:rsidRPr="00153074">
        <w:rPr>
          <w:lang w:val="es-ES_tradnl"/>
        </w:rPr>
        <w:t>”</w:t>
      </w:r>
      <w:r w:rsidR="00C86799" w:rsidRPr="00153074">
        <w:rPr>
          <w:lang w:val="es-ES_tradnl"/>
        </w:rPr>
        <w:t>, incluye</w:t>
      </w:r>
      <w:r w:rsidR="00040B05" w:rsidRPr="00153074">
        <w:rPr>
          <w:lang w:val="es-ES_tradnl"/>
        </w:rPr>
        <w:t>n</w:t>
      </w:r>
      <w:r w:rsidR="00F43D4C" w:rsidRPr="00153074">
        <w:rPr>
          <w:lang w:val="es-ES_tradnl"/>
        </w:rPr>
        <w:t xml:space="preserve">: criterios de compra de los </w:t>
      </w:r>
      <w:r w:rsidR="00864464" w:rsidRPr="00153074">
        <w:rPr>
          <w:lang w:val="es-ES_tradnl"/>
        </w:rPr>
        <w:t>Gobierno</w:t>
      </w:r>
      <w:r w:rsidR="00F43D4C" w:rsidRPr="00153074">
        <w:rPr>
          <w:lang w:val="es-ES_tradnl"/>
        </w:rPr>
        <w:t xml:space="preserve">s; reglas de cotización en bolsa; desarrollo de capacidades; iniciativas </w:t>
      </w:r>
      <w:r w:rsidR="00E04479" w:rsidRPr="00153074">
        <w:rPr>
          <w:lang w:val="es-ES_tradnl"/>
        </w:rPr>
        <w:t>reguladoras</w:t>
      </w:r>
      <w:r w:rsidR="00F43D4C" w:rsidRPr="00153074">
        <w:rPr>
          <w:lang w:val="es-ES_tradnl"/>
        </w:rPr>
        <w:t xml:space="preserve">; e inversión y promoción </w:t>
      </w:r>
      <w:r w:rsidR="00BB4F85" w:rsidRPr="00153074">
        <w:rPr>
          <w:lang w:val="es-ES_tradnl"/>
        </w:rPr>
        <w:t>del comercio</w:t>
      </w:r>
      <w:r w:rsidR="00F43D4C" w:rsidRPr="00153074">
        <w:rPr>
          <w:lang w:val="es-ES_tradnl"/>
        </w:rPr>
        <w:t>.</w:t>
      </w:r>
    </w:p>
    <w:p w:rsidR="00B1268C" w:rsidRPr="00153074" w:rsidRDefault="00B1268C" w:rsidP="007462FA">
      <w:pPr>
        <w:jc w:val="both"/>
        <w:rPr>
          <w:lang w:val="es-ES_tradnl"/>
        </w:rPr>
      </w:pPr>
    </w:p>
    <w:p w:rsidR="00B1268C" w:rsidRPr="00153074" w:rsidRDefault="00F43D4C" w:rsidP="00FF15C9">
      <w:pPr>
        <w:jc w:val="both"/>
        <w:rPr>
          <w:lang w:val="es-ES_tradnl"/>
        </w:rPr>
      </w:pPr>
      <w:r w:rsidRPr="00153074">
        <w:rPr>
          <w:lang w:val="es-ES_tradnl"/>
        </w:rPr>
        <w:lastRenderedPageBreak/>
        <w:t>El trabajo interinstitucional sobre inversión responsable</w:t>
      </w:r>
      <w:r w:rsidR="00D51135" w:rsidRPr="00153074">
        <w:rPr>
          <w:lang w:val="es-ES_tradnl"/>
        </w:rPr>
        <w:t xml:space="preserve"> contó con</w:t>
      </w:r>
      <w:r w:rsidR="00BB4F85" w:rsidRPr="00153074">
        <w:rPr>
          <w:lang w:val="es-ES_tradnl"/>
        </w:rPr>
        <w:t xml:space="preserve"> un apoyo moderado por parte del GT</w:t>
      </w:r>
      <w:r w:rsidR="00D51135" w:rsidRPr="00153074">
        <w:rPr>
          <w:lang w:val="es-ES_tradnl"/>
        </w:rPr>
        <w:t xml:space="preserve"> </w:t>
      </w:r>
      <w:r w:rsidR="00DB4850" w:rsidRPr="00153074">
        <w:rPr>
          <w:lang w:val="es-ES_tradnl"/>
        </w:rPr>
        <w:t xml:space="preserve">del G20 </w:t>
      </w:r>
      <w:r w:rsidR="00D51135" w:rsidRPr="00153074">
        <w:rPr>
          <w:lang w:val="es-ES_tradnl"/>
        </w:rPr>
        <w:t>sobre desarrollo, donde fue bienvenido por</w:t>
      </w:r>
      <w:r w:rsidR="00BB4F85" w:rsidRPr="00153074">
        <w:rPr>
          <w:lang w:val="es-ES_tradnl"/>
        </w:rPr>
        <w:t xml:space="preserve"> el hecho de</w:t>
      </w:r>
      <w:r w:rsidR="00D51135" w:rsidRPr="00153074">
        <w:rPr>
          <w:lang w:val="es-ES_tradnl"/>
        </w:rPr>
        <w:t xml:space="preserve"> ofrecer </w:t>
      </w:r>
      <w:r w:rsidR="002A7792" w:rsidRPr="00153074">
        <w:rPr>
          <w:lang w:val="es-ES_tradnl"/>
        </w:rPr>
        <w:t>“</w:t>
      </w:r>
      <w:r w:rsidR="00D51135" w:rsidRPr="00153074">
        <w:rPr>
          <w:lang w:val="es-ES_tradnl"/>
        </w:rPr>
        <w:t>opciones políticas</w:t>
      </w:r>
      <w:r w:rsidR="002A7792" w:rsidRPr="00153074">
        <w:rPr>
          <w:lang w:val="es-ES_tradnl"/>
        </w:rPr>
        <w:t>”</w:t>
      </w:r>
      <w:r w:rsidR="00D51135" w:rsidRPr="00153074">
        <w:rPr>
          <w:lang w:val="es-ES_tradnl"/>
        </w:rPr>
        <w:t xml:space="preserve"> sobre inclusión y sobre </w:t>
      </w:r>
      <w:r w:rsidR="002A7792" w:rsidRPr="00153074">
        <w:rPr>
          <w:lang w:val="es-ES_tradnl"/>
        </w:rPr>
        <w:t>“</w:t>
      </w:r>
      <w:r w:rsidR="00D51135" w:rsidRPr="00153074">
        <w:rPr>
          <w:lang w:val="es-ES_tradnl"/>
        </w:rPr>
        <w:t>mecanismos de promoción de observancia voluntaria</w:t>
      </w:r>
      <w:r w:rsidR="002A7792" w:rsidRPr="00153074">
        <w:rPr>
          <w:lang w:val="es-ES_tradnl"/>
        </w:rPr>
        <w:t>”</w:t>
      </w:r>
      <w:r w:rsidR="00D51135" w:rsidRPr="00153074">
        <w:rPr>
          <w:lang w:val="es-ES_tradnl"/>
        </w:rPr>
        <w:t xml:space="preserve">. </w:t>
      </w:r>
      <w:r w:rsidR="00E3692B" w:rsidRPr="00153074">
        <w:rPr>
          <w:lang w:val="es-ES_tradnl"/>
        </w:rPr>
        <w:t>Por otra parte</w:t>
      </w:r>
      <w:r w:rsidR="00D51135" w:rsidRPr="00153074">
        <w:rPr>
          <w:lang w:val="es-ES_tradnl"/>
        </w:rPr>
        <w:t xml:space="preserve">, el GT advirtió contra los abusos de las recomendaciones del informe </w:t>
      </w:r>
      <w:r w:rsidR="002A7792" w:rsidRPr="00153074">
        <w:rPr>
          <w:lang w:val="es-ES_tradnl"/>
        </w:rPr>
        <w:t>“</w:t>
      </w:r>
      <w:r w:rsidR="00D51135" w:rsidRPr="00153074">
        <w:rPr>
          <w:lang w:val="es-ES_tradnl"/>
        </w:rPr>
        <w:t xml:space="preserve">para fines de proteccionismo </w:t>
      </w:r>
      <w:r w:rsidR="00BB4F85" w:rsidRPr="00153074">
        <w:rPr>
          <w:lang w:val="es-ES_tradnl"/>
        </w:rPr>
        <w:t>del comercio</w:t>
      </w:r>
      <w:r w:rsidR="00D51135" w:rsidRPr="00153074">
        <w:rPr>
          <w:lang w:val="es-ES_tradnl"/>
        </w:rPr>
        <w:t xml:space="preserve"> y las inversiones</w:t>
      </w:r>
      <w:r w:rsidR="002A7792" w:rsidRPr="00153074">
        <w:rPr>
          <w:lang w:val="es-ES_tradnl"/>
        </w:rPr>
        <w:t>”</w:t>
      </w:r>
      <w:r w:rsidR="00B1268C" w:rsidRPr="00153074">
        <w:rPr>
          <w:lang w:val="es-ES_tradnl"/>
        </w:rPr>
        <w:t xml:space="preserve"> (G20WG 2011). </w:t>
      </w:r>
      <w:r w:rsidR="00D51135" w:rsidRPr="00153074">
        <w:rPr>
          <w:lang w:val="es-ES_tradnl"/>
        </w:rPr>
        <w:t xml:space="preserve">Esta inquietud fue nuevamente subrayada </w:t>
      </w:r>
      <w:r w:rsidR="00E3692B" w:rsidRPr="00153074">
        <w:rPr>
          <w:lang w:val="es-ES_tradnl"/>
        </w:rPr>
        <w:t>en 2012</w:t>
      </w:r>
      <w:r w:rsidR="00DB4850" w:rsidRPr="00153074">
        <w:rPr>
          <w:lang w:val="es-ES_tradnl"/>
        </w:rPr>
        <w:t>,</w:t>
      </w:r>
      <w:r w:rsidR="00E3692B" w:rsidRPr="00153074">
        <w:rPr>
          <w:lang w:val="es-ES_tradnl"/>
        </w:rPr>
        <w:t xml:space="preserve"> </w:t>
      </w:r>
      <w:r w:rsidR="00D51135" w:rsidRPr="00153074">
        <w:rPr>
          <w:lang w:val="es-ES_tradnl"/>
        </w:rPr>
        <w:t xml:space="preserve">en el siguiente informe del GT del G20, </w:t>
      </w:r>
      <w:r w:rsidR="00346792" w:rsidRPr="00153074">
        <w:rPr>
          <w:lang w:val="es-ES_tradnl"/>
        </w:rPr>
        <w:t>donde</w:t>
      </w:r>
      <w:r w:rsidR="00E3692B" w:rsidRPr="00153074">
        <w:rPr>
          <w:lang w:val="es-ES_tradnl"/>
        </w:rPr>
        <w:t xml:space="preserve"> se</w:t>
      </w:r>
      <w:r w:rsidR="00D51135" w:rsidRPr="00153074">
        <w:rPr>
          <w:lang w:val="es-ES_tradnl"/>
        </w:rPr>
        <w:t xml:space="preserve"> </w:t>
      </w:r>
      <w:r w:rsidR="00BB4F85" w:rsidRPr="00153074">
        <w:rPr>
          <w:lang w:val="es-ES_tradnl"/>
        </w:rPr>
        <w:t>afirma</w:t>
      </w:r>
      <w:r w:rsidR="00D51135" w:rsidRPr="00153074">
        <w:rPr>
          <w:lang w:val="es-ES_tradnl"/>
        </w:rPr>
        <w:t xml:space="preserve"> que </w:t>
      </w:r>
      <w:r w:rsidR="002A7792" w:rsidRPr="00153074">
        <w:rPr>
          <w:lang w:val="es-ES_tradnl"/>
        </w:rPr>
        <w:t>“</w:t>
      </w:r>
      <w:r w:rsidR="00D51135" w:rsidRPr="00153074">
        <w:rPr>
          <w:lang w:val="es-ES_tradnl"/>
        </w:rPr>
        <w:t xml:space="preserve">es preciso tener cuidado con el hecho de que los indicadores </w:t>
      </w:r>
      <w:r w:rsidR="00BB4F85" w:rsidRPr="00153074">
        <w:rPr>
          <w:lang w:val="es-ES_tradnl"/>
        </w:rPr>
        <w:t>y</w:t>
      </w:r>
      <w:r w:rsidR="00D51135" w:rsidRPr="00153074">
        <w:rPr>
          <w:lang w:val="es-ES_tradnl"/>
        </w:rPr>
        <w:t xml:space="preserve"> las normas no</w:t>
      </w:r>
      <w:r w:rsidR="00BB4F85" w:rsidRPr="00153074">
        <w:rPr>
          <w:lang w:val="es-ES_tradnl"/>
        </w:rPr>
        <w:t xml:space="preserve"> se</w:t>
      </w:r>
      <w:r w:rsidR="00D51135" w:rsidRPr="00153074">
        <w:rPr>
          <w:lang w:val="es-ES_tradnl"/>
        </w:rPr>
        <w:t xml:space="preserve"> utilicen para fines </w:t>
      </w:r>
      <w:r w:rsidR="00E90046" w:rsidRPr="00153074">
        <w:rPr>
          <w:lang w:val="es-ES_tradnl"/>
        </w:rPr>
        <w:t xml:space="preserve">de proteccionismo </w:t>
      </w:r>
      <w:r w:rsidR="00BB4F85" w:rsidRPr="00153074">
        <w:rPr>
          <w:lang w:val="es-ES_tradnl"/>
        </w:rPr>
        <w:t xml:space="preserve">del comercio </w:t>
      </w:r>
      <w:r w:rsidR="00E90046" w:rsidRPr="00153074">
        <w:rPr>
          <w:lang w:val="es-ES_tradnl"/>
        </w:rPr>
        <w:t>y</w:t>
      </w:r>
      <w:r w:rsidR="00BB4F85" w:rsidRPr="00153074">
        <w:rPr>
          <w:lang w:val="es-ES_tradnl"/>
        </w:rPr>
        <w:t xml:space="preserve"> </w:t>
      </w:r>
      <w:r w:rsidR="00E90046" w:rsidRPr="00153074">
        <w:rPr>
          <w:lang w:val="es-ES_tradnl"/>
        </w:rPr>
        <w:t>las inversiones</w:t>
      </w:r>
      <w:r w:rsidR="002A7792" w:rsidRPr="00153074">
        <w:rPr>
          <w:lang w:val="es-ES_tradnl"/>
        </w:rPr>
        <w:t>”</w:t>
      </w:r>
      <w:r w:rsidR="00E90046" w:rsidRPr="00153074">
        <w:rPr>
          <w:lang w:val="es-ES_tradnl"/>
        </w:rPr>
        <w:t xml:space="preserve"> </w:t>
      </w:r>
      <w:r w:rsidR="005102B4" w:rsidRPr="00153074">
        <w:rPr>
          <w:lang w:val="es-ES_tradnl"/>
        </w:rPr>
        <w:t>(</w:t>
      </w:r>
      <w:r w:rsidR="00ED7AA9" w:rsidRPr="00153074">
        <w:rPr>
          <w:lang w:val="es-ES_tradnl"/>
        </w:rPr>
        <w:t>G20WG 2012</w:t>
      </w:r>
      <w:r w:rsidR="00B1268C" w:rsidRPr="00153074">
        <w:rPr>
          <w:lang w:val="es-ES_tradnl"/>
        </w:rPr>
        <w:t xml:space="preserve">). </w:t>
      </w:r>
      <w:r w:rsidR="00E90046" w:rsidRPr="00153074">
        <w:rPr>
          <w:lang w:val="es-ES_tradnl"/>
        </w:rPr>
        <w:t xml:space="preserve">No obstante, </w:t>
      </w:r>
      <w:r w:rsidR="00BB4F85" w:rsidRPr="00153074">
        <w:rPr>
          <w:lang w:val="es-ES_tradnl"/>
        </w:rPr>
        <w:t>resulta</w:t>
      </w:r>
      <w:r w:rsidR="00E90046" w:rsidRPr="00153074">
        <w:rPr>
          <w:lang w:val="es-ES_tradnl"/>
        </w:rPr>
        <w:t xml:space="preserve"> extraño que el informe interinstitucional no mencione en ningún momento </w:t>
      </w:r>
      <w:r w:rsidR="005F1945" w:rsidRPr="00153074">
        <w:rPr>
          <w:lang w:val="es-ES_tradnl"/>
        </w:rPr>
        <w:t xml:space="preserve">algún </w:t>
      </w:r>
      <w:r w:rsidR="00E90046" w:rsidRPr="00153074">
        <w:rPr>
          <w:lang w:val="es-ES_tradnl"/>
        </w:rPr>
        <w:t>riesgo posible o real de que las normas de inversión responsable promuevan el proteccionismo</w:t>
      </w:r>
      <w:r w:rsidR="00B1268C" w:rsidRPr="00153074">
        <w:rPr>
          <w:lang w:val="es-ES_tradnl"/>
        </w:rPr>
        <w:t>.</w:t>
      </w:r>
    </w:p>
    <w:p w:rsidR="00FF15C9" w:rsidRPr="00153074" w:rsidRDefault="00FF15C9" w:rsidP="00FF15C9">
      <w:pPr>
        <w:jc w:val="both"/>
        <w:rPr>
          <w:lang w:val="es-ES_tradnl"/>
        </w:rPr>
      </w:pPr>
    </w:p>
    <w:p w:rsidR="00FF15C9" w:rsidRPr="00153074" w:rsidRDefault="00F946EA" w:rsidP="00FF15C9">
      <w:pPr>
        <w:pStyle w:val="Heading3"/>
        <w:rPr>
          <w:lang w:val="es-ES_tradnl"/>
        </w:rPr>
      </w:pPr>
      <w:bookmarkStart w:id="51" w:name="_Toc359331983"/>
      <w:bookmarkStart w:id="52" w:name="_Toc369604918"/>
      <w:r w:rsidRPr="00153074">
        <w:rPr>
          <w:lang w:val="es-ES_tradnl"/>
        </w:rPr>
        <w:t>Indicadores sobre el valor económico añadido y la creación de emple</w:t>
      </w:r>
      <w:bookmarkEnd w:id="51"/>
      <w:r w:rsidRPr="00153074">
        <w:rPr>
          <w:lang w:val="es-ES_tradnl"/>
        </w:rPr>
        <w:t>o</w:t>
      </w:r>
      <w:bookmarkEnd w:id="52"/>
    </w:p>
    <w:p w:rsidR="00B1268C" w:rsidRPr="00153074" w:rsidRDefault="00F946EA" w:rsidP="007462FA">
      <w:pPr>
        <w:jc w:val="both"/>
        <w:rPr>
          <w:lang w:val="es-ES_tradnl"/>
        </w:rPr>
      </w:pPr>
      <w:r w:rsidRPr="00153074">
        <w:rPr>
          <w:lang w:val="es-ES_tradnl"/>
        </w:rPr>
        <w:t xml:space="preserve">El GT del G20 elaboró una serie de indicadores en un </w:t>
      </w:r>
      <w:r w:rsidR="00753B9B" w:rsidRPr="00153074">
        <w:rPr>
          <w:lang w:val="es-ES_tradnl"/>
        </w:rPr>
        <w:t>intento</w:t>
      </w:r>
      <w:r w:rsidRPr="00153074">
        <w:rPr>
          <w:lang w:val="es-ES_tradnl"/>
        </w:rPr>
        <w:t xml:space="preserve"> por medir el impacto </w:t>
      </w:r>
      <w:r w:rsidR="00596A28" w:rsidRPr="00153074">
        <w:rPr>
          <w:lang w:val="es-ES_tradnl"/>
        </w:rPr>
        <w:t xml:space="preserve">del sector privado en el desarrollo </w:t>
      </w:r>
      <w:r w:rsidRPr="00153074">
        <w:rPr>
          <w:lang w:val="es-ES_tradnl"/>
        </w:rPr>
        <w:t>sob</w:t>
      </w:r>
      <w:r w:rsidR="00596A28" w:rsidRPr="00153074">
        <w:rPr>
          <w:lang w:val="es-ES_tradnl"/>
        </w:rPr>
        <w:t>re el valor económico añadido y</w:t>
      </w:r>
      <w:r w:rsidRPr="00153074">
        <w:rPr>
          <w:lang w:val="es-ES_tradnl"/>
        </w:rPr>
        <w:t xml:space="preserve"> </w:t>
      </w:r>
      <w:r w:rsidR="00596A28" w:rsidRPr="00153074">
        <w:rPr>
          <w:lang w:val="es-ES_tradnl"/>
        </w:rPr>
        <w:t xml:space="preserve">la </w:t>
      </w:r>
      <w:r w:rsidRPr="00153074">
        <w:rPr>
          <w:lang w:val="es-ES_tradnl"/>
        </w:rPr>
        <w:t>creación de empleo. El marco fue p</w:t>
      </w:r>
      <w:r w:rsidR="00753B9B" w:rsidRPr="00153074">
        <w:rPr>
          <w:lang w:val="es-ES_tradnl"/>
        </w:rPr>
        <w:t xml:space="preserve">uesto a prueba </w:t>
      </w:r>
      <w:r w:rsidRPr="00153074">
        <w:rPr>
          <w:lang w:val="es-ES_tradnl"/>
        </w:rPr>
        <w:t>en seis países (República Dominicana,</w:t>
      </w:r>
      <w:r w:rsidR="00B1268C" w:rsidRPr="00153074">
        <w:rPr>
          <w:lang w:val="es-ES_tradnl"/>
        </w:rPr>
        <w:t xml:space="preserve"> Mongolia, Bangladesh, Laos, Cambo</w:t>
      </w:r>
      <w:r w:rsidRPr="00153074">
        <w:rPr>
          <w:lang w:val="es-ES_tradnl"/>
        </w:rPr>
        <w:t>ya y</w:t>
      </w:r>
      <w:r w:rsidR="00B1268C" w:rsidRPr="00153074">
        <w:rPr>
          <w:lang w:val="es-ES_tradnl"/>
        </w:rPr>
        <w:t xml:space="preserve"> Mozambique), </w:t>
      </w:r>
      <w:r w:rsidRPr="00153074">
        <w:rPr>
          <w:lang w:val="es-ES_tradnl"/>
        </w:rPr>
        <w:t xml:space="preserve">con </w:t>
      </w:r>
      <w:r w:rsidR="00ED7AA9" w:rsidRPr="00153074">
        <w:rPr>
          <w:lang w:val="es-ES_tradnl"/>
        </w:rPr>
        <w:t xml:space="preserve">un total de </w:t>
      </w:r>
      <w:r w:rsidR="00596A28" w:rsidRPr="00153074">
        <w:rPr>
          <w:lang w:val="es-ES_tradnl"/>
        </w:rPr>
        <w:t>doce</w:t>
      </w:r>
      <w:r w:rsidRPr="00153074">
        <w:rPr>
          <w:lang w:val="es-ES_tradnl"/>
        </w:rPr>
        <w:t xml:space="preserve"> indicadores agrupados en tres apartados</w:t>
      </w:r>
      <w:r w:rsidR="00B1268C" w:rsidRPr="00153074">
        <w:rPr>
          <w:lang w:val="es-ES_tradnl"/>
        </w:rPr>
        <w:t>:</w:t>
      </w:r>
    </w:p>
    <w:p w:rsidR="00B1268C" w:rsidRPr="00153074" w:rsidRDefault="00F946EA" w:rsidP="001E5C8E">
      <w:pPr>
        <w:numPr>
          <w:ilvl w:val="0"/>
          <w:numId w:val="30"/>
        </w:numPr>
        <w:jc w:val="both"/>
        <w:rPr>
          <w:lang w:val="es-ES_tradnl"/>
        </w:rPr>
      </w:pPr>
      <w:r w:rsidRPr="00153074">
        <w:rPr>
          <w:lang w:val="es-ES_tradnl"/>
        </w:rPr>
        <w:t>Valor económico añadido</w:t>
      </w:r>
      <w:r w:rsidR="00B1268C" w:rsidRPr="00153074">
        <w:rPr>
          <w:lang w:val="es-ES_tradnl"/>
        </w:rPr>
        <w:t>:</w:t>
      </w:r>
      <w:r w:rsidR="00721735" w:rsidRPr="00153074">
        <w:rPr>
          <w:lang w:val="es-ES_tradnl"/>
        </w:rPr>
        <w:t xml:space="preserve"> </w:t>
      </w:r>
      <w:r w:rsidR="00B1268C" w:rsidRPr="00153074">
        <w:rPr>
          <w:lang w:val="es-ES_tradnl"/>
        </w:rPr>
        <w:t xml:space="preserve">(i) </w:t>
      </w:r>
      <w:r w:rsidRPr="00153074">
        <w:rPr>
          <w:lang w:val="es-ES_tradnl"/>
        </w:rPr>
        <w:t>valor añadido total</w:t>
      </w:r>
      <w:r w:rsidR="001E5C8E" w:rsidRPr="00153074">
        <w:rPr>
          <w:lang w:val="es-ES_tradnl"/>
        </w:rPr>
        <w:t>;</w:t>
      </w:r>
      <w:r w:rsidR="00B1268C" w:rsidRPr="00153074">
        <w:rPr>
          <w:lang w:val="es-ES_tradnl"/>
        </w:rPr>
        <w:t xml:space="preserve"> (ii) </w:t>
      </w:r>
      <w:r w:rsidRPr="00153074">
        <w:rPr>
          <w:lang w:val="es-ES_tradnl"/>
        </w:rPr>
        <w:t>valor de formación de capital</w:t>
      </w:r>
      <w:r w:rsidR="001E5C8E" w:rsidRPr="00153074">
        <w:rPr>
          <w:lang w:val="es-ES_tradnl"/>
        </w:rPr>
        <w:t>;</w:t>
      </w:r>
      <w:r w:rsidR="00B1268C" w:rsidRPr="00153074">
        <w:rPr>
          <w:lang w:val="es-ES_tradnl"/>
        </w:rPr>
        <w:t xml:space="preserve"> (iii) </w:t>
      </w:r>
      <w:r w:rsidR="005E5108" w:rsidRPr="00153074">
        <w:rPr>
          <w:lang w:val="es-ES_tradnl"/>
        </w:rPr>
        <w:t>generación de exportaciones total y neta</w:t>
      </w:r>
      <w:r w:rsidR="001E5C8E" w:rsidRPr="00153074">
        <w:rPr>
          <w:lang w:val="es-ES_tradnl"/>
        </w:rPr>
        <w:t>;</w:t>
      </w:r>
      <w:r w:rsidR="00B1268C" w:rsidRPr="00153074">
        <w:rPr>
          <w:lang w:val="es-ES_tradnl"/>
        </w:rPr>
        <w:t xml:space="preserve"> (iv) </w:t>
      </w:r>
      <w:r w:rsidR="005E5108" w:rsidRPr="00153074">
        <w:rPr>
          <w:lang w:val="es-ES_tradnl"/>
        </w:rPr>
        <w:t>número de entidades empresariales formales</w:t>
      </w:r>
      <w:r w:rsidR="001E5C8E" w:rsidRPr="00153074">
        <w:rPr>
          <w:lang w:val="es-ES_tradnl"/>
        </w:rPr>
        <w:t>;</w:t>
      </w:r>
      <w:r w:rsidR="00B1268C" w:rsidRPr="00153074">
        <w:rPr>
          <w:lang w:val="es-ES_tradnl"/>
        </w:rPr>
        <w:t xml:space="preserve"> (v)</w:t>
      </w:r>
      <w:r w:rsidR="005E5108" w:rsidRPr="00153074">
        <w:rPr>
          <w:lang w:val="es-ES_tradnl"/>
        </w:rPr>
        <w:t xml:space="preserve"> ingresos fiscales totales.</w:t>
      </w:r>
    </w:p>
    <w:p w:rsidR="00B1268C" w:rsidRPr="00153074" w:rsidRDefault="005E5108" w:rsidP="00FF15C9">
      <w:pPr>
        <w:numPr>
          <w:ilvl w:val="0"/>
          <w:numId w:val="30"/>
        </w:numPr>
        <w:jc w:val="both"/>
        <w:rPr>
          <w:lang w:val="es-ES_tradnl"/>
        </w:rPr>
      </w:pPr>
      <w:r w:rsidRPr="00153074">
        <w:rPr>
          <w:bCs/>
          <w:lang w:val="es-ES_tradnl"/>
        </w:rPr>
        <w:t>Creación de empleo:</w:t>
      </w:r>
      <w:r w:rsidR="00B1268C" w:rsidRPr="00153074">
        <w:rPr>
          <w:lang w:val="es-ES_tradnl"/>
        </w:rPr>
        <w:t xml:space="preserve"> (vi) </w:t>
      </w:r>
      <w:r w:rsidRPr="00153074">
        <w:rPr>
          <w:lang w:val="es-ES_tradnl"/>
        </w:rPr>
        <w:t xml:space="preserve">empleo </w:t>
      </w:r>
      <w:r w:rsidR="00B1268C" w:rsidRPr="00153074">
        <w:rPr>
          <w:lang w:val="es-ES_tradnl"/>
        </w:rPr>
        <w:t>(</w:t>
      </w:r>
      <w:r w:rsidR="006F5717" w:rsidRPr="00153074">
        <w:rPr>
          <w:lang w:val="es-ES_tradnl"/>
        </w:rPr>
        <w:t>cifra</w:t>
      </w:r>
      <w:r w:rsidR="00B1268C" w:rsidRPr="00153074">
        <w:rPr>
          <w:lang w:val="es-ES_tradnl"/>
        </w:rPr>
        <w:t>)</w:t>
      </w:r>
      <w:r w:rsidR="001E5C8E" w:rsidRPr="00153074">
        <w:rPr>
          <w:lang w:val="es-ES_tradnl"/>
        </w:rPr>
        <w:t>;</w:t>
      </w:r>
      <w:r w:rsidR="00B1268C" w:rsidRPr="00153074">
        <w:rPr>
          <w:lang w:val="es-ES_tradnl"/>
        </w:rPr>
        <w:t xml:space="preserve"> (vii) </w:t>
      </w:r>
      <w:r w:rsidRPr="00153074">
        <w:rPr>
          <w:lang w:val="es-ES_tradnl"/>
        </w:rPr>
        <w:t>salarios</w:t>
      </w:r>
      <w:r w:rsidR="001E5C8E" w:rsidRPr="00153074">
        <w:rPr>
          <w:lang w:val="es-ES_tradnl"/>
        </w:rPr>
        <w:t>;</w:t>
      </w:r>
      <w:r w:rsidR="00B1268C" w:rsidRPr="00153074">
        <w:rPr>
          <w:lang w:val="es-ES_tradnl"/>
        </w:rPr>
        <w:t xml:space="preserve"> (viii)</w:t>
      </w:r>
      <w:r w:rsidRPr="00153074">
        <w:rPr>
          <w:lang w:val="es-ES_tradnl"/>
        </w:rPr>
        <w:t xml:space="preserve"> tipologías de niveles de competencias de los empleados.</w:t>
      </w:r>
    </w:p>
    <w:p w:rsidR="00B1268C" w:rsidRPr="00153074" w:rsidRDefault="005E5108" w:rsidP="00FF15C9">
      <w:pPr>
        <w:numPr>
          <w:ilvl w:val="0"/>
          <w:numId w:val="30"/>
        </w:numPr>
        <w:jc w:val="both"/>
        <w:rPr>
          <w:spacing w:val="-2"/>
          <w:lang w:val="es-ES_tradnl"/>
        </w:rPr>
      </w:pPr>
      <w:r w:rsidRPr="00153074">
        <w:rPr>
          <w:spacing w:val="-2"/>
          <w:lang w:val="es-ES_tradnl"/>
        </w:rPr>
        <w:t>Desarrollo sostenible: (</w:t>
      </w:r>
      <w:r w:rsidR="005102B4" w:rsidRPr="00153074">
        <w:rPr>
          <w:spacing w:val="-2"/>
          <w:lang w:val="es-ES_tradnl"/>
        </w:rPr>
        <w:t>i</w:t>
      </w:r>
      <w:r w:rsidR="00B1268C" w:rsidRPr="00153074">
        <w:rPr>
          <w:spacing w:val="-2"/>
          <w:lang w:val="es-ES_tradnl"/>
        </w:rPr>
        <w:t xml:space="preserve">x) </w:t>
      </w:r>
      <w:r w:rsidRPr="00153074">
        <w:rPr>
          <w:spacing w:val="-2"/>
          <w:lang w:val="es-ES_tradnl"/>
        </w:rPr>
        <w:t>indicadores de impacto laboral</w:t>
      </w:r>
      <w:r w:rsidR="001E5C8E" w:rsidRPr="00153074">
        <w:rPr>
          <w:spacing w:val="-2"/>
          <w:lang w:val="es-ES_tradnl"/>
        </w:rPr>
        <w:t>;</w:t>
      </w:r>
      <w:r w:rsidR="00B1268C" w:rsidRPr="00153074">
        <w:rPr>
          <w:spacing w:val="-2"/>
          <w:lang w:val="es-ES_tradnl"/>
        </w:rPr>
        <w:t xml:space="preserve"> (x) </w:t>
      </w:r>
      <w:r w:rsidRPr="00153074">
        <w:rPr>
          <w:spacing w:val="-2"/>
          <w:lang w:val="es-ES_tradnl"/>
        </w:rPr>
        <w:t>indicadores de impacto social</w:t>
      </w:r>
      <w:r w:rsidR="001E5C8E" w:rsidRPr="00153074">
        <w:rPr>
          <w:spacing w:val="-2"/>
          <w:lang w:val="es-ES_tradnl"/>
        </w:rPr>
        <w:t>;</w:t>
      </w:r>
      <w:r w:rsidR="00B1268C" w:rsidRPr="00153074">
        <w:rPr>
          <w:spacing w:val="-2"/>
          <w:lang w:val="es-ES_tradnl"/>
        </w:rPr>
        <w:t xml:space="preserve"> (xi) </w:t>
      </w:r>
      <w:r w:rsidRPr="00153074">
        <w:rPr>
          <w:spacing w:val="-2"/>
          <w:lang w:val="es-ES_tradnl"/>
        </w:rPr>
        <w:t>indicadores de impacto medioambiental</w:t>
      </w:r>
      <w:r w:rsidR="001E5C8E" w:rsidRPr="00153074">
        <w:rPr>
          <w:spacing w:val="-2"/>
          <w:lang w:val="es-ES_tradnl"/>
        </w:rPr>
        <w:t>;</w:t>
      </w:r>
      <w:r w:rsidR="00B1268C" w:rsidRPr="00153074">
        <w:rPr>
          <w:spacing w:val="-2"/>
          <w:lang w:val="es-ES_tradnl"/>
        </w:rPr>
        <w:t xml:space="preserve"> (xii) </w:t>
      </w:r>
      <w:r w:rsidRPr="00153074">
        <w:rPr>
          <w:spacing w:val="-2"/>
          <w:lang w:val="es-ES_tradnl"/>
        </w:rPr>
        <w:t>indicadores de impacto en el desarrollo</w:t>
      </w:r>
      <w:r w:rsidR="00283BD6" w:rsidRPr="00153074">
        <w:rPr>
          <w:spacing w:val="-2"/>
          <w:lang w:val="es-ES_tradnl"/>
        </w:rPr>
        <w:t xml:space="preserve"> </w:t>
      </w:r>
      <w:r w:rsidR="00B1268C" w:rsidRPr="00153074">
        <w:rPr>
          <w:spacing w:val="-2"/>
          <w:lang w:val="es-ES_tradnl"/>
        </w:rPr>
        <w:t>(IA 2011b).</w:t>
      </w:r>
    </w:p>
    <w:p w:rsidR="006C4D0B" w:rsidRPr="00153074" w:rsidRDefault="006C4D0B" w:rsidP="007462FA">
      <w:pPr>
        <w:jc w:val="both"/>
        <w:rPr>
          <w:lang w:val="es-ES_tradnl"/>
        </w:rPr>
      </w:pPr>
    </w:p>
    <w:p w:rsidR="005E5108" w:rsidRPr="00153074" w:rsidRDefault="00480F4D" w:rsidP="007462FA">
      <w:pPr>
        <w:jc w:val="both"/>
        <w:rPr>
          <w:lang w:val="es-ES_tradnl"/>
        </w:rPr>
      </w:pPr>
      <w:r w:rsidRPr="00153074">
        <w:rPr>
          <w:lang w:val="es-ES_tradnl"/>
        </w:rPr>
        <w:t xml:space="preserve">Lamentablemente </w:t>
      </w:r>
      <w:r w:rsidR="005E5108" w:rsidRPr="00153074">
        <w:rPr>
          <w:lang w:val="es-ES_tradnl"/>
        </w:rPr>
        <w:t>no</w:t>
      </w:r>
      <w:r w:rsidR="006F5717" w:rsidRPr="00153074">
        <w:rPr>
          <w:lang w:val="es-ES_tradnl"/>
        </w:rPr>
        <w:t xml:space="preserve"> </w:t>
      </w:r>
      <w:r w:rsidR="005E5108" w:rsidRPr="00153074">
        <w:rPr>
          <w:lang w:val="es-ES_tradnl"/>
        </w:rPr>
        <w:t>s</w:t>
      </w:r>
      <w:r w:rsidR="006F5717" w:rsidRPr="00153074">
        <w:rPr>
          <w:lang w:val="es-ES_tradnl"/>
        </w:rPr>
        <w:t>e</w:t>
      </w:r>
      <w:r w:rsidR="005E5108" w:rsidRPr="00153074">
        <w:rPr>
          <w:lang w:val="es-ES_tradnl"/>
        </w:rPr>
        <w:t xml:space="preserve"> incluye ninguna medida sobre la calidad de los empleos </w:t>
      </w:r>
      <w:r w:rsidRPr="00153074">
        <w:rPr>
          <w:lang w:val="es-ES_tradnl"/>
        </w:rPr>
        <w:t>ni</w:t>
      </w:r>
      <w:r w:rsidR="005E5108" w:rsidRPr="00153074">
        <w:rPr>
          <w:lang w:val="es-ES_tradnl"/>
        </w:rPr>
        <w:t xml:space="preserve"> </w:t>
      </w:r>
      <w:r w:rsidR="006F5717" w:rsidRPr="00153074">
        <w:rPr>
          <w:lang w:val="es-ES_tradnl"/>
        </w:rPr>
        <w:t xml:space="preserve">el </w:t>
      </w:r>
      <w:r w:rsidR="005E5108" w:rsidRPr="00153074">
        <w:rPr>
          <w:lang w:val="es-ES_tradnl"/>
        </w:rPr>
        <w:t>trabajo decente. El indicador de</w:t>
      </w:r>
      <w:r w:rsidR="00BD4118" w:rsidRPr="00153074">
        <w:rPr>
          <w:lang w:val="es-ES_tradnl"/>
        </w:rPr>
        <w:t xml:space="preserve"> </w:t>
      </w:r>
      <w:r w:rsidR="002A7792" w:rsidRPr="00153074">
        <w:rPr>
          <w:lang w:val="es-ES_tradnl"/>
        </w:rPr>
        <w:t>“</w:t>
      </w:r>
      <w:r w:rsidR="00BD4118" w:rsidRPr="00153074">
        <w:rPr>
          <w:lang w:val="es-ES_tradnl"/>
        </w:rPr>
        <w:t>impacto laboral</w:t>
      </w:r>
      <w:r w:rsidR="002A7792" w:rsidRPr="00153074">
        <w:rPr>
          <w:lang w:val="es-ES_tradnl"/>
        </w:rPr>
        <w:t>”</w:t>
      </w:r>
      <w:r w:rsidR="00BD4118" w:rsidRPr="00153074">
        <w:rPr>
          <w:lang w:val="es-ES_tradnl"/>
        </w:rPr>
        <w:t xml:space="preserve"> se centra en la brecha de género y en grupos desfavorecidos, competencias y formación, y lesiones laborales. Si bien todos ellos son </w:t>
      </w:r>
      <w:r w:rsidR="008125F4" w:rsidRPr="00153074">
        <w:rPr>
          <w:lang w:val="es-ES_tradnl"/>
        </w:rPr>
        <w:t>significativos</w:t>
      </w:r>
      <w:r w:rsidR="00BD4118" w:rsidRPr="00153074">
        <w:rPr>
          <w:lang w:val="es-ES_tradnl"/>
        </w:rPr>
        <w:t xml:space="preserve"> y relevantes, sigue habiendo lagunas importantes con relación a los derechos de los trabajadores, </w:t>
      </w:r>
      <w:r w:rsidR="006F5717" w:rsidRPr="00153074">
        <w:rPr>
          <w:lang w:val="es-ES_tradnl"/>
        </w:rPr>
        <w:t>el salario</w:t>
      </w:r>
      <w:r w:rsidR="00BD4118" w:rsidRPr="00153074">
        <w:rPr>
          <w:lang w:val="es-ES_tradnl"/>
        </w:rPr>
        <w:t xml:space="preserve"> y la negociación colectiva, </w:t>
      </w:r>
      <w:r w:rsidR="006F5717" w:rsidRPr="00153074">
        <w:rPr>
          <w:lang w:val="es-ES_tradnl"/>
        </w:rPr>
        <w:t>entre otros</w:t>
      </w:r>
      <w:r w:rsidR="007848DC" w:rsidRPr="00153074">
        <w:rPr>
          <w:lang w:val="es-ES_tradnl"/>
        </w:rPr>
        <w:t>. M</w:t>
      </w:r>
      <w:r w:rsidR="00083C2B" w:rsidRPr="00153074">
        <w:rPr>
          <w:lang w:val="es-ES_tradnl"/>
        </w:rPr>
        <w:t xml:space="preserve">ás aún </w:t>
      </w:r>
      <w:r w:rsidR="00BD4118" w:rsidRPr="00153074">
        <w:rPr>
          <w:lang w:val="es-ES_tradnl"/>
        </w:rPr>
        <w:t xml:space="preserve">si se tiene en cuenta que el empleo de calidad sería un requisito de información </w:t>
      </w:r>
      <w:r w:rsidR="001E758E" w:rsidRPr="00153074">
        <w:rPr>
          <w:lang w:val="es-ES_tradnl"/>
        </w:rPr>
        <w:t>crucial en la fase inicial –</w:t>
      </w:r>
      <w:r w:rsidR="00BD4118" w:rsidRPr="00153074">
        <w:rPr>
          <w:lang w:val="es-ES_tradnl"/>
        </w:rPr>
        <w:t xml:space="preserve"> y</w:t>
      </w:r>
      <w:r w:rsidR="001E758E" w:rsidRPr="00153074">
        <w:rPr>
          <w:lang w:val="es-ES_tradnl"/>
        </w:rPr>
        <w:t xml:space="preserve"> </w:t>
      </w:r>
      <w:r w:rsidR="00BD4118" w:rsidRPr="00153074">
        <w:rPr>
          <w:lang w:val="es-ES_tradnl"/>
        </w:rPr>
        <w:t xml:space="preserve">de hecho </w:t>
      </w:r>
      <w:r w:rsidR="006F5717" w:rsidRPr="00153074">
        <w:rPr>
          <w:lang w:val="es-ES_tradnl"/>
        </w:rPr>
        <w:t xml:space="preserve">en </w:t>
      </w:r>
      <w:r w:rsidR="00BD4118" w:rsidRPr="00153074">
        <w:rPr>
          <w:lang w:val="es-ES_tradnl"/>
        </w:rPr>
        <w:t>cualquier fase</w:t>
      </w:r>
      <w:r w:rsidR="001E758E" w:rsidRPr="00153074">
        <w:rPr>
          <w:lang w:val="es-ES_tradnl"/>
        </w:rPr>
        <w:t xml:space="preserve"> – </w:t>
      </w:r>
      <w:r w:rsidR="00BD4118" w:rsidRPr="00153074">
        <w:rPr>
          <w:lang w:val="es-ES_tradnl"/>
        </w:rPr>
        <w:t>del</w:t>
      </w:r>
      <w:r w:rsidR="001E758E" w:rsidRPr="00153074">
        <w:rPr>
          <w:lang w:val="es-ES_tradnl"/>
        </w:rPr>
        <w:t xml:space="preserve"> </w:t>
      </w:r>
      <w:r w:rsidR="00BD4118" w:rsidRPr="00153074">
        <w:rPr>
          <w:lang w:val="es-ES_tradnl"/>
        </w:rPr>
        <w:t>desarrollo</w:t>
      </w:r>
      <w:r w:rsidR="006668BF" w:rsidRPr="00153074">
        <w:rPr>
          <w:lang w:val="es-ES_tradnl"/>
        </w:rPr>
        <w:t>,</w:t>
      </w:r>
      <w:r w:rsidR="00BD4118" w:rsidRPr="00153074">
        <w:rPr>
          <w:lang w:val="es-ES_tradnl"/>
        </w:rPr>
        <w:t xml:space="preserve"> en particular en </w:t>
      </w:r>
      <w:r w:rsidR="006F5717" w:rsidRPr="00153074">
        <w:rPr>
          <w:lang w:val="es-ES_tradnl"/>
        </w:rPr>
        <w:t>los países de renta baja</w:t>
      </w:r>
      <w:r w:rsidR="00BD4118" w:rsidRPr="00153074">
        <w:rPr>
          <w:lang w:val="es-ES_tradnl"/>
        </w:rPr>
        <w:t>.</w:t>
      </w:r>
    </w:p>
    <w:p w:rsidR="005E5108" w:rsidRPr="00153074" w:rsidRDefault="005E5108" w:rsidP="007462FA">
      <w:pPr>
        <w:jc w:val="both"/>
        <w:rPr>
          <w:lang w:val="es-ES_tradnl"/>
        </w:rPr>
      </w:pPr>
    </w:p>
    <w:p w:rsidR="00B1268C" w:rsidRPr="00153074" w:rsidRDefault="004A1E9A" w:rsidP="007462FA">
      <w:pPr>
        <w:jc w:val="both"/>
        <w:rPr>
          <w:lang w:val="es-ES_tradnl"/>
        </w:rPr>
      </w:pPr>
      <w:r w:rsidRPr="00153074">
        <w:rPr>
          <w:lang w:val="es-ES_tradnl"/>
        </w:rPr>
        <w:t xml:space="preserve">Los países también tendrán flexibilidad a la hora de realizar estas evaluaciones, </w:t>
      </w:r>
      <w:r w:rsidR="007848DC" w:rsidRPr="00153074">
        <w:rPr>
          <w:lang w:val="es-ES_tradnl"/>
        </w:rPr>
        <w:t>y podrán escoger en ú</w:t>
      </w:r>
      <w:r w:rsidRPr="00153074">
        <w:rPr>
          <w:lang w:val="es-ES_tradnl"/>
        </w:rPr>
        <w:t>ltima instancia los indicadores que</w:t>
      </w:r>
      <w:r w:rsidR="007848DC" w:rsidRPr="00153074">
        <w:rPr>
          <w:lang w:val="es-ES_tradnl"/>
        </w:rPr>
        <w:t xml:space="preserve"> deseen</w:t>
      </w:r>
      <w:r w:rsidRPr="00153074">
        <w:rPr>
          <w:lang w:val="es-ES_tradnl"/>
        </w:rPr>
        <w:t xml:space="preserve"> utilizar, citando que </w:t>
      </w:r>
      <w:r w:rsidR="002A7792" w:rsidRPr="00153074">
        <w:rPr>
          <w:lang w:val="es-ES_tradnl"/>
        </w:rPr>
        <w:t>“</w:t>
      </w:r>
      <w:r w:rsidRPr="00153074">
        <w:rPr>
          <w:lang w:val="es-ES_tradnl"/>
        </w:rPr>
        <w:t xml:space="preserve">no están diseñados como un marco </w:t>
      </w:r>
      <w:r w:rsidR="00C262D4" w:rsidRPr="00153074">
        <w:rPr>
          <w:lang w:val="es-ES_tradnl"/>
        </w:rPr>
        <w:t xml:space="preserve">de talla </w:t>
      </w:r>
      <w:r w:rsidRPr="00153074">
        <w:rPr>
          <w:lang w:val="es-ES_tradnl"/>
        </w:rPr>
        <w:t>únic</w:t>
      </w:r>
      <w:r w:rsidR="00C262D4" w:rsidRPr="00153074">
        <w:rPr>
          <w:lang w:val="es-ES_tradnl"/>
        </w:rPr>
        <w:t>a</w:t>
      </w:r>
      <w:r w:rsidR="002A7792" w:rsidRPr="00153074">
        <w:rPr>
          <w:lang w:val="es-ES_tradnl"/>
        </w:rPr>
        <w:t>”</w:t>
      </w:r>
      <w:r w:rsidRPr="00153074">
        <w:rPr>
          <w:lang w:val="es-ES_tradnl"/>
        </w:rPr>
        <w:t xml:space="preserve">. Prosiguiendo con su justificación, el informe del G20 afirma que </w:t>
      </w:r>
      <w:r w:rsidR="002A7792" w:rsidRPr="00153074">
        <w:rPr>
          <w:lang w:val="es-ES_tradnl"/>
        </w:rPr>
        <w:t>“</w:t>
      </w:r>
      <w:r w:rsidRPr="00153074">
        <w:rPr>
          <w:lang w:val="es-ES_tradnl"/>
        </w:rPr>
        <w:t>en fases</w:t>
      </w:r>
      <w:r w:rsidR="008264F2" w:rsidRPr="00153074">
        <w:rPr>
          <w:lang w:val="es-ES_tradnl"/>
        </w:rPr>
        <w:t xml:space="preserve"> muy</w:t>
      </w:r>
      <w:r w:rsidRPr="00153074">
        <w:rPr>
          <w:lang w:val="es-ES_tradnl"/>
        </w:rPr>
        <w:t xml:space="preserve"> iniciales de desarrollo, la pura contribución al PIB y la creación </w:t>
      </w:r>
      <w:r w:rsidR="007848DC" w:rsidRPr="00153074">
        <w:rPr>
          <w:lang w:val="es-ES_tradnl"/>
        </w:rPr>
        <w:t>de empleo</w:t>
      </w:r>
      <w:r w:rsidRPr="00153074">
        <w:rPr>
          <w:lang w:val="es-ES_tradnl"/>
        </w:rPr>
        <w:t xml:space="preserve"> podría</w:t>
      </w:r>
      <w:r w:rsidR="008264F2" w:rsidRPr="00153074">
        <w:rPr>
          <w:lang w:val="es-ES_tradnl"/>
        </w:rPr>
        <w:t>n</w:t>
      </w:r>
      <w:r w:rsidRPr="00153074">
        <w:rPr>
          <w:lang w:val="es-ES_tradnl"/>
        </w:rPr>
        <w:t xml:space="preserve"> ser más relevantes; en fases más avanzadas, la calidad del empleo y las contribuciones tecnológicas podrían adquirir </w:t>
      </w:r>
      <w:r w:rsidR="008264F2" w:rsidRPr="00153074">
        <w:rPr>
          <w:lang w:val="es-ES_tradnl"/>
        </w:rPr>
        <w:t>mayor</w:t>
      </w:r>
      <w:r w:rsidRPr="00153074">
        <w:rPr>
          <w:lang w:val="es-ES_tradnl"/>
        </w:rPr>
        <w:t xml:space="preserve"> relevancia</w:t>
      </w:r>
      <w:r w:rsidR="002A7792" w:rsidRPr="00153074">
        <w:rPr>
          <w:lang w:val="es-ES_tradnl"/>
        </w:rPr>
        <w:t>”</w:t>
      </w:r>
      <w:r w:rsidR="00B1268C" w:rsidRPr="00153074">
        <w:rPr>
          <w:lang w:val="es-ES_tradnl"/>
        </w:rPr>
        <w:t xml:space="preserve"> (IA 2011b </w:t>
      </w:r>
      <w:r w:rsidR="008264F2" w:rsidRPr="00153074">
        <w:rPr>
          <w:lang w:val="es-ES_tradnl"/>
        </w:rPr>
        <w:t>y</w:t>
      </w:r>
      <w:r w:rsidR="00B1268C" w:rsidRPr="00153074">
        <w:rPr>
          <w:lang w:val="es-ES_tradnl"/>
        </w:rPr>
        <w:t xml:space="preserve"> 2012). </w:t>
      </w:r>
    </w:p>
    <w:p w:rsidR="00B1268C" w:rsidRPr="00153074" w:rsidRDefault="00B1268C" w:rsidP="007462FA">
      <w:pPr>
        <w:jc w:val="both"/>
        <w:rPr>
          <w:rFonts w:ascii="Arial" w:hAnsi="Arial" w:cs="Arial"/>
          <w:i/>
          <w:szCs w:val="20"/>
          <w:lang w:val="es-ES_tradnl"/>
        </w:rPr>
      </w:pPr>
    </w:p>
    <w:p w:rsidR="00B1268C" w:rsidRPr="00153074" w:rsidRDefault="004A1E9A" w:rsidP="007462FA">
      <w:pPr>
        <w:jc w:val="both"/>
        <w:rPr>
          <w:lang w:val="es-ES_tradnl"/>
        </w:rPr>
      </w:pPr>
      <w:r w:rsidRPr="00153074">
        <w:rPr>
          <w:lang w:val="es-ES_tradnl"/>
        </w:rPr>
        <w:t xml:space="preserve">Desde que </w:t>
      </w:r>
      <w:r w:rsidR="007848DC" w:rsidRPr="00153074">
        <w:rPr>
          <w:lang w:val="es-ES_tradnl"/>
        </w:rPr>
        <w:t xml:space="preserve">el </w:t>
      </w:r>
      <w:r w:rsidRPr="00153074">
        <w:rPr>
          <w:lang w:val="es-ES_tradnl"/>
        </w:rPr>
        <w:t>programa de desarrollo ha sido tratado</w:t>
      </w:r>
      <w:r w:rsidR="00681052" w:rsidRPr="00153074">
        <w:rPr>
          <w:lang w:val="es-ES_tradnl"/>
        </w:rPr>
        <w:t xml:space="preserve"> a nivel del G20, </w:t>
      </w:r>
      <w:r w:rsidR="00C262D4" w:rsidRPr="00153074">
        <w:rPr>
          <w:lang w:val="es-ES_tradnl"/>
        </w:rPr>
        <w:t xml:space="preserve">hay </w:t>
      </w:r>
      <w:r w:rsidR="00681052" w:rsidRPr="00153074">
        <w:rPr>
          <w:lang w:val="es-ES_tradnl"/>
        </w:rPr>
        <w:t xml:space="preserve">un tema especialmente cuestionable </w:t>
      </w:r>
      <w:r w:rsidR="00C262D4" w:rsidRPr="00153074">
        <w:rPr>
          <w:lang w:val="es-ES_tradnl"/>
        </w:rPr>
        <w:t xml:space="preserve">que </w:t>
      </w:r>
      <w:r w:rsidR="006B3C34" w:rsidRPr="00153074">
        <w:rPr>
          <w:lang w:val="es-ES_tradnl"/>
        </w:rPr>
        <w:t>ha ganado</w:t>
      </w:r>
      <w:r w:rsidR="00681052" w:rsidRPr="00153074">
        <w:rPr>
          <w:lang w:val="es-ES_tradnl"/>
        </w:rPr>
        <w:t xml:space="preserve"> recono</w:t>
      </w:r>
      <w:r w:rsidR="00C262D4" w:rsidRPr="00153074">
        <w:rPr>
          <w:lang w:val="es-ES_tradnl"/>
        </w:rPr>
        <w:t>cimiento: s</w:t>
      </w:r>
      <w:r w:rsidR="00681052" w:rsidRPr="00153074">
        <w:rPr>
          <w:lang w:val="es-ES_tradnl"/>
        </w:rPr>
        <w:t>e trata del concepto de</w:t>
      </w:r>
      <w:r w:rsidR="00681052" w:rsidRPr="00153074">
        <w:rPr>
          <w:i/>
          <w:lang w:val="es-ES_tradnl"/>
        </w:rPr>
        <w:t xml:space="preserve"> negocio inclusivo. </w:t>
      </w:r>
      <w:r w:rsidR="00681052" w:rsidRPr="00153074">
        <w:rPr>
          <w:lang w:val="es-ES_tradnl"/>
        </w:rPr>
        <w:t xml:space="preserve">Aunque este tema se desarrollará </w:t>
      </w:r>
      <w:r w:rsidR="007848DC" w:rsidRPr="00153074">
        <w:rPr>
          <w:lang w:val="es-ES_tradnl"/>
        </w:rPr>
        <w:t>en otra sección del presente</w:t>
      </w:r>
      <w:r w:rsidR="002214AA" w:rsidRPr="00153074">
        <w:rPr>
          <w:lang w:val="es-ES_tradnl"/>
        </w:rPr>
        <w:t xml:space="preserve"> documento</w:t>
      </w:r>
      <w:r w:rsidR="00681052" w:rsidRPr="00153074">
        <w:rPr>
          <w:lang w:val="es-ES_tradnl"/>
        </w:rPr>
        <w:t>,</w:t>
      </w:r>
      <w:r w:rsidR="00C262D4" w:rsidRPr="00153074">
        <w:rPr>
          <w:lang w:val="es-ES_tradnl"/>
        </w:rPr>
        <w:t xml:space="preserve"> por ahora diremos que</w:t>
      </w:r>
      <w:r w:rsidR="00681052" w:rsidRPr="00153074">
        <w:rPr>
          <w:lang w:val="es-ES_tradnl"/>
        </w:rPr>
        <w:t xml:space="preserve"> el negocio inclusivo</w:t>
      </w:r>
      <w:r w:rsidR="00126702" w:rsidRPr="00153074">
        <w:rPr>
          <w:lang w:val="es-ES_tradnl"/>
        </w:rPr>
        <w:t xml:space="preserve"> es un término de política </w:t>
      </w:r>
      <w:r w:rsidR="002214AA" w:rsidRPr="00153074">
        <w:rPr>
          <w:lang w:val="es-ES_tradnl"/>
        </w:rPr>
        <w:t xml:space="preserve">y </w:t>
      </w:r>
      <w:r w:rsidR="00126702" w:rsidRPr="00153074">
        <w:rPr>
          <w:lang w:val="es-ES_tradnl"/>
        </w:rPr>
        <w:t xml:space="preserve">defensa </w:t>
      </w:r>
      <w:r w:rsidR="002214AA" w:rsidRPr="00153074">
        <w:rPr>
          <w:lang w:val="es-ES_tradnl"/>
        </w:rPr>
        <w:t>establecido</w:t>
      </w:r>
      <w:r w:rsidR="00126702" w:rsidRPr="00153074">
        <w:rPr>
          <w:lang w:val="es-ES_tradnl"/>
        </w:rPr>
        <w:t xml:space="preserve"> por organizaciones internacionales de grupos empresariales para desarrollar prácticas empresariales y poner en marcha reformas políticas que faciliten el acceso del sector privado a los pobres, ya sea como consumidores (diseñando productos que </w:t>
      </w:r>
      <w:r w:rsidR="00C262D4" w:rsidRPr="00153074">
        <w:rPr>
          <w:lang w:val="es-ES_tradnl"/>
        </w:rPr>
        <w:t>respondan a las necesidades de</w:t>
      </w:r>
      <w:r w:rsidR="00126702" w:rsidRPr="00153074">
        <w:rPr>
          <w:lang w:val="es-ES_tradnl"/>
        </w:rPr>
        <w:t xml:space="preserve"> los pobres) o como emprendedores (fomentando las </w:t>
      </w:r>
      <w:r w:rsidR="00B66968" w:rsidRPr="00153074">
        <w:rPr>
          <w:lang w:val="es-ES_tradnl"/>
        </w:rPr>
        <w:t>pymes</w:t>
      </w:r>
      <w:r w:rsidR="00126702" w:rsidRPr="00153074">
        <w:rPr>
          <w:lang w:val="es-ES_tradnl"/>
        </w:rPr>
        <w:t xml:space="preserve"> y los micro créditos). En su informe</w:t>
      </w:r>
      <w:r w:rsidR="00283BD6" w:rsidRPr="00153074">
        <w:rPr>
          <w:lang w:val="es-ES_tradnl"/>
        </w:rPr>
        <w:t xml:space="preserve"> </w:t>
      </w:r>
      <w:r w:rsidR="002214AA" w:rsidRPr="00153074">
        <w:rPr>
          <w:lang w:val="es-ES_tradnl"/>
        </w:rPr>
        <w:t>de</w:t>
      </w:r>
      <w:r w:rsidR="00126702" w:rsidRPr="00153074">
        <w:rPr>
          <w:lang w:val="es-ES_tradnl"/>
        </w:rPr>
        <w:t xml:space="preserve"> 2012, el GT reconoce </w:t>
      </w:r>
      <w:r w:rsidR="002A7792" w:rsidRPr="00153074">
        <w:rPr>
          <w:lang w:val="es-ES_tradnl"/>
        </w:rPr>
        <w:t>“</w:t>
      </w:r>
      <w:r w:rsidR="00641F4D" w:rsidRPr="00153074">
        <w:rPr>
          <w:lang w:val="es-ES_tradnl"/>
        </w:rPr>
        <w:t>la elevada contribución potencial de los modelos de negocio inclusivo para el desarrollo</w:t>
      </w:r>
      <w:r w:rsidR="002A7792" w:rsidRPr="00153074">
        <w:rPr>
          <w:lang w:val="es-ES_tradnl"/>
        </w:rPr>
        <w:t>”</w:t>
      </w:r>
      <w:r w:rsidR="00641F4D" w:rsidRPr="00153074">
        <w:rPr>
          <w:lang w:val="es-ES_tradnl"/>
        </w:rPr>
        <w:t xml:space="preserve"> y acoge con beneplácito la creación de un </w:t>
      </w:r>
      <w:r w:rsidR="002A7792" w:rsidRPr="00153074">
        <w:rPr>
          <w:lang w:val="es-ES_tradnl"/>
        </w:rPr>
        <w:t>“</w:t>
      </w:r>
      <w:r w:rsidR="002214AA" w:rsidRPr="00153074">
        <w:rPr>
          <w:lang w:val="es-ES_tradnl"/>
        </w:rPr>
        <w:t xml:space="preserve">Reto del </w:t>
      </w:r>
      <w:r w:rsidR="002025F5" w:rsidRPr="00153074">
        <w:rPr>
          <w:lang w:val="es-ES_tradnl"/>
        </w:rPr>
        <w:t xml:space="preserve">G20 </w:t>
      </w:r>
      <w:r w:rsidR="00641F4D" w:rsidRPr="00153074">
        <w:rPr>
          <w:lang w:val="es-ES_tradnl"/>
        </w:rPr>
        <w:t xml:space="preserve">sobre </w:t>
      </w:r>
      <w:r w:rsidR="002214AA" w:rsidRPr="00153074">
        <w:rPr>
          <w:lang w:val="es-ES_tradnl"/>
        </w:rPr>
        <w:t xml:space="preserve">la </w:t>
      </w:r>
      <w:r w:rsidR="00641F4D" w:rsidRPr="00153074">
        <w:rPr>
          <w:lang w:val="es-ES_tradnl"/>
        </w:rPr>
        <w:t>innovación de negocio</w:t>
      </w:r>
      <w:r w:rsidR="002214AA" w:rsidRPr="00153074">
        <w:rPr>
          <w:lang w:val="es-ES_tradnl"/>
        </w:rPr>
        <w:t>s</w:t>
      </w:r>
      <w:r w:rsidR="00641F4D" w:rsidRPr="00153074">
        <w:rPr>
          <w:lang w:val="es-ES_tradnl"/>
        </w:rPr>
        <w:t xml:space="preserve"> inclusivo</w:t>
      </w:r>
      <w:r w:rsidR="002214AA" w:rsidRPr="00153074">
        <w:rPr>
          <w:lang w:val="es-ES_tradnl"/>
        </w:rPr>
        <w:t>s</w:t>
      </w:r>
      <w:r w:rsidR="002A7792" w:rsidRPr="00153074">
        <w:rPr>
          <w:lang w:val="es-ES_tradnl"/>
        </w:rPr>
        <w:t>”</w:t>
      </w:r>
      <w:r w:rsidR="00641F4D" w:rsidRPr="00153074">
        <w:rPr>
          <w:lang w:val="es-ES_tradnl"/>
        </w:rPr>
        <w:t xml:space="preserve"> </w:t>
      </w:r>
      <w:r w:rsidR="00B1268C" w:rsidRPr="00153074">
        <w:rPr>
          <w:lang w:val="es-ES_tradnl"/>
        </w:rPr>
        <w:t>(G20</w:t>
      </w:r>
      <w:r w:rsidR="004F6006" w:rsidRPr="00153074">
        <w:rPr>
          <w:lang w:val="es-ES_tradnl"/>
        </w:rPr>
        <w:t>WG</w:t>
      </w:r>
      <w:r w:rsidR="00B1268C" w:rsidRPr="00153074">
        <w:rPr>
          <w:lang w:val="es-ES_tradnl"/>
        </w:rPr>
        <w:t xml:space="preserve"> 2012, #52). </w:t>
      </w:r>
      <w:r w:rsidR="00641F4D" w:rsidRPr="00153074">
        <w:rPr>
          <w:lang w:val="es-ES_tradnl"/>
        </w:rPr>
        <w:t>El informe del GT</w:t>
      </w:r>
      <w:r w:rsidR="00B1268C" w:rsidRPr="00153074">
        <w:rPr>
          <w:lang w:val="es-ES_tradnl"/>
        </w:rPr>
        <w:t xml:space="preserve"> </w:t>
      </w:r>
      <w:r w:rsidR="00D55C04" w:rsidRPr="00153074">
        <w:rPr>
          <w:lang w:val="es-ES_tradnl"/>
        </w:rPr>
        <w:t xml:space="preserve">también pone de relieve una reciente </w:t>
      </w:r>
      <w:r w:rsidR="002A7792" w:rsidRPr="00153074">
        <w:rPr>
          <w:lang w:val="es-ES_tradnl"/>
        </w:rPr>
        <w:t>“</w:t>
      </w:r>
      <w:r w:rsidR="00B54B6F" w:rsidRPr="00153074">
        <w:rPr>
          <w:lang w:val="es-ES_tradnl"/>
        </w:rPr>
        <w:t xml:space="preserve">Nota </w:t>
      </w:r>
      <w:r w:rsidR="004F6006" w:rsidRPr="00153074">
        <w:rPr>
          <w:lang w:val="es-ES_tradnl"/>
        </w:rPr>
        <w:t>t</w:t>
      </w:r>
      <w:r w:rsidR="00B54B6F" w:rsidRPr="00153074">
        <w:rPr>
          <w:lang w:val="es-ES_tradnl"/>
        </w:rPr>
        <w:t xml:space="preserve">écnica sobre el </w:t>
      </w:r>
      <w:r w:rsidR="004F6006" w:rsidRPr="00153074">
        <w:rPr>
          <w:lang w:val="es-ES_tradnl"/>
        </w:rPr>
        <w:t>entorno empresarial</w:t>
      </w:r>
      <w:r w:rsidR="00B54B6F" w:rsidRPr="00153074">
        <w:rPr>
          <w:lang w:val="es-ES_tradnl"/>
        </w:rPr>
        <w:t xml:space="preserve"> para los </w:t>
      </w:r>
      <w:r w:rsidR="004F6006" w:rsidRPr="00153074">
        <w:rPr>
          <w:lang w:val="es-ES_tradnl"/>
        </w:rPr>
        <w:t>m</w:t>
      </w:r>
      <w:r w:rsidR="00B54B6F" w:rsidRPr="00153074">
        <w:rPr>
          <w:lang w:val="es-ES_tradnl"/>
        </w:rPr>
        <w:t xml:space="preserve">odelos de </w:t>
      </w:r>
      <w:r w:rsidR="004F6006" w:rsidRPr="00153074">
        <w:rPr>
          <w:lang w:val="es-ES_tradnl"/>
        </w:rPr>
        <w:t>n</w:t>
      </w:r>
      <w:r w:rsidR="00B54B6F" w:rsidRPr="00153074">
        <w:rPr>
          <w:lang w:val="es-ES_tradnl"/>
        </w:rPr>
        <w:t xml:space="preserve">egocios </w:t>
      </w:r>
      <w:r w:rsidR="004F6006" w:rsidRPr="00153074">
        <w:rPr>
          <w:lang w:val="es-ES_tradnl"/>
        </w:rPr>
        <w:t>i</w:t>
      </w:r>
      <w:r w:rsidR="00B54B6F" w:rsidRPr="00153074">
        <w:rPr>
          <w:lang w:val="es-ES_tradnl"/>
        </w:rPr>
        <w:t>nclusivos</w:t>
      </w:r>
      <w:r w:rsidR="002A7792" w:rsidRPr="00153074">
        <w:rPr>
          <w:lang w:val="es-ES_tradnl"/>
        </w:rPr>
        <w:t>”</w:t>
      </w:r>
      <w:r w:rsidR="00D55C04" w:rsidRPr="00153074">
        <w:rPr>
          <w:lang w:val="es-ES_tradnl"/>
        </w:rPr>
        <w:t xml:space="preserve"> de la CFI del Banco Mundial</w:t>
      </w:r>
      <w:r w:rsidR="00B1268C" w:rsidRPr="00153074">
        <w:rPr>
          <w:lang w:val="es-ES_tradnl"/>
        </w:rPr>
        <w:t xml:space="preserve">, </w:t>
      </w:r>
      <w:r w:rsidR="002025F5" w:rsidRPr="00153074">
        <w:rPr>
          <w:lang w:val="es-ES_tradnl"/>
        </w:rPr>
        <w:t>añadiendo</w:t>
      </w:r>
      <w:r w:rsidR="00641F4D" w:rsidRPr="00153074">
        <w:rPr>
          <w:lang w:val="es-ES_tradnl"/>
        </w:rPr>
        <w:t xml:space="preserve"> mayor legitimidad al concepto </w:t>
      </w:r>
      <w:r w:rsidR="00B1268C" w:rsidRPr="00153074">
        <w:rPr>
          <w:lang w:val="es-ES_tradnl"/>
        </w:rPr>
        <w:t>(</w:t>
      </w:r>
      <w:r w:rsidR="004B2E27" w:rsidRPr="00153074">
        <w:rPr>
          <w:lang w:val="es-ES_tradnl"/>
        </w:rPr>
        <w:t>IFC</w:t>
      </w:r>
      <w:r w:rsidR="00B1268C" w:rsidRPr="00153074">
        <w:rPr>
          <w:lang w:val="es-ES_tradnl"/>
        </w:rPr>
        <w:t xml:space="preserve"> 2012).</w:t>
      </w:r>
    </w:p>
    <w:p w:rsidR="00B1268C" w:rsidRPr="00153074" w:rsidRDefault="00B1268C" w:rsidP="007462FA">
      <w:pPr>
        <w:jc w:val="both"/>
        <w:rPr>
          <w:rFonts w:ascii="Arial" w:hAnsi="Arial" w:cs="Arial"/>
          <w:szCs w:val="20"/>
          <w:lang w:val="es-ES_tradnl"/>
        </w:rPr>
      </w:pPr>
    </w:p>
    <w:p w:rsidR="00B1268C" w:rsidRPr="00153074" w:rsidRDefault="00641F4D" w:rsidP="007462FA">
      <w:pPr>
        <w:pStyle w:val="Heading3"/>
        <w:rPr>
          <w:lang w:val="es-ES_tradnl"/>
        </w:rPr>
      </w:pPr>
      <w:bookmarkStart w:id="53" w:name="_Toc369604919"/>
      <w:r w:rsidRPr="00153074">
        <w:rPr>
          <w:lang w:val="es-ES_tradnl"/>
        </w:rPr>
        <w:lastRenderedPageBreak/>
        <w:t>Transparencia tributari</w:t>
      </w:r>
      <w:r w:rsidR="00B54B6F" w:rsidRPr="00153074">
        <w:rPr>
          <w:lang w:val="es-ES_tradnl"/>
        </w:rPr>
        <w:t>a</w:t>
      </w:r>
      <w:bookmarkEnd w:id="53"/>
    </w:p>
    <w:p w:rsidR="00B1268C" w:rsidRPr="00153074" w:rsidRDefault="00641F4D" w:rsidP="007462FA">
      <w:pPr>
        <w:jc w:val="both"/>
        <w:rPr>
          <w:lang w:val="es-ES_tradnl"/>
        </w:rPr>
      </w:pPr>
      <w:r w:rsidRPr="00153074">
        <w:rPr>
          <w:lang w:val="es-ES_tradnl"/>
        </w:rPr>
        <w:t xml:space="preserve">En la cumbre de Seúl, los miembros del G20 se comprometieron </w:t>
      </w:r>
      <w:r w:rsidR="00245360" w:rsidRPr="00153074">
        <w:rPr>
          <w:lang w:val="es-ES_tradnl"/>
        </w:rPr>
        <w:t xml:space="preserve">a </w:t>
      </w:r>
      <w:r w:rsidRPr="00153074">
        <w:rPr>
          <w:lang w:val="es-ES_tradnl"/>
        </w:rPr>
        <w:t xml:space="preserve">desarrollar </w:t>
      </w:r>
      <w:r w:rsidR="002A7792" w:rsidRPr="00153074">
        <w:rPr>
          <w:lang w:val="es-ES_tradnl"/>
        </w:rPr>
        <w:t>“</w:t>
      </w:r>
      <w:r w:rsidR="00ED0D4E" w:rsidRPr="00153074">
        <w:rPr>
          <w:lang w:val="es-ES_tradnl"/>
        </w:rPr>
        <w:t xml:space="preserve">unas </w:t>
      </w:r>
      <w:r w:rsidR="00245360" w:rsidRPr="00153074">
        <w:rPr>
          <w:lang w:val="es-ES_tradnl"/>
        </w:rPr>
        <w:t>b</w:t>
      </w:r>
      <w:r w:rsidRPr="00153074">
        <w:rPr>
          <w:lang w:val="es-ES_tradnl"/>
        </w:rPr>
        <w:t>ases de ingreso</w:t>
      </w:r>
      <w:r w:rsidR="00245360" w:rsidRPr="00153074">
        <w:rPr>
          <w:lang w:val="es-ES_tradnl"/>
        </w:rPr>
        <w:t>s</w:t>
      </w:r>
      <w:r w:rsidRPr="00153074">
        <w:rPr>
          <w:lang w:val="es-ES_tradnl"/>
        </w:rPr>
        <w:t xml:space="preserve"> sostenibles para el crecimiento inclusivo y la equidad social</w:t>
      </w:r>
      <w:r w:rsidR="00A9348D" w:rsidRPr="00153074">
        <w:rPr>
          <w:lang w:val="es-ES_tradnl"/>
        </w:rPr>
        <w:t>,</w:t>
      </w:r>
      <w:r w:rsidRPr="00153074">
        <w:rPr>
          <w:lang w:val="es-ES_tradnl"/>
        </w:rPr>
        <w:t xml:space="preserve"> mejoran</w:t>
      </w:r>
      <w:r w:rsidR="00245360" w:rsidRPr="00153074">
        <w:rPr>
          <w:lang w:val="es-ES_tradnl"/>
        </w:rPr>
        <w:t>do</w:t>
      </w:r>
      <w:r w:rsidRPr="00153074">
        <w:rPr>
          <w:lang w:val="es-ES_tradnl"/>
        </w:rPr>
        <w:t xml:space="preserve"> los sistemas y políticas de administración fiscal de los países en desarrollo</w:t>
      </w:r>
      <w:r w:rsidR="002A7792" w:rsidRPr="00153074">
        <w:rPr>
          <w:lang w:val="es-ES_tradnl"/>
        </w:rPr>
        <w:t>”</w:t>
      </w:r>
      <w:r w:rsidR="00B1268C" w:rsidRPr="00153074">
        <w:rPr>
          <w:lang w:val="es-ES_tradnl"/>
        </w:rPr>
        <w:t xml:space="preserve"> (G20 2010a). </w:t>
      </w:r>
      <w:r w:rsidR="00ED0D4E" w:rsidRPr="00153074">
        <w:rPr>
          <w:lang w:val="es-ES_tradnl"/>
        </w:rPr>
        <w:t>E</w:t>
      </w:r>
      <w:r w:rsidRPr="00153074">
        <w:rPr>
          <w:lang w:val="es-ES_tradnl"/>
        </w:rPr>
        <w:t>l GT sobre desarrollo</w:t>
      </w:r>
      <w:r w:rsidR="00ED0D4E" w:rsidRPr="00153074">
        <w:rPr>
          <w:lang w:val="es-ES_tradnl"/>
        </w:rPr>
        <w:t xml:space="preserve"> considera que</w:t>
      </w:r>
      <w:r w:rsidR="00063992" w:rsidRPr="00153074">
        <w:rPr>
          <w:lang w:val="es-ES_tradnl"/>
        </w:rPr>
        <w:t xml:space="preserve"> los impuestos proporcionan </w:t>
      </w:r>
      <w:r w:rsidR="002A7792" w:rsidRPr="00153074">
        <w:rPr>
          <w:lang w:val="es-ES_tradnl"/>
        </w:rPr>
        <w:t>“</w:t>
      </w:r>
      <w:r w:rsidR="00063992" w:rsidRPr="00153074">
        <w:rPr>
          <w:lang w:val="es-ES_tradnl"/>
        </w:rPr>
        <w:t>los fondos necesarios para invertir en desarrollo, aliviar la pobreza y prestar servicios públicos</w:t>
      </w:r>
      <w:r w:rsidR="002A7792" w:rsidRPr="00153074">
        <w:rPr>
          <w:lang w:val="es-ES_tradnl"/>
        </w:rPr>
        <w:t>”</w:t>
      </w:r>
      <w:r w:rsidR="00063992" w:rsidRPr="00153074">
        <w:rPr>
          <w:lang w:val="es-ES_tradnl"/>
        </w:rPr>
        <w:t xml:space="preserve">, ayuda a </w:t>
      </w:r>
      <w:r w:rsidR="002A7792" w:rsidRPr="00153074">
        <w:rPr>
          <w:lang w:val="es-ES_tradnl"/>
        </w:rPr>
        <w:t>“</w:t>
      </w:r>
      <w:r w:rsidR="00063992" w:rsidRPr="00153074">
        <w:rPr>
          <w:lang w:val="es-ES_tradnl"/>
        </w:rPr>
        <w:t xml:space="preserve">reducir la dependencia </w:t>
      </w:r>
      <w:r w:rsidR="00ED0D4E" w:rsidRPr="00153074">
        <w:rPr>
          <w:lang w:val="es-ES_tradnl"/>
        </w:rPr>
        <w:t>en</w:t>
      </w:r>
      <w:r w:rsidR="00063992" w:rsidRPr="00153074">
        <w:rPr>
          <w:lang w:val="es-ES_tradnl"/>
        </w:rPr>
        <w:t xml:space="preserve"> flujos exteriores (particularmente la ayuda al desarrollo)</w:t>
      </w:r>
      <w:r w:rsidR="00B1268C" w:rsidRPr="00153074">
        <w:rPr>
          <w:lang w:val="es-ES_tradnl"/>
        </w:rPr>
        <w:t xml:space="preserve"> (…) </w:t>
      </w:r>
      <w:r w:rsidR="00063992" w:rsidRPr="00153074">
        <w:rPr>
          <w:lang w:val="es-ES_tradnl"/>
        </w:rPr>
        <w:t>y</w:t>
      </w:r>
      <w:r w:rsidR="00ED0D4E" w:rsidRPr="00153074">
        <w:rPr>
          <w:lang w:val="es-ES_tradnl"/>
        </w:rPr>
        <w:t>,</w:t>
      </w:r>
      <w:r w:rsidR="00063992" w:rsidRPr="00153074">
        <w:rPr>
          <w:lang w:val="es-ES_tradnl"/>
        </w:rPr>
        <w:t xml:space="preserve"> si están bien diseñados</w:t>
      </w:r>
      <w:r w:rsidR="00ED0D4E" w:rsidRPr="00153074">
        <w:rPr>
          <w:lang w:val="es-ES_tradnl"/>
        </w:rPr>
        <w:t>,</w:t>
      </w:r>
      <w:r w:rsidR="00063992" w:rsidRPr="00153074">
        <w:rPr>
          <w:lang w:val="es-ES_tradnl"/>
        </w:rPr>
        <w:t xml:space="preserve"> </w:t>
      </w:r>
      <w:r w:rsidR="002A7792" w:rsidRPr="00153074">
        <w:rPr>
          <w:lang w:val="es-ES_tradnl"/>
        </w:rPr>
        <w:t>“</w:t>
      </w:r>
      <w:r w:rsidR="00063992" w:rsidRPr="00153074">
        <w:rPr>
          <w:lang w:val="es-ES_tradnl"/>
        </w:rPr>
        <w:t>promueven la inclusión, fomentan una buena goberna</w:t>
      </w:r>
      <w:r w:rsidR="005624AF" w:rsidRPr="00153074">
        <w:rPr>
          <w:lang w:val="es-ES_tradnl"/>
        </w:rPr>
        <w:t>nz</w:t>
      </w:r>
      <w:r w:rsidR="00063992" w:rsidRPr="00153074">
        <w:rPr>
          <w:lang w:val="es-ES_tradnl"/>
        </w:rPr>
        <w:t xml:space="preserve">a y la responsabilidad de los </w:t>
      </w:r>
      <w:r w:rsidR="00864464" w:rsidRPr="00153074">
        <w:rPr>
          <w:lang w:val="es-ES_tradnl"/>
        </w:rPr>
        <w:t>Gobierno</w:t>
      </w:r>
      <w:r w:rsidR="00063992" w:rsidRPr="00153074">
        <w:rPr>
          <w:lang w:val="es-ES_tradnl"/>
        </w:rPr>
        <w:t>s para con sus ciudadanos</w:t>
      </w:r>
      <w:r w:rsidR="002A7792" w:rsidRPr="00153074">
        <w:rPr>
          <w:lang w:val="es-ES_tradnl"/>
        </w:rPr>
        <w:t>”</w:t>
      </w:r>
      <w:r w:rsidR="00466C2D" w:rsidRPr="00153074">
        <w:rPr>
          <w:lang w:val="es-ES_tradnl"/>
        </w:rPr>
        <w:t>;</w:t>
      </w:r>
      <w:r w:rsidR="00C4016D" w:rsidRPr="00153074">
        <w:rPr>
          <w:lang w:val="es-ES_tradnl"/>
        </w:rPr>
        <w:t xml:space="preserve"> </w:t>
      </w:r>
      <w:r w:rsidR="00063992" w:rsidRPr="00153074">
        <w:rPr>
          <w:lang w:val="es-ES_tradnl"/>
        </w:rPr>
        <w:t xml:space="preserve">además </w:t>
      </w:r>
      <w:r w:rsidR="002A7792" w:rsidRPr="00153074">
        <w:rPr>
          <w:lang w:val="es-ES_tradnl"/>
        </w:rPr>
        <w:t>“</w:t>
      </w:r>
      <w:r w:rsidR="00063992" w:rsidRPr="00153074">
        <w:rPr>
          <w:lang w:val="es-ES_tradnl"/>
        </w:rPr>
        <w:t xml:space="preserve">se ajustan a las opiniones de la sociedad sobre ingresos apropiados y desigualdad de riqueza y </w:t>
      </w:r>
      <w:r w:rsidR="00ED0D4E" w:rsidRPr="00153074">
        <w:rPr>
          <w:lang w:val="es-ES_tradnl"/>
        </w:rPr>
        <w:t>promueven</w:t>
      </w:r>
      <w:r w:rsidR="00063992" w:rsidRPr="00153074">
        <w:rPr>
          <w:lang w:val="es-ES_tradnl"/>
        </w:rPr>
        <w:t xml:space="preserve"> la justicia social</w:t>
      </w:r>
      <w:r w:rsidR="002A7792" w:rsidRPr="00153074">
        <w:rPr>
          <w:lang w:val="es-ES_tradnl"/>
        </w:rPr>
        <w:t>”</w:t>
      </w:r>
      <w:r w:rsidR="00063992" w:rsidRPr="00153074">
        <w:rPr>
          <w:lang w:val="es-ES_tradnl"/>
        </w:rPr>
        <w:t xml:space="preserve"> </w:t>
      </w:r>
      <w:r w:rsidR="00B1268C" w:rsidRPr="00153074">
        <w:rPr>
          <w:lang w:val="es-ES_tradnl"/>
        </w:rPr>
        <w:t xml:space="preserve">(G20WG 2011). </w:t>
      </w:r>
      <w:r w:rsidR="00466C2D" w:rsidRPr="00153074">
        <w:rPr>
          <w:lang w:val="es-ES_tradnl"/>
        </w:rPr>
        <w:t>E</w:t>
      </w:r>
      <w:r w:rsidR="00063992" w:rsidRPr="00153074">
        <w:rPr>
          <w:lang w:val="es-ES_tradnl"/>
        </w:rPr>
        <w:t xml:space="preserve">fectivamente, </w:t>
      </w:r>
      <w:r w:rsidR="00C672A0" w:rsidRPr="00153074">
        <w:rPr>
          <w:lang w:val="es-ES_tradnl"/>
        </w:rPr>
        <w:t>el sistema tributario</w:t>
      </w:r>
      <w:r w:rsidR="00063992" w:rsidRPr="00153074">
        <w:rPr>
          <w:lang w:val="es-ES_tradnl"/>
        </w:rPr>
        <w:t xml:space="preserve"> en los países en desarrollo es</w:t>
      </w:r>
      <w:r w:rsidR="00C672A0" w:rsidRPr="00153074">
        <w:rPr>
          <w:lang w:val="es-ES_tradnl"/>
        </w:rPr>
        <w:t xml:space="preserve"> un tema</w:t>
      </w:r>
      <w:r w:rsidR="00063992" w:rsidRPr="00153074">
        <w:rPr>
          <w:lang w:val="es-ES_tradnl"/>
        </w:rPr>
        <w:t xml:space="preserve"> como poco preocupante. Tal y como lo señala la OCDE </w:t>
      </w:r>
      <w:r w:rsidR="002A7792" w:rsidRPr="00153074">
        <w:rPr>
          <w:lang w:val="es-ES_tradnl"/>
        </w:rPr>
        <w:t>“</w:t>
      </w:r>
      <w:r w:rsidR="0044035C" w:rsidRPr="00153074">
        <w:rPr>
          <w:lang w:val="es-ES_tradnl"/>
        </w:rPr>
        <w:t>la mitad de los países del África subsahariana movilizan menos de 17% de su</w:t>
      </w:r>
      <w:r w:rsidR="00C672A0" w:rsidRPr="00153074">
        <w:rPr>
          <w:lang w:val="es-ES_tradnl"/>
        </w:rPr>
        <w:t>s</w:t>
      </w:r>
      <w:r w:rsidR="0044035C" w:rsidRPr="00153074">
        <w:rPr>
          <w:lang w:val="es-ES_tradnl"/>
        </w:rPr>
        <w:t xml:space="preserve"> PIB en ingresos fiscales, </w:t>
      </w:r>
      <w:r w:rsidR="00C672A0" w:rsidRPr="00153074">
        <w:rPr>
          <w:lang w:val="es-ES_tradnl"/>
        </w:rPr>
        <w:t xml:space="preserve">lo que se sitúa </w:t>
      </w:r>
      <w:r w:rsidR="0044035C" w:rsidRPr="00153074">
        <w:rPr>
          <w:lang w:val="es-ES_tradnl"/>
        </w:rPr>
        <w:t xml:space="preserve">por debajo del nivel mínimo </w:t>
      </w:r>
      <w:r w:rsidR="00C672A0" w:rsidRPr="00153074">
        <w:rPr>
          <w:lang w:val="es-ES_tradnl"/>
        </w:rPr>
        <w:t>que</w:t>
      </w:r>
      <w:r w:rsidR="0044035C" w:rsidRPr="00153074">
        <w:rPr>
          <w:lang w:val="es-ES_tradnl"/>
        </w:rPr>
        <w:t xml:space="preserve"> la ONU </w:t>
      </w:r>
      <w:r w:rsidR="00C672A0" w:rsidRPr="00153074">
        <w:rPr>
          <w:lang w:val="es-ES_tradnl"/>
        </w:rPr>
        <w:t>considera</w:t>
      </w:r>
      <w:r w:rsidR="0044035C" w:rsidRPr="00153074">
        <w:rPr>
          <w:lang w:val="es-ES_tradnl"/>
        </w:rPr>
        <w:t xml:space="preserve"> necesario para alcanzar los Objetivos de Desarrollo del Milenio</w:t>
      </w:r>
      <w:r w:rsidR="002A7792" w:rsidRPr="00153074">
        <w:rPr>
          <w:lang w:val="es-ES_tradnl"/>
        </w:rPr>
        <w:t>”</w:t>
      </w:r>
      <w:r w:rsidR="00B1268C" w:rsidRPr="00153074">
        <w:rPr>
          <w:lang w:val="es-ES_tradnl"/>
        </w:rPr>
        <w:t xml:space="preserve"> (</w:t>
      </w:r>
      <w:r w:rsidR="003A4EDB" w:rsidRPr="00153074">
        <w:rPr>
          <w:lang w:val="es-ES_tradnl"/>
        </w:rPr>
        <w:t>OCDE</w:t>
      </w:r>
      <w:r w:rsidR="00B1268C" w:rsidRPr="00153074">
        <w:rPr>
          <w:lang w:val="es-ES_tradnl"/>
        </w:rPr>
        <w:t xml:space="preserve"> 2013).</w:t>
      </w:r>
    </w:p>
    <w:p w:rsidR="00B1268C" w:rsidRPr="00153074" w:rsidRDefault="00B1268C" w:rsidP="007462FA">
      <w:pPr>
        <w:jc w:val="both"/>
        <w:rPr>
          <w:rFonts w:ascii="Arial" w:hAnsi="Arial" w:cs="Arial"/>
          <w:szCs w:val="20"/>
          <w:lang w:val="es-ES_tradnl"/>
        </w:rPr>
      </w:pPr>
    </w:p>
    <w:p w:rsidR="0044035C" w:rsidRPr="00153074" w:rsidRDefault="0044035C" w:rsidP="007462FA">
      <w:pPr>
        <w:jc w:val="both"/>
        <w:rPr>
          <w:lang w:val="es-ES_tradnl"/>
        </w:rPr>
      </w:pPr>
      <w:r w:rsidRPr="00153074">
        <w:rPr>
          <w:lang w:val="es-ES_tradnl"/>
        </w:rPr>
        <w:t xml:space="preserve">El flujo de trabajo en materia de </w:t>
      </w:r>
      <w:r w:rsidR="002A7792" w:rsidRPr="00153074">
        <w:rPr>
          <w:lang w:val="es-ES_tradnl"/>
        </w:rPr>
        <w:t>“</w:t>
      </w:r>
      <w:r w:rsidRPr="00153074">
        <w:rPr>
          <w:lang w:val="es-ES_tradnl"/>
        </w:rPr>
        <w:t>movilización de recursos nacionales</w:t>
      </w:r>
      <w:r w:rsidR="002A7792" w:rsidRPr="00153074">
        <w:rPr>
          <w:lang w:val="es-ES_tradnl"/>
        </w:rPr>
        <w:t>”</w:t>
      </w:r>
      <w:r w:rsidRPr="00153074">
        <w:rPr>
          <w:lang w:val="es-ES_tradnl"/>
        </w:rPr>
        <w:t xml:space="preserve"> del GT del G20 </w:t>
      </w:r>
      <w:r w:rsidR="00C672A0" w:rsidRPr="00153074">
        <w:rPr>
          <w:lang w:val="es-ES_tradnl"/>
        </w:rPr>
        <w:t xml:space="preserve">sobre desarrollo </w:t>
      </w:r>
      <w:r w:rsidRPr="00153074">
        <w:rPr>
          <w:lang w:val="es-ES_tradnl"/>
        </w:rPr>
        <w:t>es significativo para el programa del sector privado para el desarrollo porque aborda la transparencia y los impuestos corporativos</w:t>
      </w:r>
      <w:r w:rsidR="001A76CA" w:rsidRPr="00153074">
        <w:rPr>
          <w:lang w:val="es-ES_tradnl"/>
        </w:rPr>
        <w:t>,</w:t>
      </w:r>
      <w:r w:rsidRPr="00153074">
        <w:rPr>
          <w:lang w:val="es-ES_tradnl"/>
        </w:rPr>
        <w:t xml:space="preserve"> y para la administración y los sistemas fiscales de los países en desarrollo. Los mensajes generales que </w:t>
      </w:r>
      <w:r w:rsidR="00CD7E7D" w:rsidRPr="00153074">
        <w:rPr>
          <w:lang w:val="es-ES_tradnl"/>
        </w:rPr>
        <w:t xml:space="preserve">se </w:t>
      </w:r>
      <w:r w:rsidRPr="00153074">
        <w:rPr>
          <w:lang w:val="es-ES_tradnl"/>
        </w:rPr>
        <w:t xml:space="preserve">están promoviendo </w:t>
      </w:r>
      <w:r w:rsidR="001A76CA" w:rsidRPr="00153074">
        <w:rPr>
          <w:lang w:val="es-ES_tradnl"/>
        </w:rPr>
        <w:t>en este sentido</w:t>
      </w:r>
      <w:r w:rsidR="0054090B" w:rsidRPr="00153074">
        <w:rPr>
          <w:lang w:val="es-ES_tradnl"/>
        </w:rPr>
        <w:t xml:space="preserve"> son bienvenidos en la medida en </w:t>
      </w:r>
      <w:r w:rsidR="008E34A9" w:rsidRPr="00153074">
        <w:rPr>
          <w:lang w:val="es-ES_tradnl"/>
        </w:rPr>
        <w:t xml:space="preserve">que hacen hincapié en el papel redistributivo de los impuestos, </w:t>
      </w:r>
      <w:r w:rsidR="0054090B" w:rsidRPr="00153074">
        <w:rPr>
          <w:lang w:val="es-ES_tradnl"/>
        </w:rPr>
        <w:t>al tiempo que r</w:t>
      </w:r>
      <w:r w:rsidR="008E34A9" w:rsidRPr="00153074">
        <w:rPr>
          <w:lang w:val="es-ES_tradnl"/>
        </w:rPr>
        <w:t xml:space="preserve">econocen la importancia de la transparencia y responsabilidad de los </w:t>
      </w:r>
      <w:r w:rsidR="00864464" w:rsidRPr="00153074">
        <w:rPr>
          <w:lang w:val="es-ES_tradnl"/>
        </w:rPr>
        <w:t>Gobierno</w:t>
      </w:r>
      <w:r w:rsidR="008E34A9" w:rsidRPr="00153074">
        <w:rPr>
          <w:lang w:val="es-ES_tradnl"/>
        </w:rPr>
        <w:t xml:space="preserve">s y la </w:t>
      </w:r>
      <w:r w:rsidR="002A7792" w:rsidRPr="00153074">
        <w:rPr>
          <w:lang w:val="es-ES_tradnl"/>
        </w:rPr>
        <w:t>“</w:t>
      </w:r>
      <w:r w:rsidR="00CD7E7D" w:rsidRPr="00153074">
        <w:rPr>
          <w:lang w:val="es-ES_tradnl"/>
        </w:rPr>
        <w:t>gobernanza</w:t>
      </w:r>
      <w:r w:rsidR="008E34A9" w:rsidRPr="00153074">
        <w:rPr>
          <w:lang w:val="es-ES_tradnl"/>
        </w:rPr>
        <w:t xml:space="preserve"> económica</w:t>
      </w:r>
      <w:r w:rsidR="002A7792" w:rsidRPr="00153074">
        <w:rPr>
          <w:lang w:val="es-ES_tradnl"/>
        </w:rPr>
        <w:t>”</w:t>
      </w:r>
      <w:r w:rsidR="008E34A9" w:rsidRPr="00153074">
        <w:rPr>
          <w:lang w:val="es-ES_tradnl"/>
        </w:rPr>
        <w:t xml:space="preserve">, </w:t>
      </w:r>
      <w:r w:rsidR="00BC1F01" w:rsidRPr="00153074">
        <w:rPr>
          <w:lang w:val="es-ES_tradnl"/>
        </w:rPr>
        <w:t xml:space="preserve">tanto con relación </w:t>
      </w:r>
      <w:r w:rsidR="008E34A9" w:rsidRPr="00153074">
        <w:rPr>
          <w:lang w:val="es-ES_tradnl"/>
        </w:rPr>
        <w:t>a los impuestos como a la AOD.</w:t>
      </w:r>
    </w:p>
    <w:p w:rsidR="00B1268C" w:rsidRPr="00153074" w:rsidRDefault="00B1268C" w:rsidP="007462FA">
      <w:pPr>
        <w:jc w:val="both"/>
        <w:rPr>
          <w:rFonts w:cs="Arial"/>
          <w:szCs w:val="20"/>
          <w:lang w:val="es-ES_tradnl"/>
        </w:rPr>
      </w:pPr>
    </w:p>
    <w:p w:rsidR="00B1268C" w:rsidRPr="00153074" w:rsidRDefault="008E34A9" w:rsidP="00B26AA4">
      <w:pPr>
        <w:jc w:val="both"/>
        <w:rPr>
          <w:rFonts w:cs="Arial"/>
          <w:szCs w:val="20"/>
          <w:lang w:val="es-ES_tradnl"/>
        </w:rPr>
      </w:pPr>
      <w:r w:rsidRPr="00153074">
        <w:rPr>
          <w:rFonts w:cs="Arial"/>
          <w:szCs w:val="20"/>
          <w:lang w:val="es-ES_tradnl"/>
        </w:rPr>
        <w:t xml:space="preserve">El GT ha recomendado </w:t>
      </w:r>
      <w:r w:rsidR="00E03BEA" w:rsidRPr="00153074">
        <w:rPr>
          <w:rFonts w:cs="Arial"/>
          <w:szCs w:val="20"/>
          <w:lang w:val="es-ES_tradnl"/>
        </w:rPr>
        <w:t>incrementar</w:t>
      </w:r>
      <w:r w:rsidRPr="00153074">
        <w:rPr>
          <w:rFonts w:cs="Arial"/>
          <w:szCs w:val="20"/>
          <w:lang w:val="es-ES_tradnl"/>
        </w:rPr>
        <w:t xml:space="preserve"> la asistencia técnica a través del Foro </w:t>
      </w:r>
      <w:r w:rsidR="00CD7E7D" w:rsidRPr="00153074">
        <w:rPr>
          <w:rFonts w:cs="Arial"/>
          <w:szCs w:val="20"/>
          <w:lang w:val="es-ES_tradnl"/>
        </w:rPr>
        <w:t>Global</w:t>
      </w:r>
      <w:r w:rsidRPr="00153074">
        <w:rPr>
          <w:rFonts w:cs="Arial"/>
          <w:szCs w:val="20"/>
          <w:lang w:val="es-ES_tradnl"/>
        </w:rPr>
        <w:t xml:space="preserve"> sobre Transparencia e Intercambio de Información para Fines Fiscales, a través de iniciativas regionales como el Foro Africano de Administración Fiscal y el Centro Interamericano de Administraciones Fiscales, y a través de</w:t>
      </w:r>
      <w:r w:rsidR="00190BEE" w:rsidRPr="00153074">
        <w:rPr>
          <w:rFonts w:cs="Arial"/>
          <w:szCs w:val="20"/>
          <w:lang w:val="es-ES_tradnl"/>
        </w:rPr>
        <w:t>l</w:t>
      </w:r>
      <w:r w:rsidRPr="00153074">
        <w:rPr>
          <w:rFonts w:cs="Arial"/>
          <w:szCs w:val="20"/>
          <w:lang w:val="es-ES_tradnl"/>
        </w:rPr>
        <w:t xml:space="preserve"> Comité Fiscal de la ONU. Se está prestando especial atención a la cuestión de la evasión fiscal por parte de las </w:t>
      </w:r>
      <w:r w:rsidR="00CD7E7D" w:rsidRPr="00153074">
        <w:rPr>
          <w:rFonts w:cs="Arial"/>
          <w:szCs w:val="20"/>
          <w:lang w:val="es-ES_tradnl"/>
        </w:rPr>
        <w:t xml:space="preserve">empresas </w:t>
      </w:r>
      <w:r w:rsidRPr="00153074">
        <w:rPr>
          <w:rFonts w:cs="Arial"/>
          <w:szCs w:val="20"/>
          <w:lang w:val="es-ES_tradnl"/>
        </w:rPr>
        <w:t xml:space="preserve">multinacionales </w:t>
      </w:r>
      <w:r w:rsidR="00190BEE" w:rsidRPr="00153074">
        <w:rPr>
          <w:rFonts w:cs="Arial"/>
          <w:szCs w:val="20"/>
          <w:lang w:val="es-ES_tradnl"/>
        </w:rPr>
        <w:t>por medio</w:t>
      </w:r>
      <w:r w:rsidRPr="00153074">
        <w:rPr>
          <w:rFonts w:cs="Arial"/>
          <w:szCs w:val="20"/>
          <w:lang w:val="es-ES_tradnl"/>
        </w:rPr>
        <w:t xml:space="preserve"> de la manipulación de los </w:t>
      </w:r>
      <w:r w:rsidR="002A7792" w:rsidRPr="00153074">
        <w:rPr>
          <w:rFonts w:cs="Arial"/>
          <w:szCs w:val="20"/>
          <w:lang w:val="es-ES_tradnl"/>
        </w:rPr>
        <w:t>“</w:t>
      </w:r>
      <w:r w:rsidRPr="00153074">
        <w:rPr>
          <w:rFonts w:cs="Arial"/>
          <w:szCs w:val="20"/>
          <w:lang w:val="es-ES_tradnl"/>
        </w:rPr>
        <w:t>precios de transferencia</w:t>
      </w:r>
      <w:r w:rsidR="002A7792" w:rsidRPr="00153074">
        <w:rPr>
          <w:rFonts w:cs="Arial"/>
          <w:szCs w:val="20"/>
          <w:lang w:val="es-ES_tradnl"/>
        </w:rPr>
        <w:t>”</w:t>
      </w:r>
      <w:r w:rsidRPr="00153074">
        <w:rPr>
          <w:rFonts w:cs="Arial"/>
          <w:szCs w:val="20"/>
          <w:lang w:val="es-ES_tradnl"/>
        </w:rPr>
        <w:t xml:space="preserve"> (es decir transacciones empresariales intra comerciales</w:t>
      </w:r>
      <w:r w:rsidR="00B26AA4" w:rsidRPr="00153074">
        <w:rPr>
          <w:rFonts w:cs="Arial"/>
          <w:szCs w:val="20"/>
          <w:lang w:val="es-ES_tradnl"/>
        </w:rPr>
        <w:t xml:space="preserve"> que trasladan los beneficios desde los centros de producción a paraísos fiscales o a jurisdicciones de bajos impuestos). En este sentido, el GT sobre desarrollo solicita </w:t>
      </w:r>
      <w:r w:rsidR="002A7792" w:rsidRPr="00153074">
        <w:rPr>
          <w:rFonts w:cs="Arial"/>
          <w:szCs w:val="20"/>
          <w:lang w:val="es-ES_tradnl"/>
        </w:rPr>
        <w:t>“</w:t>
      </w:r>
      <w:r w:rsidR="00CD7E7D" w:rsidRPr="00153074">
        <w:rPr>
          <w:rFonts w:cs="Arial"/>
          <w:szCs w:val="20"/>
          <w:lang w:val="es-ES_tradnl"/>
        </w:rPr>
        <w:t xml:space="preserve">el </w:t>
      </w:r>
      <w:r w:rsidR="00B26AA4" w:rsidRPr="00153074">
        <w:rPr>
          <w:rFonts w:cs="Arial"/>
          <w:szCs w:val="20"/>
          <w:lang w:val="es-ES_tradnl"/>
        </w:rPr>
        <w:t xml:space="preserve">desarrollo de capacidades en </w:t>
      </w:r>
      <w:r w:rsidR="00CD7E7D" w:rsidRPr="00153074">
        <w:rPr>
          <w:lang w:val="es-ES_tradnl"/>
        </w:rPr>
        <w:t>países de renta baja</w:t>
      </w:r>
      <w:r w:rsidR="00B26AA4" w:rsidRPr="00153074">
        <w:rPr>
          <w:lang w:val="es-ES_tradnl"/>
        </w:rPr>
        <w:t>, a través de</w:t>
      </w:r>
      <w:r w:rsidR="00CD7E7D" w:rsidRPr="00153074">
        <w:rPr>
          <w:lang w:val="es-ES_tradnl"/>
        </w:rPr>
        <w:t>l</w:t>
      </w:r>
      <w:r w:rsidR="00B26AA4" w:rsidRPr="00153074">
        <w:rPr>
          <w:lang w:val="es-ES_tradnl"/>
        </w:rPr>
        <w:t xml:space="preserve"> intercambio de co</w:t>
      </w:r>
      <w:r w:rsidR="006A7938" w:rsidRPr="00153074">
        <w:rPr>
          <w:lang w:val="es-ES_tradnl"/>
        </w:rPr>
        <w:t>nocimientos</w:t>
      </w:r>
      <w:r w:rsidR="003E28C2" w:rsidRPr="00153074">
        <w:rPr>
          <w:lang w:val="es-ES_tradnl"/>
        </w:rPr>
        <w:t>,</w:t>
      </w:r>
      <w:r w:rsidR="006A7938" w:rsidRPr="00153074">
        <w:rPr>
          <w:lang w:val="es-ES_tradnl"/>
        </w:rPr>
        <w:t xml:space="preserve"> en el área de los </w:t>
      </w:r>
      <w:r w:rsidR="00B26AA4" w:rsidRPr="00153074">
        <w:rPr>
          <w:lang w:val="es-ES_tradnl"/>
        </w:rPr>
        <w:t>precios de transferencia</w:t>
      </w:r>
      <w:r w:rsidR="002A7792" w:rsidRPr="00153074">
        <w:rPr>
          <w:lang w:val="es-ES_tradnl"/>
        </w:rPr>
        <w:t>”</w:t>
      </w:r>
      <w:r w:rsidR="00B26AA4" w:rsidRPr="00153074">
        <w:rPr>
          <w:lang w:val="es-ES_tradnl"/>
        </w:rPr>
        <w:t xml:space="preserve"> y de forma más general insta a las </w:t>
      </w:r>
      <w:r w:rsidR="002A7792" w:rsidRPr="00153074">
        <w:rPr>
          <w:lang w:val="es-ES_tradnl"/>
        </w:rPr>
        <w:t>“</w:t>
      </w:r>
      <w:r w:rsidR="00B26AA4" w:rsidRPr="00153074">
        <w:rPr>
          <w:lang w:val="es-ES_tradnl"/>
        </w:rPr>
        <w:t xml:space="preserve">EMN </w:t>
      </w:r>
      <w:r w:rsidR="006A7938" w:rsidRPr="00153074">
        <w:rPr>
          <w:lang w:val="es-ES_tradnl"/>
        </w:rPr>
        <w:t>a mejorar</w:t>
      </w:r>
      <w:r w:rsidR="00B26AA4" w:rsidRPr="00153074">
        <w:rPr>
          <w:lang w:val="es-ES_tradnl"/>
        </w:rPr>
        <w:t xml:space="preserve"> la transparencia y la plena observancia de las leyes tributarias aplicables</w:t>
      </w:r>
      <w:r w:rsidR="002A7792" w:rsidRPr="00153074">
        <w:rPr>
          <w:lang w:val="es-ES_tradnl"/>
        </w:rPr>
        <w:t>”</w:t>
      </w:r>
      <w:r w:rsidR="00B26AA4" w:rsidRPr="00153074">
        <w:rPr>
          <w:lang w:val="es-ES_tradnl"/>
        </w:rPr>
        <w:t xml:space="preserve">, desarrollar </w:t>
      </w:r>
      <w:r w:rsidR="002A7792" w:rsidRPr="00153074">
        <w:rPr>
          <w:lang w:val="es-ES_tradnl"/>
        </w:rPr>
        <w:t>“</w:t>
      </w:r>
      <w:r w:rsidR="00B26AA4" w:rsidRPr="00153074">
        <w:rPr>
          <w:lang w:val="es-ES_tradnl"/>
        </w:rPr>
        <w:t xml:space="preserve">normas </w:t>
      </w:r>
      <w:r w:rsidR="006A7938" w:rsidRPr="00153074">
        <w:rPr>
          <w:lang w:val="es-ES_tradnl"/>
        </w:rPr>
        <w:t>de carácter voluntario</w:t>
      </w:r>
      <w:r w:rsidR="00B26AA4" w:rsidRPr="00153074">
        <w:rPr>
          <w:lang w:val="es-ES_tradnl"/>
        </w:rPr>
        <w:t xml:space="preserve"> sobre la publicación de pagos</w:t>
      </w:r>
      <w:r w:rsidR="006A7938" w:rsidRPr="00153074">
        <w:rPr>
          <w:lang w:val="es-ES_tradnl"/>
        </w:rPr>
        <w:t xml:space="preserve"> de EMN</w:t>
      </w:r>
      <w:r w:rsidR="00B26AA4" w:rsidRPr="00153074">
        <w:rPr>
          <w:lang w:val="es-ES_tradnl"/>
        </w:rPr>
        <w:t xml:space="preserve"> </w:t>
      </w:r>
      <w:r w:rsidR="006A7938" w:rsidRPr="00153074">
        <w:rPr>
          <w:lang w:val="es-ES_tradnl"/>
        </w:rPr>
        <w:t xml:space="preserve">a </w:t>
      </w:r>
      <w:r w:rsidR="00B26AA4" w:rsidRPr="00153074">
        <w:rPr>
          <w:lang w:val="es-ES_tradnl"/>
        </w:rPr>
        <w:t>Gobiernos</w:t>
      </w:r>
      <w:r w:rsidR="002A7792" w:rsidRPr="00153074">
        <w:rPr>
          <w:lang w:val="es-ES_tradnl"/>
        </w:rPr>
        <w:t>”</w:t>
      </w:r>
      <w:r w:rsidR="00B26AA4" w:rsidRPr="00153074">
        <w:rPr>
          <w:lang w:val="es-ES_tradnl"/>
        </w:rPr>
        <w:t xml:space="preserve"> y </w:t>
      </w:r>
      <w:r w:rsidR="002A7792" w:rsidRPr="00153074">
        <w:rPr>
          <w:lang w:val="es-ES_tradnl"/>
        </w:rPr>
        <w:t>“</w:t>
      </w:r>
      <w:r w:rsidR="00B26AA4" w:rsidRPr="00153074">
        <w:rPr>
          <w:lang w:val="es-ES_tradnl"/>
        </w:rPr>
        <w:t>apoyar la participación voluntaria en la Iniciativa de Transparencia de las Industrias Extractivas (ITIE)</w:t>
      </w:r>
      <w:r w:rsidR="002A7792" w:rsidRPr="00153074">
        <w:rPr>
          <w:lang w:val="es-ES_tradnl"/>
        </w:rPr>
        <w:t>”</w:t>
      </w:r>
      <w:r w:rsidR="00B1268C" w:rsidRPr="00153074">
        <w:rPr>
          <w:lang w:val="es-ES_tradnl"/>
        </w:rPr>
        <w:t xml:space="preserve"> (</w:t>
      </w:r>
      <w:r w:rsidR="00B54B6F" w:rsidRPr="00153074">
        <w:rPr>
          <w:lang w:val="es-ES_tradnl"/>
        </w:rPr>
        <w:t>G</w:t>
      </w:r>
      <w:r w:rsidR="00B1268C" w:rsidRPr="00153074">
        <w:rPr>
          <w:lang w:val="es-ES_tradnl"/>
        </w:rPr>
        <w:t>20</w:t>
      </w:r>
      <w:r w:rsidR="004F6006" w:rsidRPr="00153074">
        <w:rPr>
          <w:lang w:val="es-ES_tradnl"/>
        </w:rPr>
        <w:t>WG</w:t>
      </w:r>
      <w:r w:rsidR="00B54B6F" w:rsidRPr="00153074">
        <w:rPr>
          <w:lang w:val="es-ES_tradnl"/>
        </w:rPr>
        <w:t xml:space="preserve"> </w:t>
      </w:r>
      <w:r w:rsidR="00B1268C" w:rsidRPr="00153074">
        <w:rPr>
          <w:lang w:val="es-ES_tradnl"/>
        </w:rPr>
        <w:t>2012).</w:t>
      </w:r>
    </w:p>
    <w:p w:rsidR="00B1268C" w:rsidRPr="00153074" w:rsidRDefault="006C4D0B" w:rsidP="007462FA">
      <w:pPr>
        <w:jc w:val="both"/>
        <w:rPr>
          <w:lang w:val="es-ES_tradnl"/>
        </w:rPr>
      </w:pPr>
      <w:r w:rsidRPr="00153074">
        <w:rPr>
          <w:rFonts w:ascii="Arial" w:hAnsi="Arial" w:cs="Arial"/>
          <w:sz w:val="20"/>
          <w:szCs w:val="20"/>
          <w:lang w:val="es-ES_tradnl"/>
        </w:rPr>
        <w:br w:type="page"/>
      </w:r>
    </w:p>
    <w:p w:rsidR="00B1268C" w:rsidRPr="00153074" w:rsidRDefault="00135060" w:rsidP="00135060">
      <w:pPr>
        <w:pStyle w:val="Heading1"/>
        <w:shd w:val="clear" w:color="auto" w:fill="C2D69B"/>
        <w:spacing w:before="0"/>
        <w:rPr>
          <w:b/>
          <w:sz w:val="36"/>
          <w:u w:val="single"/>
          <w:lang w:val="es-ES_tradnl"/>
        </w:rPr>
      </w:pPr>
      <w:bookmarkStart w:id="54" w:name="_Toc230681465"/>
      <w:bookmarkStart w:id="55" w:name="_Toc359331985"/>
      <w:bookmarkStart w:id="56" w:name="_Toc369604920"/>
      <w:r w:rsidRPr="00153074">
        <w:rPr>
          <w:b/>
          <w:sz w:val="36"/>
          <w:u w:val="single"/>
          <w:lang w:val="es-ES_tradnl"/>
        </w:rPr>
        <w:lastRenderedPageBreak/>
        <w:t>Moldear</w:t>
      </w:r>
      <w:r w:rsidR="00116F71" w:rsidRPr="00153074">
        <w:rPr>
          <w:b/>
          <w:sz w:val="36"/>
          <w:u w:val="single"/>
          <w:lang w:val="es-ES_tradnl"/>
        </w:rPr>
        <w:t xml:space="preserve"> </w:t>
      </w:r>
      <w:r w:rsidR="00B4403D" w:rsidRPr="00153074">
        <w:rPr>
          <w:b/>
          <w:sz w:val="36"/>
          <w:u w:val="single"/>
          <w:lang w:val="es-ES_tradnl"/>
        </w:rPr>
        <w:t>la</w:t>
      </w:r>
      <w:r w:rsidR="001D69B1" w:rsidRPr="00153074">
        <w:rPr>
          <w:b/>
          <w:sz w:val="36"/>
          <w:u w:val="single"/>
          <w:lang w:val="es-ES_tradnl"/>
        </w:rPr>
        <w:t xml:space="preserve"> </w:t>
      </w:r>
      <w:r w:rsidRPr="00153074">
        <w:rPr>
          <w:b/>
          <w:sz w:val="36"/>
          <w:u w:val="single"/>
          <w:lang w:val="es-ES_tradnl"/>
        </w:rPr>
        <w:t>P</w:t>
      </w:r>
      <w:r w:rsidR="001D69B1" w:rsidRPr="00153074">
        <w:rPr>
          <w:b/>
          <w:sz w:val="36"/>
          <w:u w:val="single"/>
          <w:lang w:val="es-ES_tradnl"/>
        </w:rPr>
        <w:t>olítica de</w:t>
      </w:r>
      <w:r w:rsidR="00B4403D" w:rsidRPr="00153074">
        <w:rPr>
          <w:b/>
          <w:sz w:val="36"/>
          <w:u w:val="single"/>
          <w:lang w:val="es-ES_tradnl"/>
        </w:rPr>
        <w:t xml:space="preserve"> los </w:t>
      </w:r>
      <w:r w:rsidRPr="00153074">
        <w:rPr>
          <w:b/>
          <w:sz w:val="36"/>
          <w:u w:val="single"/>
          <w:lang w:val="es-ES_tradnl"/>
        </w:rPr>
        <w:t>D</w:t>
      </w:r>
      <w:r w:rsidR="001D69B1" w:rsidRPr="00153074">
        <w:rPr>
          <w:b/>
          <w:sz w:val="36"/>
          <w:u w:val="single"/>
          <w:lang w:val="es-ES_tradnl"/>
        </w:rPr>
        <w:t>onantes</w:t>
      </w:r>
      <w:r w:rsidR="00B1268C" w:rsidRPr="00153074">
        <w:rPr>
          <w:b/>
          <w:sz w:val="36"/>
          <w:u w:val="single"/>
          <w:lang w:val="es-ES_tradnl"/>
        </w:rPr>
        <w:t xml:space="preserve"> – </w:t>
      </w:r>
      <w:r w:rsidR="001D69B1" w:rsidRPr="00153074">
        <w:rPr>
          <w:b/>
          <w:sz w:val="36"/>
          <w:u w:val="single"/>
          <w:lang w:val="es-ES_tradnl"/>
        </w:rPr>
        <w:t>¿C</w:t>
      </w:r>
      <w:r w:rsidR="00896EE8" w:rsidRPr="00153074">
        <w:rPr>
          <w:b/>
          <w:sz w:val="36"/>
          <w:u w:val="single"/>
          <w:lang w:val="es-ES_tradnl"/>
        </w:rPr>
        <w:t>on qué propulsores</w:t>
      </w:r>
      <w:r w:rsidR="00B1268C" w:rsidRPr="00153074">
        <w:rPr>
          <w:b/>
          <w:sz w:val="36"/>
          <w:u w:val="single"/>
          <w:lang w:val="es-ES_tradnl"/>
        </w:rPr>
        <w:t>?</w:t>
      </w:r>
      <w:bookmarkEnd w:id="54"/>
      <w:bookmarkEnd w:id="55"/>
      <w:bookmarkEnd w:id="56"/>
    </w:p>
    <w:p w:rsidR="00B1268C" w:rsidRPr="00153074" w:rsidRDefault="00B1268C" w:rsidP="007462FA">
      <w:pPr>
        <w:jc w:val="both"/>
        <w:rPr>
          <w:lang w:val="es-ES_tradnl"/>
        </w:rPr>
      </w:pPr>
    </w:p>
    <w:p w:rsidR="001D69B1" w:rsidRPr="00153074" w:rsidRDefault="00CA4EF9" w:rsidP="007462FA">
      <w:pPr>
        <w:jc w:val="both"/>
        <w:rPr>
          <w:lang w:val="es-ES_tradnl"/>
        </w:rPr>
      </w:pPr>
      <w:r w:rsidRPr="00153074">
        <w:rPr>
          <w:lang w:val="es-ES_tradnl"/>
        </w:rPr>
        <w:t xml:space="preserve">No cabe ninguna duda de que la orientación de la política gira hacia un enfoque </w:t>
      </w:r>
      <w:r w:rsidR="00B4403D" w:rsidRPr="00153074">
        <w:rPr>
          <w:lang w:val="es-ES_tradnl"/>
        </w:rPr>
        <w:t>sobre e</w:t>
      </w:r>
      <w:r w:rsidRPr="00153074">
        <w:rPr>
          <w:lang w:val="es-ES_tradnl"/>
        </w:rPr>
        <w:t xml:space="preserve">l papel del sector privado para el desarrollo. </w:t>
      </w:r>
      <w:r w:rsidR="00EE71FB" w:rsidRPr="00153074">
        <w:rPr>
          <w:lang w:val="es-ES_tradnl"/>
        </w:rPr>
        <w:t>Existe</w:t>
      </w:r>
      <w:r w:rsidRPr="00153074">
        <w:rPr>
          <w:lang w:val="es-ES_tradnl"/>
        </w:rPr>
        <w:t xml:space="preserve"> una clara</w:t>
      </w:r>
      <w:r w:rsidR="00360B1E" w:rsidRPr="00153074">
        <w:rPr>
          <w:lang w:val="es-ES_tradnl"/>
        </w:rPr>
        <w:t xml:space="preserve"> gravitación </w:t>
      </w:r>
      <w:r w:rsidRPr="00153074">
        <w:rPr>
          <w:lang w:val="es-ES_tradnl"/>
        </w:rPr>
        <w:t>tanto en el plano del establecimiento de políticas internacionales como</w:t>
      </w:r>
      <w:r w:rsidR="00360B1E" w:rsidRPr="00153074">
        <w:rPr>
          <w:lang w:val="es-ES_tradnl"/>
        </w:rPr>
        <w:t xml:space="preserve"> en el plano de los donantes individuales. Algunos donantes muy importantes han integrado plenamente las orientaciones hacia </w:t>
      </w:r>
      <w:r w:rsidR="00EE71FB" w:rsidRPr="00153074">
        <w:rPr>
          <w:lang w:val="es-ES_tradnl"/>
        </w:rPr>
        <w:t xml:space="preserve">el </w:t>
      </w:r>
      <w:r w:rsidR="00360B1E" w:rsidRPr="00153074">
        <w:rPr>
          <w:lang w:val="es-ES_tradnl"/>
        </w:rPr>
        <w:t xml:space="preserve">sector privado en sus políticas de cooperación al desarrollo. La </w:t>
      </w:r>
      <w:r w:rsidR="00B4403D" w:rsidRPr="00153074">
        <w:rPr>
          <w:lang w:val="es-ES_tradnl"/>
        </w:rPr>
        <w:t>pregunta</w:t>
      </w:r>
      <w:r w:rsidR="00360B1E" w:rsidRPr="00153074">
        <w:rPr>
          <w:lang w:val="es-ES_tradnl"/>
        </w:rPr>
        <w:t xml:space="preserve"> es: ¿qué hay detrás </w:t>
      </w:r>
      <w:r w:rsidR="00B4403D" w:rsidRPr="00153074">
        <w:rPr>
          <w:lang w:val="es-ES_tradnl"/>
        </w:rPr>
        <w:t xml:space="preserve">de </w:t>
      </w:r>
      <w:r w:rsidR="00360B1E" w:rsidRPr="00153074">
        <w:rPr>
          <w:lang w:val="es-ES_tradnl"/>
        </w:rPr>
        <w:t>esta tendencia?</w:t>
      </w:r>
    </w:p>
    <w:p w:rsidR="00B1268C" w:rsidRPr="00153074" w:rsidRDefault="00B1268C" w:rsidP="00C90AC0">
      <w:pPr>
        <w:pStyle w:val="Heading2"/>
        <w:rPr>
          <w:lang w:val="es-ES_tradnl"/>
        </w:rPr>
      </w:pPr>
    </w:p>
    <w:p w:rsidR="00B1268C" w:rsidRPr="00153074" w:rsidRDefault="00360B1E" w:rsidP="00C90AC0">
      <w:pPr>
        <w:pStyle w:val="Heading2"/>
        <w:rPr>
          <w:lang w:val="es-ES_tradnl"/>
        </w:rPr>
      </w:pPr>
      <w:bookmarkStart w:id="57" w:name="_Toc369604921"/>
      <w:r w:rsidRPr="00153074">
        <w:rPr>
          <w:lang w:val="es-ES_tradnl"/>
        </w:rPr>
        <w:t>Propulsores de los Gobiernos</w:t>
      </w:r>
      <w:bookmarkEnd w:id="57"/>
      <w:r w:rsidRPr="00153074">
        <w:rPr>
          <w:lang w:val="es-ES_tradnl"/>
        </w:rPr>
        <w:t xml:space="preserve"> </w:t>
      </w:r>
    </w:p>
    <w:p w:rsidR="00360B1E" w:rsidRPr="00153074" w:rsidRDefault="00360B1E" w:rsidP="007462FA">
      <w:pPr>
        <w:jc w:val="both"/>
        <w:rPr>
          <w:lang w:val="es-ES_tradnl"/>
        </w:rPr>
      </w:pPr>
      <w:r w:rsidRPr="00153074">
        <w:rPr>
          <w:lang w:val="es-ES_tradnl"/>
        </w:rPr>
        <w:t>Los Gobiernos donantes han estado apoyando durante mucho tiempo políticas que fomentan la expansión del sector privado y</w:t>
      </w:r>
      <w:r w:rsidR="004F23ED" w:rsidRPr="00153074">
        <w:rPr>
          <w:lang w:val="es-ES_tradnl"/>
        </w:rPr>
        <w:t>,</w:t>
      </w:r>
      <w:r w:rsidRPr="00153074">
        <w:rPr>
          <w:lang w:val="es-ES_tradnl"/>
        </w:rPr>
        <w:t xml:space="preserve"> a su vez</w:t>
      </w:r>
      <w:r w:rsidR="004F23ED" w:rsidRPr="00153074">
        <w:rPr>
          <w:lang w:val="es-ES_tradnl"/>
        </w:rPr>
        <w:t>,</w:t>
      </w:r>
      <w:r w:rsidRPr="00153074">
        <w:rPr>
          <w:lang w:val="es-ES_tradnl"/>
        </w:rPr>
        <w:t xml:space="preserve"> el crecimiento económico. Sin embargo, el momento en que se produce este cambio</w:t>
      </w:r>
      <w:r w:rsidR="00477567" w:rsidRPr="00153074">
        <w:rPr>
          <w:lang w:val="es-ES_tradnl"/>
        </w:rPr>
        <w:t xml:space="preserve"> </w:t>
      </w:r>
      <w:r w:rsidR="00B52D2D" w:rsidRPr="00153074">
        <w:rPr>
          <w:lang w:val="es-ES_tradnl"/>
        </w:rPr>
        <w:t>deja al descubierto</w:t>
      </w:r>
      <w:r w:rsidR="00477567" w:rsidRPr="00153074">
        <w:rPr>
          <w:lang w:val="es-ES_tradnl"/>
        </w:rPr>
        <w:t xml:space="preserve"> una historia especialmente relevante, dados los importantes retos económicos a los que se enfrentan los </w:t>
      </w:r>
      <w:r w:rsidR="00864464" w:rsidRPr="00153074">
        <w:rPr>
          <w:lang w:val="es-ES_tradnl"/>
        </w:rPr>
        <w:t>Gobierno</w:t>
      </w:r>
      <w:r w:rsidR="00477567" w:rsidRPr="00153074">
        <w:rPr>
          <w:lang w:val="es-ES_tradnl"/>
        </w:rPr>
        <w:t xml:space="preserve">s donantes dentro de sus propias economías </w:t>
      </w:r>
      <w:r w:rsidR="00B52D2D" w:rsidRPr="00153074">
        <w:rPr>
          <w:lang w:val="es-ES_tradnl"/>
        </w:rPr>
        <w:t>–</w:t>
      </w:r>
      <w:r w:rsidR="00477567" w:rsidRPr="00153074">
        <w:rPr>
          <w:lang w:val="es-ES_tradnl"/>
        </w:rPr>
        <w:t xml:space="preserve"> a</w:t>
      </w:r>
      <w:r w:rsidR="00B52D2D" w:rsidRPr="00153074">
        <w:rPr>
          <w:lang w:val="es-ES_tradnl"/>
        </w:rPr>
        <w:t xml:space="preserve"> </w:t>
      </w:r>
      <w:r w:rsidR="00477567" w:rsidRPr="00153074">
        <w:rPr>
          <w:lang w:val="es-ES_tradnl"/>
        </w:rPr>
        <w:t>saber, los crecientes déficits y la contracción de los mercados nacionales.</w:t>
      </w:r>
    </w:p>
    <w:p w:rsidR="00B1268C" w:rsidRPr="00153074" w:rsidRDefault="00B1268C" w:rsidP="007462FA">
      <w:pPr>
        <w:jc w:val="both"/>
        <w:rPr>
          <w:rFonts w:ascii="Arial" w:hAnsi="Arial" w:cs="Arial"/>
          <w:b/>
          <w:sz w:val="20"/>
          <w:szCs w:val="20"/>
          <w:lang w:val="es-ES_tradnl"/>
        </w:rPr>
      </w:pPr>
    </w:p>
    <w:p w:rsidR="0060161D" w:rsidRPr="00153074" w:rsidRDefault="0060161D" w:rsidP="0060161D">
      <w:pPr>
        <w:pStyle w:val="Heading3"/>
        <w:rPr>
          <w:lang w:val="es-ES_tradnl"/>
        </w:rPr>
      </w:pPr>
      <w:bookmarkStart w:id="58" w:name="_Toc359331989"/>
      <w:bookmarkStart w:id="59" w:name="_Toc369604922"/>
      <w:bookmarkStart w:id="60" w:name="_Toc359331987"/>
      <w:r w:rsidRPr="00153074">
        <w:rPr>
          <w:lang w:val="es-ES_tradnl"/>
        </w:rPr>
        <w:t>Ayuda condicionada</w:t>
      </w:r>
      <w:bookmarkEnd w:id="58"/>
      <w:bookmarkEnd w:id="59"/>
    </w:p>
    <w:p w:rsidR="0060161D" w:rsidRPr="00153074" w:rsidRDefault="0060161D" w:rsidP="0060161D">
      <w:pPr>
        <w:jc w:val="both"/>
        <w:rPr>
          <w:lang w:val="es-ES_tradnl"/>
        </w:rPr>
      </w:pPr>
      <w:r w:rsidRPr="00153074">
        <w:rPr>
          <w:lang w:val="es-ES_tradnl"/>
        </w:rPr>
        <w:t>Quizás el factor propulsor más po</w:t>
      </w:r>
      <w:r w:rsidR="00153074">
        <w:rPr>
          <w:lang w:val="es-ES_tradnl"/>
        </w:rPr>
        <w:t>deroso</w:t>
      </w:r>
      <w:r w:rsidRPr="00153074">
        <w:rPr>
          <w:lang w:val="es-ES_tradnl"/>
        </w:rPr>
        <w:t xml:space="preserve"> que explica el creciente interés en el papel del sector privado en los ámbitos del desarrollo sea la oportunidad de crear ayuda condicionada. Algunos donantes son de hecho muy explícitos en cuanto al nexo que existe entre los esfuerzos en torno al sector privado y el condicionamiento de la ayuda, a pesar de que esta última vaya directamente en sentido contrario a los principios y compromisos acordados con arreglo al programa de la eficacia de la ayuda y desarrollo. Entre los ejemplos destacados por el ECDPM cabe citar los siguientes: el Gobierno holandés afirma que su marco político y su plan estratégico es “dar prioridad a los intereses holandeses, más aún que en el pasado”; el organismo sueco de cooperación al desarrollo, SIDA, afirma que “en el interés de Suecia así como de SIDA, las empresas suecas son proveedores en las convocatorias financiadas por la ayuda al desarrollo”; y el organismo danés DANIDA declara que “una prioridad estratégica en la cooperación al desarrollo danesa es trabajar por un sector privado más fuerte. Para DANIDA es importante que las empresas danesas participen activamente en este esfuerzo.” (ECDPM 2012).</w:t>
      </w:r>
    </w:p>
    <w:p w:rsidR="00210910" w:rsidRPr="00153074" w:rsidRDefault="00210910" w:rsidP="0060161D">
      <w:pPr>
        <w:jc w:val="both"/>
        <w:rPr>
          <w:lang w:val="es-ES_tradnl"/>
        </w:rPr>
      </w:pPr>
    </w:p>
    <w:p w:rsidR="00210910" w:rsidRPr="00153074" w:rsidRDefault="00210910" w:rsidP="0060161D">
      <w:pPr>
        <w:jc w:val="both"/>
        <w:rPr>
          <w:lang w:val="es-ES_tradnl"/>
        </w:rPr>
      </w:pPr>
      <w:r w:rsidRPr="00153074">
        <w:rPr>
          <w:lang w:val="es-ES_tradnl"/>
        </w:rPr>
        <w:t>La ayuda condicionada puede también utilizarse como parte de paquetes de estímulo tras una crisis. Por ejemplo, como parte de un paquete de estímulo (</w:t>
      </w:r>
      <w:r w:rsidRPr="00153074">
        <w:rPr>
          <w:i/>
          <w:lang w:val="es-ES_tradnl"/>
        </w:rPr>
        <w:t>Decreto Fare</w:t>
      </w:r>
      <w:r w:rsidRPr="00153074">
        <w:rPr>
          <w:i/>
          <w:vertAlign w:val="superscript"/>
          <w:lang w:val="es-ES_tradnl"/>
        </w:rPr>
        <w:footnoteReference w:id="12"/>
      </w:r>
      <w:r w:rsidRPr="00153074">
        <w:rPr>
          <w:lang w:val="es-ES_tradnl"/>
        </w:rPr>
        <w:t>) adoptado en junio de 2013, el Gobierno italiano amplió considerablemente la lista de países elegibles – de 27 a más de 100 – en los cuales las compañías italianas podían beneficiarse de AOD como parte de empresas conjuntas con compañías locales.</w:t>
      </w:r>
    </w:p>
    <w:p w:rsidR="001F61FD" w:rsidRPr="00153074" w:rsidRDefault="001F61FD" w:rsidP="0060161D">
      <w:pPr>
        <w:jc w:val="both"/>
        <w:rPr>
          <w:lang w:val="es-ES_tradnl"/>
        </w:rPr>
      </w:pPr>
    </w:p>
    <w:p w:rsidR="00B1268C" w:rsidRPr="00153074" w:rsidRDefault="00114CAA" w:rsidP="007462FA">
      <w:pPr>
        <w:pStyle w:val="Heading3"/>
        <w:rPr>
          <w:lang w:val="es-ES_tradnl"/>
        </w:rPr>
      </w:pPr>
      <w:bookmarkStart w:id="61" w:name="_Toc369604923"/>
      <w:bookmarkStart w:id="62" w:name="_Toc230681467"/>
      <w:bookmarkEnd w:id="60"/>
      <w:r w:rsidRPr="00153074">
        <w:rPr>
          <w:lang w:val="es-ES_tradnl"/>
        </w:rPr>
        <w:t>La brecha de las finanzas públicas</w:t>
      </w:r>
      <w:bookmarkEnd w:id="61"/>
      <w:r w:rsidRPr="00153074">
        <w:rPr>
          <w:lang w:val="es-ES_tradnl"/>
        </w:rPr>
        <w:t xml:space="preserve"> </w:t>
      </w:r>
    </w:p>
    <w:p w:rsidR="005F528A" w:rsidRPr="00153074" w:rsidRDefault="00114CAA" w:rsidP="00114CAA">
      <w:pPr>
        <w:jc w:val="both"/>
        <w:rPr>
          <w:lang w:val="es-ES_tradnl"/>
        </w:rPr>
      </w:pPr>
      <w:r w:rsidRPr="00153074">
        <w:rPr>
          <w:lang w:val="es-ES_tradnl"/>
        </w:rPr>
        <w:t xml:space="preserve">Otro </w:t>
      </w:r>
      <w:r w:rsidR="00210910" w:rsidRPr="00153074">
        <w:rPr>
          <w:lang w:val="es-ES_tradnl"/>
        </w:rPr>
        <w:t>factor</w:t>
      </w:r>
      <w:r w:rsidRPr="00153074">
        <w:rPr>
          <w:lang w:val="es-ES_tradnl"/>
        </w:rPr>
        <w:t xml:space="preserve"> importante es la impresión de que el erario público se ha agotado</w:t>
      </w:r>
      <w:r w:rsidR="005468A6" w:rsidRPr="00153074">
        <w:rPr>
          <w:lang w:val="es-ES_tradnl"/>
        </w:rPr>
        <w:t xml:space="preserve"> </w:t>
      </w:r>
      <w:r w:rsidR="00131660" w:rsidRPr="00153074">
        <w:rPr>
          <w:lang w:val="es-ES_tradnl"/>
        </w:rPr>
        <w:t>o</w:t>
      </w:r>
      <w:r w:rsidR="003E17EA" w:rsidRPr="00153074">
        <w:rPr>
          <w:lang w:val="es-ES_tradnl"/>
        </w:rPr>
        <w:t xml:space="preserve">, </w:t>
      </w:r>
      <w:r w:rsidR="005468A6" w:rsidRPr="00153074">
        <w:rPr>
          <w:lang w:val="es-ES_tradnl"/>
        </w:rPr>
        <w:t>más específicamente</w:t>
      </w:r>
      <w:r w:rsidR="003E17EA" w:rsidRPr="00153074">
        <w:rPr>
          <w:lang w:val="es-ES_tradnl"/>
        </w:rPr>
        <w:t>,</w:t>
      </w:r>
      <w:r w:rsidR="005468A6" w:rsidRPr="00153074">
        <w:rPr>
          <w:lang w:val="es-ES_tradnl"/>
        </w:rPr>
        <w:t xml:space="preserve"> </w:t>
      </w:r>
      <w:r w:rsidR="003E17EA" w:rsidRPr="00153074">
        <w:rPr>
          <w:lang w:val="es-ES_tradnl"/>
        </w:rPr>
        <w:t>que</w:t>
      </w:r>
      <w:r w:rsidR="005468A6" w:rsidRPr="00153074">
        <w:rPr>
          <w:lang w:val="es-ES_tradnl"/>
        </w:rPr>
        <w:t xml:space="preserve"> los flujos de la AOD</w:t>
      </w:r>
      <w:r w:rsidR="003E17EA" w:rsidRPr="00153074">
        <w:rPr>
          <w:lang w:val="es-ES_tradnl"/>
        </w:rPr>
        <w:t xml:space="preserve"> están disminuyendo</w:t>
      </w:r>
      <w:r w:rsidR="005468A6" w:rsidRPr="00153074">
        <w:rPr>
          <w:lang w:val="es-ES_tradnl"/>
        </w:rPr>
        <w:t xml:space="preserve">. En </w:t>
      </w:r>
      <w:r w:rsidR="003E17EA" w:rsidRPr="00153074">
        <w:rPr>
          <w:lang w:val="es-ES_tradnl"/>
        </w:rPr>
        <w:t>decir que</w:t>
      </w:r>
      <w:r w:rsidR="005468A6" w:rsidRPr="00153074">
        <w:rPr>
          <w:lang w:val="es-ES_tradnl"/>
        </w:rPr>
        <w:t xml:space="preserve"> a medida que se </w:t>
      </w:r>
      <w:r w:rsidR="00131660" w:rsidRPr="00153074">
        <w:rPr>
          <w:lang w:val="es-ES_tradnl"/>
        </w:rPr>
        <w:t>van recortando</w:t>
      </w:r>
      <w:r w:rsidR="005468A6" w:rsidRPr="00153074">
        <w:rPr>
          <w:lang w:val="es-ES_tradnl"/>
        </w:rPr>
        <w:t xml:space="preserve"> los presupuestos públicos</w:t>
      </w:r>
      <w:r w:rsidR="003E17EA" w:rsidRPr="00153074">
        <w:rPr>
          <w:lang w:val="es-ES_tradnl"/>
        </w:rPr>
        <w:t xml:space="preserve"> surge l</w:t>
      </w:r>
      <w:r w:rsidR="005468A6" w:rsidRPr="00153074">
        <w:rPr>
          <w:lang w:val="es-ES_tradnl"/>
        </w:rPr>
        <w:t xml:space="preserve">a necesidad de examinar formas alternativas de financiación al desarrollo o, en </w:t>
      </w:r>
      <w:r w:rsidR="003E17EA" w:rsidRPr="00153074">
        <w:rPr>
          <w:lang w:val="es-ES_tradnl"/>
        </w:rPr>
        <w:t>el</w:t>
      </w:r>
      <w:r w:rsidR="005468A6" w:rsidRPr="00153074">
        <w:rPr>
          <w:lang w:val="es-ES_tradnl"/>
        </w:rPr>
        <w:t xml:space="preserve"> caso</w:t>
      </w:r>
      <w:r w:rsidR="003E17EA" w:rsidRPr="00153074">
        <w:rPr>
          <w:lang w:val="es-ES_tradnl"/>
        </w:rPr>
        <w:t xml:space="preserve"> que nos ocupa</w:t>
      </w:r>
      <w:r w:rsidR="005468A6" w:rsidRPr="00153074">
        <w:rPr>
          <w:lang w:val="es-ES_tradnl"/>
        </w:rPr>
        <w:t xml:space="preserve">, </w:t>
      </w:r>
      <w:r w:rsidR="003E17EA" w:rsidRPr="00153074">
        <w:rPr>
          <w:lang w:val="es-ES_tradnl"/>
        </w:rPr>
        <w:t xml:space="preserve">de </w:t>
      </w:r>
      <w:r w:rsidR="005468A6" w:rsidRPr="00153074">
        <w:rPr>
          <w:lang w:val="es-ES_tradnl"/>
        </w:rPr>
        <w:t>financiación del sector privado.</w:t>
      </w:r>
      <w:r w:rsidR="00131660" w:rsidRPr="00153074">
        <w:rPr>
          <w:lang w:val="es-ES_tradnl"/>
        </w:rPr>
        <w:t xml:space="preserve"> </w:t>
      </w:r>
      <w:r w:rsidR="00BE593D" w:rsidRPr="00153074">
        <w:rPr>
          <w:lang w:val="es-ES_tradnl"/>
        </w:rPr>
        <w:t xml:space="preserve">Como lo señala el Informe sobre la </w:t>
      </w:r>
      <w:r w:rsidR="00A245B4" w:rsidRPr="00153074">
        <w:rPr>
          <w:lang w:val="es-ES_tradnl"/>
        </w:rPr>
        <w:t>R</w:t>
      </w:r>
      <w:r w:rsidR="00BE593D" w:rsidRPr="00153074">
        <w:rPr>
          <w:lang w:val="es-ES_tradnl"/>
        </w:rPr>
        <w:t xml:space="preserve">ealidad de la </w:t>
      </w:r>
      <w:r w:rsidR="00A245B4" w:rsidRPr="00153074">
        <w:rPr>
          <w:lang w:val="es-ES_tradnl"/>
        </w:rPr>
        <w:t>A</w:t>
      </w:r>
      <w:r w:rsidR="00BE593D" w:rsidRPr="00153074">
        <w:rPr>
          <w:lang w:val="es-ES_tradnl"/>
        </w:rPr>
        <w:t>yuda</w:t>
      </w:r>
      <w:r w:rsidR="00A245B4" w:rsidRPr="00153074">
        <w:rPr>
          <w:lang w:val="es-ES_tradnl"/>
        </w:rPr>
        <w:t xml:space="preserve"> (RoA)</w:t>
      </w:r>
      <w:r w:rsidR="00BE593D" w:rsidRPr="00153074">
        <w:rPr>
          <w:lang w:val="es-ES_tradnl"/>
        </w:rPr>
        <w:t xml:space="preserve">: </w:t>
      </w:r>
      <w:r w:rsidR="002A7792" w:rsidRPr="00153074">
        <w:rPr>
          <w:lang w:val="es-ES_tradnl"/>
        </w:rPr>
        <w:t>“</w:t>
      </w:r>
      <w:r w:rsidR="00A245B4" w:rsidRPr="00153074">
        <w:rPr>
          <w:lang w:val="es-ES_tradnl"/>
        </w:rPr>
        <w:t>E</w:t>
      </w:r>
      <w:r w:rsidR="00BE593D" w:rsidRPr="00153074">
        <w:rPr>
          <w:lang w:val="es-ES_tradnl"/>
        </w:rPr>
        <w:t xml:space="preserve">n un contexto de compromisos </w:t>
      </w:r>
      <w:r w:rsidR="003E17EA" w:rsidRPr="00153074">
        <w:rPr>
          <w:lang w:val="es-ES_tradnl"/>
        </w:rPr>
        <w:t>fracasados</w:t>
      </w:r>
      <w:r w:rsidR="005F528A" w:rsidRPr="00153074">
        <w:rPr>
          <w:lang w:val="es-ES_tradnl"/>
        </w:rPr>
        <w:t xml:space="preserve"> y </w:t>
      </w:r>
      <w:r w:rsidR="0083269F" w:rsidRPr="00153074">
        <w:rPr>
          <w:lang w:val="es-ES_tradnl"/>
        </w:rPr>
        <w:t>con</w:t>
      </w:r>
      <w:r w:rsidR="00A245B4" w:rsidRPr="00153074">
        <w:rPr>
          <w:lang w:val="es-ES_tradnl"/>
        </w:rPr>
        <w:t xml:space="preserve"> </w:t>
      </w:r>
      <w:r w:rsidR="0083269F" w:rsidRPr="00153074">
        <w:rPr>
          <w:lang w:val="es-ES_tradnl"/>
        </w:rPr>
        <w:t xml:space="preserve">las </w:t>
      </w:r>
      <w:r w:rsidR="00A245B4" w:rsidRPr="00153074">
        <w:rPr>
          <w:lang w:val="es-ES_tradnl"/>
        </w:rPr>
        <w:t>nuevas</w:t>
      </w:r>
      <w:r w:rsidR="005F528A" w:rsidRPr="00153074">
        <w:rPr>
          <w:lang w:val="es-ES_tradnl"/>
        </w:rPr>
        <w:t xml:space="preserve"> </w:t>
      </w:r>
      <w:r w:rsidR="00A245B4" w:rsidRPr="00153074">
        <w:rPr>
          <w:lang w:val="es-ES_tradnl"/>
        </w:rPr>
        <w:t>reducciones de</w:t>
      </w:r>
      <w:r w:rsidR="005F528A" w:rsidRPr="00153074">
        <w:rPr>
          <w:lang w:val="es-ES_tradnl"/>
        </w:rPr>
        <w:t xml:space="preserve"> la AOD </w:t>
      </w:r>
      <w:r w:rsidR="0083269F" w:rsidRPr="00153074">
        <w:rPr>
          <w:lang w:val="es-ES_tradnl"/>
        </w:rPr>
        <w:t xml:space="preserve">que se aplicarán en </w:t>
      </w:r>
      <w:r w:rsidR="005F528A" w:rsidRPr="00153074">
        <w:rPr>
          <w:lang w:val="es-ES_tradnl"/>
        </w:rPr>
        <w:t>los próximos años</w:t>
      </w:r>
      <w:r w:rsidR="002A7792" w:rsidRPr="00153074">
        <w:rPr>
          <w:lang w:val="es-ES_tradnl"/>
        </w:rPr>
        <w:t>”</w:t>
      </w:r>
      <w:r w:rsidR="005F528A" w:rsidRPr="00153074">
        <w:rPr>
          <w:lang w:val="es-ES_tradnl"/>
        </w:rPr>
        <w:t xml:space="preserve"> los donantes quieren transformar la ayuda en una función </w:t>
      </w:r>
      <w:r w:rsidR="002A7792" w:rsidRPr="00153074">
        <w:rPr>
          <w:lang w:val="es-ES_tradnl"/>
        </w:rPr>
        <w:t>“</w:t>
      </w:r>
      <w:r w:rsidR="005F528A" w:rsidRPr="00153074">
        <w:rPr>
          <w:lang w:val="es-ES_tradnl"/>
        </w:rPr>
        <w:t>catalizadora</w:t>
      </w:r>
      <w:r w:rsidR="002A7792" w:rsidRPr="00153074">
        <w:rPr>
          <w:lang w:val="es-ES_tradnl"/>
        </w:rPr>
        <w:t>”</w:t>
      </w:r>
      <w:r w:rsidR="005F528A" w:rsidRPr="00153074">
        <w:rPr>
          <w:lang w:val="es-ES_tradnl"/>
        </w:rPr>
        <w:t xml:space="preserve"> que pueda </w:t>
      </w:r>
      <w:r w:rsidR="002A7792" w:rsidRPr="00153074">
        <w:rPr>
          <w:lang w:val="es-ES_tradnl"/>
        </w:rPr>
        <w:t>“</w:t>
      </w:r>
      <w:r w:rsidR="005F528A" w:rsidRPr="00153074">
        <w:rPr>
          <w:lang w:val="es-ES_tradnl"/>
        </w:rPr>
        <w:t>generar recursos financieros adicionales para el desar</w:t>
      </w:r>
      <w:r w:rsidR="00A245B4" w:rsidRPr="00153074">
        <w:rPr>
          <w:lang w:val="es-ES_tradnl"/>
        </w:rPr>
        <w:t xml:space="preserve">rollo a través de asociaciones con </w:t>
      </w:r>
      <w:r w:rsidR="005F528A" w:rsidRPr="00153074">
        <w:rPr>
          <w:lang w:val="es-ES_tradnl"/>
        </w:rPr>
        <w:t>el sector privado</w:t>
      </w:r>
      <w:r w:rsidR="002A7792" w:rsidRPr="00153074">
        <w:rPr>
          <w:lang w:val="es-ES_tradnl"/>
        </w:rPr>
        <w:t>”</w:t>
      </w:r>
      <w:r w:rsidR="00B1268C" w:rsidRPr="00153074">
        <w:rPr>
          <w:lang w:val="es-ES_tradnl"/>
        </w:rPr>
        <w:t xml:space="preserve"> (RoA 2012). </w:t>
      </w:r>
      <w:r w:rsidR="005F528A" w:rsidRPr="00153074">
        <w:rPr>
          <w:lang w:val="es-ES_tradnl"/>
        </w:rPr>
        <w:t xml:space="preserve">La crisis </w:t>
      </w:r>
      <w:r w:rsidR="001104EA" w:rsidRPr="00153074">
        <w:rPr>
          <w:lang w:val="es-ES_tradnl"/>
        </w:rPr>
        <w:t>financiera de 2008</w:t>
      </w:r>
      <w:r w:rsidR="005F528A" w:rsidRPr="00153074">
        <w:rPr>
          <w:lang w:val="es-ES_tradnl"/>
        </w:rPr>
        <w:t xml:space="preserve"> y su transformación dos años después en una crisis de deuda soberana en todos los países de la OCDE</w:t>
      </w:r>
      <w:r w:rsidR="00B60CC2" w:rsidRPr="00153074">
        <w:rPr>
          <w:lang w:val="es-ES_tradnl"/>
        </w:rPr>
        <w:t>, ha</w:t>
      </w:r>
      <w:r w:rsidR="001104EA" w:rsidRPr="00153074">
        <w:rPr>
          <w:lang w:val="es-ES_tradnl"/>
        </w:rPr>
        <w:t>n</w:t>
      </w:r>
      <w:r w:rsidR="00B60CC2" w:rsidRPr="00153074">
        <w:rPr>
          <w:lang w:val="es-ES_tradnl"/>
        </w:rPr>
        <w:t xml:space="preserve"> </w:t>
      </w:r>
      <w:r w:rsidR="001104EA" w:rsidRPr="00153074">
        <w:rPr>
          <w:lang w:val="es-ES_tradnl"/>
        </w:rPr>
        <w:t>consolidado</w:t>
      </w:r>
      <w:r w:rsidR="00B60CC2" w:rsidRPr="00153074">
        <w:rPr>
          <w:lang w:val="es-ES_tradnl"/>
        </w:rPr>
        <w:t xml:space="preserve"> la importancia del sector privado como respuesta a </w:t>
      </w:r>
      <w:r w:rsidR="00831FF2" w:rsidRPr="00153074">
        <w:rPr>
          <w:lang w:val="es-ES_tradnl"/>
        </w:rPr>
        <w:t>las limitaciones presupuestaria</w:t>
      </w:r>
      <w:r w:rsidR="00B60CC2" w:rsidRPr="00153074">
        <w:rPr>
          <w:lang w:val="es-ES_tradnl"/>
        </w:rPr>
        <w:t>s. Financiar el desarrollo a través de instituciones gubernamentales que proporcionan ostensiblemente crédito al sector privado</w:t>
      </w:r>
      <w:r w:rsidR="005F528A" w:rsidRPr="00153074">
        <w:rPr>
          <w:lang w:val="es-ES_tradnl"/>
        </w:rPr>
        <w:t xml:space="preserve"> </w:t>
      </w:r>
      <w:r w:rsidR="00B60CC2" w:rsidRPr="00153074">
        <w:rPr>
          <w:lang w:val="es-ES_tradnl"/>
        </w:rPr>
        <w:t xml:space="preserve">para </w:t>
      </w:r>
      <w:r w:rsidR="00FA4C75" w:rsidRPr="00153074">
        <w:rPr>
          <w:lang w:val="es-ES_tradnl"/>
        </w:rPr>
        <w:t xml:space="preserve">propósitos relacionados con el desarrollo, </w:t>
      </w:r>
      <w:r w:rsidR="001104EA" w:rsidRPr="00153074">
        <w:rPr>
          <w:lang w:val="es-ES_tradnl"/>
        </w:rPr>
        <w:t>en lugar de hacerlo</w:t>
      </w:r>
      <w:r w:rsidR="00FA4C75" w:rsidRPr="00153074">
        <w:rPr>
          <w:lang w:val="es-ES_tradnl"/>
        </w:rPr>
        <w:t xml:space="preserve"> a través de </w:t>
      </w:r>
      <w:r w:rsidR="00B60CC2" w:rsidRPr="00153074">
        <w:rPr>
          <w:lang w:val="es-ES_tradnl"/>
        </w:rPr>
        <w:t>subvenciones públicas</w:t>
      </w:r>
      <w:r w:rsidR="001104EA" w:rsidRPr="00153074">
        <w:rPr>
          <w:lang w:val="es-ES_tradnl"/>
        </w:rPr>
        <w:t>,</w:t>
      </w:r>
      <w:r w:rsidR="0084702B" w:rsidRPr="00153074">
        <w:rPr>
          <w:lang w:val="es-ES_tradnl"/>
        </w:rPr>
        <w:t xml:space="preserve"> </w:t>
      </w:r>
      <w:r w:rsidR="001A79E3" w:rsidRPr="00153074">
        <w:rPr>
          <w:lang w:val="es-ES_tradnl"/>
        </w:rPr>
        <w:t>se concibe</w:t>
      </w:r>
      <w:r w:rsidR="0084702B" w:rsidRPr="00153074">
        <w:rPr>
          <w:lang w:val="es-ES_tradnl"/>
        </w:rPr>
        <w:t xml:space="preserve"> por tanto como </w:t>
      </w:r>
      <w:r w:rsidR="00B60CC2" w:rsidRPr="00153074">
        <w:rPr>
          <w:lang w:val="es-ES_tradnl"/>
        </w:rPr>
        <w:t xml:space="preserve">una </w:t>
      </w:r>
      <w:r w:rsidR="00B60CC2" w:rsidRPr="00153074">
        <w:rPr>
          <w:lang w:val="es-ES_tradnl"/>
        </w:rPr>
        <w:lastRenderedPageBreak/>
        <w:t xml:space="preserve">opción presupuestaria neutral para los </w:t>
      </w:r>
      <w:r w:rsidR="00864464" w:rsidRPr="00153074">
        <w:rPr>
          <w:lang w:val="es-ES_tradnl"/>
        </w:rPr>
        <w:t>Gobierno</w:t>
      </w:r>
      <w:r w:rsidR="00B60CC2" w:rsidRPr="00153074">
        <w:rPr>
          <w:lang w:val="es-ES_tradnl"/>
        </w:rPr>
        <w:t xml:space="preserve">s. Las APP, en particular, </w:t>
      </w:r>
      <w:r w:rsidR="00357504" w:rsidRPr="00153074">
        <w:rPr>
          <w:lang w:val="es-ES_tradnl"/>
        </w:rPr>
        <w:t>se presentan</w:t>
      </w:r>
      <w:r w:rsidR="00B60CC2" w:rsidRPr="00153074">
        <w:rPr>
          <w:lang w:val="es-ES_tradnl"/>
        </w:rPr>
        <w:t xml:space="preserve"> como </w:t>
      </w:r>
      <w:r w:rsidR="00357504" w:rsidRPr="00153074">
        <w:rPr>
          <w:lang w:val="es-ES_tradnl"/>
        </w:rPr>
        <w:t xml:space="preserve">la </w:t>
      </w:r>
      <w:r w:rsidR="00B60CC2" w:rsidRPr="00153074">
        <w:rPr>
          <w:lang w:val="es-ES_tradnl"/>
        </w:rPr>
        <w:t>soluci</w:t>
      </w:r>
      <w:r w:rsidR="00357504" w:rsidRPr="00153074">
        <w:rPr>
          <w:lang w:val="es-ES_tradnl"/>
        </w:rPr>
        <w:t>ón</w:t>
      </w:r>
      <w:r w:rsidR="00B60CC2" w:rsidRPr="00153074">
        <w:rPr>
          <w:lang w:val="es-ES_tradnl"/>
        </w:rPr>
        <w:t xml:space="preserve"> ideal para aliviar la presión </w:t>
      </w:r>
      <w:r w:rsidR="00FD4C46" w:rsidRPr="00153074">
        <w:rPr>
          <w:lang w:val="es-ES_tradnl"/>
        </w:rPr>
        <w:t xml:space="preserve">que </w:t>
      </w:r>
      <w:r w:rsidR="00961DBF" w:rsidRPr="00153074">
        <w:rPr>
          <w:lang w:val="es-ES_tradnl"/>
        </w:rPr>
        <w:t>se impone</w:t>
      </w:r>
      <w:r w:rsidR="00FD4C46" w:rsidRPr="00153074">
        <w:rPr>
          <w:lang w:val="es-ES_tradnl"/>
        </w:rPr>
        <w:t xml:space="preserve"> </w:t>
      </w:r>
      <w:r w:rsidR="00A275C1" w:rsidRPr="00153074">
        <w:rPr>
          <w:lang w:val="es-ES_tradnl"/>
        </w:rPr>
        <w:t xml:space="preserve">no sólo </w:t>
      </w:r>
      <w:r w:rsidR="00680E0B" w:rsidRPr="00153074">
        <w:rPr>
          <w:lang w:val="es-ES_tradnl"/>
        </w:rPr>
        <w:t>sobre</w:t>
      </w:r>
      <w:r w:rsidR="00B60CC2" w:rsidRPr="00153074">
        <w:rPr>
          <w:lang w:val="es-ES_tradnl"/>
        </w:rPr>
        <w:t xml:space="preserve"> los donantes </w:t>
      </w:r>
      <w:r w:rsidR="00A275C1" w:rsidRPr="00153074">
        <w:rPr>
          <w:lang w:val="es-ES_tradnl"/>
        </w:rPr>
        <w:t>sino</w:t>
      </w:r>
      <w:r w:rsidR="00B60CC2" w:rsidRPr="00153074">
        <w:rPr>
          <w:lang w:val="es-ES_tradnl"/>
        </w:rPr>
        <w:t xml:space="preserve"> también </w:t>
      </w:r>
      <w:r w:rsidR="00A275C1" w:rsidRPr="00153074">
        <w:rPr>
          <w:lang w:val="es-ES_tradnl"/>
        </w:rPr>
        <w:t>sobre</w:t>
      </w:r>
      <w:r w:rsidR="00B60CC2" w:rsidRPr="00153074">
        <w:rPr>
          <w:lang w:val="es-ES_tradnl"/>
        </w:rPr>
        <w:t xml:space="preserve"> los </w:t>
      </w:r>
      <w:r w:rsidR="00864464" w:rsidRPr="00153074">
        <w:rPr>
          <w:lang w:val="es-ES_tradnl"/>
        </w:rPr>
        <w:t>Gobierno</w:t>
      </w:r>
      <w:r w:rsidR="00B60CC2" w:rsidRPr="00153074">
        <w:rPr>
          <w:lang w:val="es-ES_tradnl"/>
        </w:rPr>
        <w:t>s receptores.</w:t>
      </w:r>
    </w:p>
    <w:p w:rsidR="00B60CC2" w:rsidRPr="00153074" w:rsidRDefault="00B60CC2" w:rsidP="00114CAA">
      <w:pPr>
        <w:jc w:val="both"/>
        <w:rPr>
          <w:lang w:val="es-ES_tradnl"/>
        </w:rPr>
      </w:pPr>
    </w:p>
    <w:p w:rsidR="00B1268C" w:rsidRPr="00153074" w:rsidRDefault="00B60CC2" w:rsidP="007462FA">
      <w:pPr>
        <w:jc w:val="both"/>
        <w:rPr>
          <w:lang w:val="es-ES_tradnl"/>
        </w:rPr>
      </w:pPr>
      <w:r w:rsidRPr="00153074">
        <w:rPr>
          <w:lang w:val="es-ES_tradnl"/>
        </w:rPr>
        <w:t>El enfoque de la brecha de la financiación pública</w:t>
      </w:r>
      <w:r w:rsidR="00C25279" w:rsidRPr="00153074">
        <w:rPr>
          <w:lang w:val="es-ES_tradnl"/>
        </w:rPr>
        <w:t xml:space="preserve"> ha adquirido </w:t>
      </w:r>
      <w:r w:rsidR="00DE37CA" w:rsidRPr="00153074">
        <w:rPr>
          <w:lang w:val="es-ES_tradnl"/>
        </w:rPr>
        <w:t xml:space="preserve">un </w:t>
      </w:r>
      <w:r w:rsidR="00B849FA" w:rsidRPr="00153074">
        <w:rPr>
          <w:lang w:val="es-ES_tradnl"/>
        </w:rPr>
        <w:t xml:space="preserve">impulso </w:t>
      </w:r>
      <w:r w:rsidR="00C25279" w:rsidRPr="00153074">
        <w:rPr>
          <w:lang w:val="es-ES_tradnl"/>
        </w:rPr>
        <w:t>parecido</w:t>
      </w:r>
      <w:r w:rsidR="000957EF" w:rsidRPr="00153074">
        <w:rPr>
          <w:lang w:val="es-ES_tradnl"/>
        </w:rPr>
        <w:t xml:space="preserve"> como</w:t>
      </w:r>
      <w:r w:rsidR="00C25279" w:rsidRPr="00153074">
        <w:rPr>
          <w:lang w:val="es-ES_tradnl"/>
        </w:rPr>
        <w:t xml:space="preserve"> solución propuesta para el reto de responder a las necesidades de infraestructura y en</w:t>
      </w:r>
      <w:r w:rsidR="00DE37CA" w:rsidRPr="00153074">
        <w:rPr>
          <w:lang w:val="es-ES_tradnl"/>
        </w:rPr>
        <w:t xml:space="preserve">ergía del mundo en desarrollo </w:t>
      </w:r>
      <w:r w:rsidR="000957EF" w:rsidRPr="00153074">
        <w:rPr>
          <w:lang w:val="es-ES_tradnl"/>
        </w:rPr>
        <w:t>a lo largo de</w:t>
      </w:r>
      <w:r w:rsidR="00C25279" w:rsidRPr="00153074">
        <w:rPr>
          <w:lang w:val="es-ES_tradnl"/>
        </w:rPr>
        <w:t xml:space="preserve"> los próximos 30 años. La OCDE argumenta que </w:t>
      </w:r>
      <w:r w:rsidR="002A7792" w:rsidRPr="00153074">
        <w:rPr>
          <w:lang w:val="es-ES_tradnl"/>
        </w:rPr>
        <w:t>“</w:t>
      </w:r>
      <w:r w:rsidR="00C25279" w:rsidRPr="00153074">
        <w:rPr>
          <w:lang w:val="es-ES_tradnl"/>
        </w:rPr>
        <w:t>la demanda de infraestructura no hará más que aumentar</w:t>
      </w:r>
      <w:r w:rsidR="002A7792" w:rsidRPr="00153074">
        <w:rPr>
          <w:lang w:val="es-ES_tradnl"/>
        </w:rPr>
        <w:t>”</w:t>
      </w:r>
      <w:r w:rsidR="00C25279" w:rsidRPr="00153074">
        <w:rPr>
          <w:lang w:val="es-ES_tradnl"/>
        </w:rPr>
        <w:t xml:space="preserve">, y estima que los requisitos de infraestructura mundial hasta 2030 serán del orden de 50 billones USD. Sin embargo, la OCDE sugiere que </w:t>
      </w:r>
      <w:r w:rsidR="002A7792" w:rsidRPr="00153074">
        <w:rPr>
          <w:lang w:val="es-ES_tradnl"/>
        </w:rPr>
        <w:t>“</w:t>
      </w:r>
      <w:r w:rsidR="00C25279" w:rsidRPr="00153074">
        <w:rPr>
          <w:lang w:val="es-ES_tradnl"/>
        </w:rPr>
        <w:t>al mismo tiempo</w:t>
      </w:r>
      <w:r w:rsidR="000957EF" w:rsidRPr="00153074">
        <w:rPr>
          <w:lang w:val="es-ES_tradnl"/>
        </w:rPr>
        <w:t>,</w:t>
      </w:r>
      <w:r w:rsidR="00C25279" w:rsidRPr="00153074">
        <w:rPr>
          <w:lang w:val="es-ES_tradnl"/>
        </w:rPr>
        <w:t xml:space="preserve"> las finanzas públicas de todo el mundo se están viendo sometidas a crecientes presiones. (…) </w:t>
      </w:r>
      <w:r w:rsidR="000733FD" w:rsidRPr="00153074">
        <w:rPr>
          <w:lang w:val="es-ES_tradnl"/>
        </w:rPr>
        <w:t>Salvar la inminente brecha de infraestructura exigi</w:t>
      </w:r>
      <w:r w:rsidR="00DE37CA" w:rsidRPr="00153074">
        <w:rPr>
          <w:lang w:val="es-ES_tradnl"/>
        </w:rPr>
        <w:t xml:space="preserve">rá </w:t>
      </w:r>
      <w:r w:rsidR="000733FD" w:rsidRPr="00153074">
        <w:rPr>
          <w:lang w:val="es-ES_tradnl"/>
        </w:rPr>
        <w:t xml:space="preserve">por tanto (...) </w:t>
      </w:r>
      <w:r w:rsidR="000957EF" w:rsidRPr="00153074">
        <w:rPr>
          <w:lang w:val="es-ES_tradnl"/>
        </w:rPr>
        <w:t>conseguir</w:t>
      </w:r>
      <w:r w:rsidR="00DE37CA" w:rsidRPr="00153074">
        <w:rPr>
          <w:lang w:val="es-ES_tradnl"/>
        </w:rPr>
        <w:t xml:space="preserve"> que</w:t>
      </w:r>
      <w:r w:rsidR="000733FD" w:rsidRPr="00153074">
        <w:rPr>
          <w:lang w:val="es-ES_tradnl"/>
        </w:rPr>
        <w:t xml:space="preserve"> el capital privado </w:t>
      </w:r>
      <w:r w:rsidR="000957EF" w:rsidRPr="00153074">
        <w:rPr>
          <w:lang w:val="es-ES_tradnl"/>
        </w:rPr>
        <w:t>pase a formar parte de</w:t>
      </w:r>
      <w:r w:rsidR="000733FD" w:rsidRPr="00153074">
        <w:rPr>
          <w:lang w:val="es-ES_tradnl"/>
        </w:rPr>
        <w:t xml:space="preserve"> estos proyectos</w:t>
      </w:r>
      <w:bookmarkEnd w:id="62"/>
      <w:r w:rsidR="00DB0F5D" w:rsidRPr="00153074">
        <w:rPr>
          <w:lang w:val="es-ES_tradnl"/>
        </w:rPr>
        <w:t>”</w:t>
      </w:r>
      <w:r w:rsidR="00B1268C" w:rsidRPr="00153074">
        <w:rPr>
          <w:lang w:val="es-ES_tradnl"/>
        </w:rPr>
        <w:t xml:space="preserve"> (</w:t>
      </w:r>
      <w:r w:rsidR="003A4EDB" w:rsidRPr="00153074">
        <w:rPr>
          <w:lang w:val="es-ES_tradnl"/>
        </w:rPr>
        <w:t>OCDE</w:t>
      </w:r>
      <w:r w:rsidR="00B1268C" w:rsidRPr="00153074">
        <w:rPr>
          <w:lang w:val="es-ES_tradnl"/>
        </w:rPr>
        <w:t xml:space="preserve"> 2012).</w:t>
      </w:r>
    </w:p>
    <w:p w:rsidR="00B1268C" w:rsidRPr="00153074" w:rsidRDefault="00B1268C" w:rsidP="006935C0">
      <w:pPr>
        <w:jc w:val="both"/>
        <w:rPr>
          <w:rFonts w:ascii="Arial" w:hAnsi="Arial" w:cs="Arial"/>
          <w:sz w:val="20"/>
          <w:szCs w:val="20"/>
          <w:lang w:val="es-ES_tradnl"/>
        </w:rPr>
      </w:pPr>
    </w:p>
    <w:p w:rsidR="00B1268C" w:rsidRPr="00153074" w:rsidRDefault="00C67116" w:rsidP="007462FA">
      <w:pPr>
        <w:jc w:val="both"/>
        <w:rPr>
          <w:lang w:val="es-ES_tradnl"/>
        </w:rPr>
      </w:pPr>
      <w:r w:rsidRPr="00153074">
        <w:rPr>
          <w:lang w:val="es-ES_tradnl"/>
        </w:rPr>
        <w:t xml:space="preserve">Los conceptos de </w:t>
      </w:r>
      <w:r w:rsidRPr="00153074">
        <w:rPr>
          <w:i/>
          <w:lang w:val="es-ES_tradnl"/>
        </w:rPr>
        <w:t xml:space="preserve">rentabilidad </w:t>
      </w:r>
      <w:r w:rsidRPr="00153074">
        <w:rPr>
          <w:lang w:val="es-ES_tradnl"/>
        </w:rPr>
        <w:t xml:space="preserve">y </w:t>
      </w:r>
      <w:r w:rsidRPr="00153074">
        <w:rPr>
          <w:i/>
          <w:lang w:val="es-ES_tradnl"/>
        </w:rPr>
        <w:t>apalancamiento</w:t>
      </w:r>
      <w:r w:rsidR="006F5FAC" w:rsidRPr="00153074">
        <w:rPr>
          <w:i/>
          <w:lang w:val="es-ES_tradnl"/>
        </w:rPr>
        <w:t xml:space="preserve"> </w:t>
      </w:r>
      <w:r w:rsidRPr="00153074">
        <w:rPr>
          <w:lang w:val="es-ES_tradnl"/>
        </w:rPr>
        <w:t xml:space="preserve">son fundamentales para el argumento </w:t>
      </w:r>
      <w:r w:rsidR="00D241B9" w:rsidRPr="00153074">
        <w:rPr>
          <w:lang w:val="es-ES_tradnl"/>
        </w:rPr>
        <w:t>sobre</w:t>
      </w:r>
      <w:r w:rsidRPr="00153074">
        <w:rPr>
          <w:lang w:val="es-ES_tradnl"/>
        </w:rPr>
        <w:t xml:space="preserve"> la</w:t>
      </w:r>
      <w:r w:rsidR="00D241B9" w:rsidRPr="00153074">
        <w:rPr>
          <w:lang w:val="es-ES_tradnl"/>
        </w:rPr>
        <w:t xml:space="preserve"> </w:t>
      </w:r>
      <w:r w:rsidRPr="00153074">
        <w:rPr>
          <w:lang w:val="es-ES_tradnl"/>
        </w:rPr>
        <w:t xml:space="preserve">brecha </w:t>
      </w:r>
      <w:r w:rsidR="00D241B9" w:rsidRPr="00153074">
        <w:rPr>
          <w:lang w:val="es-ES_tradnl"/>
        </w:rPr>
        <w:t>existente en</w:t>
      </w:r>
      <w:r w:rsidRPr="00153074">
        <w:rPr>
          <w:lang w:val="es-ES_tradnl"/>
        </w:rPr>
        <w:t xml:space="preserve"> la financiación pública</w:t>
      </w:r>
      <w:r w:rsidR="00251FFD" w:rsidRPr="00153074">
        <w:rPr>
          <w:lang w:val="es-ES_tradnl"/>
        </w:rPr>
        <w:t xml:space="preserve">, de </w:t>
      </w:r>
      <w:r w:rsidR="0091697F" w:rsidRPr="00153074">
        <w:rPr>
          <w:lang w:val="es-ES_tradnl"/>
        </w:rPr>
        <w:t>lo cual</w:t>
      </w:r>
      <w:r w:rsidR="00251FFD" w:rsidRPr="00153074">
        <w:rPr>
          <w:lang w:val="es-ES_tradnl"/>
        </w:rPr>
        <w:t xml:space="preserve"> se desprende </w:t>
      </w:r>
      <w:r w:rsidR="006F5FAC" w:rsidRPr="00153074">
        <w:rPr>
          <w:lang w:val="es-ES_tradnl"/>
        </w:rPr>
        <w:t xml:space="preserve">el </w:t>
      </w:r>
      <w:r w:rsidR="00251FFD" w:rsidRPr="00153074">
        <w:rPr>
          <w:lang w:val="es-ES_tradnl"/>
        </w:rPr>
        <w:t>gran</w:t>
      </w:r>
      <w:r w:rsidR="006F5FAC" w:rsidRPr="00153074">
        <w:rPr>
          <w:lang w:val="es-ES_tradnl"/>
        </w:rPr>
        <w:t xml:space="preserve"> ímpetu</w:t>
      </w:r>
      <w:r w:rsidR="00251FFD" w:rsidRPr="00153074">
        <w:rPr>
          <w:lang w:val="es-ES_tradnl"/>
        </w:rPr>
        <w:t xml:space="preserve"> en pos del </w:t>
      </w:r>
      <w:r w:rsidR="006F5FAC" w:rsidRPr="00153074">
        <w:rPr>
          <w:lang w:val="es-ES_tradnl"/>
        </w:rPr>
        <w:t xml:space="preserve">sector privado. A medida que el dinero público escasea, los donantes </w:t>
      </w:r>
      <w:r w:rsidR="00D241B9" w:rsidRPr="00153074">
        <w:rPr>
          <w:lang w:val="es-ES_tradnl"/>
        </w:rPr>
        <w:t>se muestran</w:t>
      </w:r>
      <w:r w:rsidR="006F5FAC" w:rsidRPr="00153074">
        <w:rPr>
          <w:lang w:val="es-ES_tradnl"/>
        </w:rPr>
        <w:t xml:space="preserve"> especialmente decididos a </w:t>
      </w:r>
      <w:r w:rsidR="00BD1CAC" w:rsidRPr="00153074">
        <w:rPr>
          <w:lang w:val="es-ES_tradnl"/>
        </w:rPr>
        <w:t>obtener</w:t>
      </w:r>
      <w:r w:rsidR="006F5FAC" w:rsidRPr="00153074">
        <w:rPr>
          <w:lang w:val="es-ES_tradnl"/>
        </w:rPr>
        <w:t xml:space="preserve"> rentabilidad</w:t>
      </w:r>
      <w:r w:rsidR="00D241B9" w:rsidRPr="00153074">
        <w:rPr>
          <w:lang w:val="es-ES_tradnl"/>
        </w:rPr>
        <w:t>,</w:t>
      </w:r>
      <w:r w:rsidR="006F5FAC" w:rsidRPr="00153074">
        <w:rPr>
          <w:lang w:val="es-ES_tradnl"/>
        </w:rPr>
        <w:t xml:space="preserve"> y </w:t>
      </w:r>
      <w:r w:rsidR="00D241B9" w:rsidRPr="00153074">
        <w:rPr>
          <w:lang w:val="es-ES_tradnl"/>
        </w:rPr>
        <w:t>entonces</w:t>
      </w:r>
      <w:r w:rsidR="006F5FAC" w:rsidRPr="00153074">
        <w:rPr>
          <w:lang w:val="es-ES_tradnl"/>
        </w:rPr>
        <w:t xml:space="preserve"> el apalancamiento de las finanzas privadas (es decir </w:t>
      </w:r>
      <w:r w:rsidR="00875A37" w:rsidRPr="00153074">
        <w:rPr>
          <w:lang w:val="es-ES_tradnl"/>
        </w:rPr>
        <w:t xml:space="preserve">que </w:t>
      </w:r>
      <w:r w:rsidR="006F5FAC" w:rsidRPr="00153074">
        <w:rPr>
          <w:lang w:val="es-ES_tradnl"/>
        </w:rPr>
        <w:t xml:space="preserve">una pequeña porción de dinero público </w:t>
      </w:r>
      <w:r w:rsidR="00875A37" w:rsidRPr="00153074">
        <w:rPr>
          <w:lang w:val="es-ES_tradnl"/>
        </w:rPr>
        <w:t xml:space="preserve">atrae </w:t>
      </w:r>
      <w:r w:rsidR="006F5FAC" w:rsidRPr="00153074">
        <w:rPr>
          <w:lang w:val="es-ES_tradnl"/>
        </w:rPr>
        <w:t xml:space="preserve">una gran porción de dinero privado) se considera como la mejor manera de lograrlo. No obstante, como lo señala </w:t>
      </w:r>
      <w:r w:rsidR="00C372EE" w:rsidRPr="00153074">
        <w:rPr>
          <w:lang w:val="es-ES_tradnl"/>
        </w:rPr>
        <w:t>la Red Europea sobre Deuda y Desarrollo (</w:t>
      </w:r>
      <w:r w:rsidR="006F5FAC" w:rsidRPr="00153074">
        <w:rPr>
          <w:lang w:val="es-ES_tradnl"/>
        </w:rPr>
        <w:t>EURODAD</w:t>
      </w:r>
      <w:r w:rsidR="00C372EE" w:rsidRPr="00153074">
        <w:rPr>
          <w:lang w:val="es-ES_tradnl"/>
        </w:rPr>
        <w:t>)</w:t>
      </w:r>
      <w:r w:rsidR="006F5FAC" w:rsidRPr="00153074">
        <w:rPr>
          <w:lang w:val="es-ES_tradnl"/>
        </w:rPr>
        <w:t xml:space="preserve">, </w:t>
      </w:r>
      <w:r w:rsidR="00A76F4F" w:rsidRPr="00153074">
        <w:rPr>
          <w:lang w:val="es-ES_tradnl"/>
        </w:rPr>
        <w:t>el concepto</w:t>
      </w:r>
      <w:r w:rsidR="00D241B9" w:rsidRPr="00153074">
        <w:rPr>
          <w:lang w:val="es-ES_tradnl"/>
        </w:rPr>
        <w:t xml:space="preserve"> global</w:t>
      </w:r>
      <w:r w:rsidR="00A76F4F" w:rsidRPr="00153074">
        <w:rPr>
          <w:lang w:val="es-ES_tradnl"/>
        </w:rPr>
        <w:t xml:space="preserve"> de </w:t>
      </w:r>
      <w:r w:rsidR="00A76F4F" w:rsidRPr="00153074">
        <w:rPr>
          <w:i/>
          <w:lang w:val="es-ES_tradnl"/>
        </w:rPr>
        <w:t>apalancamiento</w:t>
      </w:r>
      <w:r w:rsidR="00A76F4F" w:rsidRPr="00153074">
        <w:rPr>
          <w:lang w:val="es-ES_tradnl"/>
        </w:rPr>
        <w:t xml:space="preserve"> </w:t>
      </w:r>
      <w:r w:rsidR="002A7792" w:rsidRPr="00153074">
        <w:rPr>
          <w:lang w:val="es-ES_tradnl"/>
        </w:rPr>
        <w:t>“</w:t>
      </w:r>
      <w:r w:rsidR="00A76F4F" w:rsidRPr="00153074">
        <w:rPr>
          <w:lang w:val="es-ES_tradnl"/>
        </w:rPr>
        <w:t xml:space="preserve">es problemático y </w:t>
      </w:r>
      <w:r w:rsidR="00D241B9" w:rsidRPr="00153074">
        <w:rPr>
          <w:lang w:val="es-ES_tradnl"/>
        </w:rPr>
        <w:t>carece de</w:t>
      </w:r>
      <w:r w:rsidR="00A76F4F" w:rsidRPr="00153074">
        <w:rPr>
          <w:lang w:val="es-ES_tradnl"/>
        </w:rPr>
        <w:t xml:space="preserve"> una definición clara</w:t>
      </w:r>
      <w:r w:rsidR="002A7792" w:rsidRPr="00153074">
        <w:rPr>
          <w:lang w:val="es-ES_tradnl"/>
        </w:rPr>
        <w:t>”</w:t>
      </w:r>
      <w:r w:rsidR="00C60EAF" w:rsidRPr="00153074">
        <w:rPr>
          <w:lang w:val="es-ES_tradnl"/>
        </w:rPr>
        <w:t>, a saber</w:t>
      </w:r>
      <w:r w:rsidR="00A76F4F" w:rsidRPr="00153074">
        <w:rPr>
          <w:lang w:val="es-ES_tradnl"/>
        </w:rPr>
        <w:t xml:space="preserve">: el efecto de la </w:t>
      </w:r>
      <w:r w:rsidR="002A7792" w:rsidRPr="00153074">
        <w:rPr>
          <w:lang w:val="es-ES_tradnl"/>
        </w:rPr>
        <w:t>“</w:t>
      </w:r>
      <w:r w:rsidR="00A76F4F" w:rsidRPr="00153074">
        <w:rPr>
          <w:lang w:val="es-ES_tradnl"/>
        </w:rPr>
        <w:t>adicionalidad</w:t>
      </w:r>
      <w:r w:rsidR="002A7792" w:rsidRPr="00153074">
        <w:rPr>
          <w:lang w:val="es-ES_tradnl"/>
        </w:rPr>
        <w:t>”</w:t>
      </w:r>
      <w:r w:rsidR="00D1628F" w:rsidRPr="00153074">
        <w:rPr>
          <w:lang w:val="es-ES_tradnl"/>
        </w:rPr>
        <w:t>,</w:t>
      </w:r>
      <w:r w:rsidR="00A76F4F" w:rsidRPr="00153074">
        <w:rPr>
          <w:lang w:val="es-ES_tradnl"/>
        </w:rPr>
        <w:t xml:space="preserve"> supuestamente creado al </w:t>
      </w:r>
      <w:r w:rsidR="00D1628F" w:rsidRPr="00153074">
        <w:rPr>
          <w:lang w:val="es-ES_tradnl"/>
        </w:rPr>
        <w:t>combinar</w:t>
      </w:r>
      <w:r w:rsidR="00A76F4F" w:rsidRPr="00153074">
        <w:rPr>
          <w:lang w:val="es-ES_tradnl"/>
        </w:rPr>
        <w:t xml:space="preserve"> dinero público y privado</w:t>
      </w:r>
      <w:r w:rsidR="00D1628F" w:rsidRPr="00153074">
        <w:rPr>
          <w:lang w:val="es-ES_tradnl"/>
        </w:rPr>
        <w:t>,</w:t>
      </w:r>
      <w:r w:rsidR="006935C0" w:rsidRPr="00153074">
        <w:rPr>
          <w:lang w:val="es-ES_tradnl"/>
        </w:rPr>
        <w:t xml:space="preserve"> </w:t>
      </w:r>
      <w:r w:rsidR="002A7792" w:rsidRPr="00153074">
        <w:rPr>
          <w:lang w:val="es-ES_tradnl"/>
        </w:rPr>
        <w:t>“</w:t>
      </w:r>
      <w:r w:rsidR="006935C0" w:rsidRPr="00153074">
        <w:rPr>
          <w:lang w:val="es-ES_tradnl"/>
        </w:rPr>
        <w:t xml:space="preserve">no se puede dar por hecho que existe tan sólo porque las instituciones públicas inviertan junto con fondos </w:t>
      </w:r>
      <w:r w:rsidR="006935C0" w:rsidRPr="00153074">
        <w:rPr>
          <w:szCs w:val="22"/>
          <w:lang w:val="es-ES_tradnl"/>
        </w:rPr>
        <w:t>privados</w:t>
      </w:r>
      <w:r w:rsidR="002A7792" w:rsidRPr="00153074">
        <w:rPr>
          <w:szCs w:val="22"/>
          <w:lang w:val="es-ES_tradnl"/>
        </w:rPr>
        <w:t>”</w:t>
      </w:r>
      <w:r w:rsidR="00D1628F" w:rsidRPr="00153074">
        <w:rPr>
          <w:szCs w:val="22"/>
          <w:lang w:val="es-ES_tradnl"/>
        </w:rPr>
        <w:t>;</w:t>
      </w:r>
      <w:r w:rsidR="006935C0" w:rsidRPr="00153074">
        <w:rPr>
          <w:szCs w:val="22"/>
          <w:lang w:val="es-ES_tradnl"/>
        </w:rPr>
        <w:t xml:space="preserve"> </w:t>
      </w:r>
      <w:r w:rsidR="002A7792" w:rsidRPr="00153074">
        <w:rPr>
          <w:szCs w:val="22"/>
          <w:lang w:val="es-ES_tradnl"/>
        </w:rPr>
        <w:t>“</w:t>
      </w:r>
      <w:r w:rsidR="006935C0" w:rsidRPr="00153074">
        <w:rPr>
          <w:szCs w:val="22"/>
          <w:lang w:val="es-ES_tradnl"/>
        </w:rPr>
        <w:t>c</w:t>
      </w:r>
      <w:r w:rsidR="006935C0" w:rsidRPr="00153074">
        <w:rPr>
          <w:rFonts w:eastAsia="Times New Roman" w:cs="GothamNarrow-Light"/>
          <w:szCs w:val="22"/>
          <w:lang w:val="es-ES_tradnl" w:eastAsia="es-ES"/>
        </w:rPr>
        <w:t>uanto mayor sea el nivel de</w:t>
      </w:r>
      <w:r w:rsidR="00283BD6" w:rsidRPr="00153074">
        <w:rPr>
          <w:rFonts w:eastAsia="Times New Roman" w:cs="GothamNarrow-Light"/>
          <w:szCs w:val="22"/>
          <w:lang w:val="es-ES_tradnl" w:eastAsia="es-ES"/>
        </w:rPr>
        <w:t xml:space="preserve"> </w:t>
      </w:r>
      <w:r w:rsidR="006935C0" w:rsidRPr="00153074">
        <w:rPr>
          <w:rFonts w:eastAsia="Times New Roman" w:cs="GothamNarrow-Light"/>
          <w:szCs w:val="22"/>
          <w:lang w:val="es-ES_tradnl" w:eastAsia="es-ES"/>
        </w:rPr>
        <w:t>apalancamiento, menor será la contribución total del organismo público, y menor por tanto su influencia a la hora de diseñar y poner en práctica la inversión</w:t>
      </w:r>
      <w:r w:rsidR="002A7792" w:rsidRPr="00153074">
        <w:rPr>
          <w:rFonts w:eastAsia="Times New Roman" w:cs="GothamNarrow-Light"/>
          <w:szCs w:val="22"/>
          <w:lang w:val="es-ES_tradnl" w:eastAsia="es-ES"/>
        </w:rPr>
        <w:t>”</w:t>
      </w:r>
      <w:r w:rsidR="00C60EAF" w:rsidRPr="00153074">
        <w:rPr>
          <w:rFonts w:eastAsia="Times New Roman" w:cs="GothamNarrow-Light"/>
          <w:szCs w:val="22"/>
          <w:lang w:val="es-ES_tradnl" w:eastAsia="es-ES"/>
        </w:rPr>
        <w:t>;</w:t>
      </w:r>
      <w:r w:rsidR="005F27DC" w:rsidRPr="00153074">
        <w:rPr>
          <w:rFonts w:eastAsia="Times New Roman" w:cs="GothamNarrow-Light"/>
          <w:szCs w:val="22"/>
          <w:lang w:val="es-ES_tradnl" w:eastAsia="es-ES"/>
        </w:rPr>
        <w:t xml:space="preserve"> el coste de oportunidad para </w:t>
      </w:r>
      <w:r w:rsidR="00A12120" w:rsidRPr="00153074">
        <w:rPr>
          <w:rFonts w:eastAsia="Times New Roman" w:cs="GothamNarrow-Light"/>
          <w:szCs w:val="22"/>
          <w:lang w:val="es-ES_tradnl" w:eastAsia="es-ES"/>
        </w:rPr>
        <w:t>otro</w:t>
      </w:r>
      <w:r w:rsidR="00C60EAF" w:rsidRPr="00153074">
        <w:rPr>
          <w:rFonts w:eastAsia="Times New Roman" w:cs="GothamNarrow-Light"/>
          <w:szCs w:val="22"/>
          <w:lang w:val="es-ES_tradnl" w:eastAsia="es-ES"/>
        </w:rPr>
        <w:t>s proyectos;</w:t>
      </w:r>
      <w:r w:rsidR="005F27DC" w:rsidRPr="00153074">
        <w:rPr>
          <w:rFonts w:eastAsia="Times New Roman" w:cs="GothamNarrow-Light"/>
          <w:szCs w:val="22"/>
          <w:lang w:val="es-ES_tradnl" w:eastAsia="es-ES"/>
        </w:rPr>
        <w:t xml:space="preserve"> y</w:t>
      </w:r>
      <w:r w:rsidR="00C60EAF" w:rsidRPr="00153074">
        <w:rPr>
          <w:rFonts w:eastAsia="Times New Roman" w:cs="GothamNarrow-Light"/>
          <w:szCs w:val="22"/>
          <w:lang w:val="es-ES_tradnl" w:eastAsia="es-ES"/>
        </w:rPr>
        <w:t>,</w:t>
      </w:r>
      <w:r w:rsidR="005F27DC" w:rsidRPr="00153074">
        <w:rPr>
          <w:rFonts w:eastAsia="Times New Roman" w:cs="GothamNarrow-Light"/>
          <w:szCs w:val="22"/>
          <w:lang w:val="es-ES_tradnl" w:eastAsia="es-ES"/>
        </w:rPr>
        <w:t xml:space="preserve"> por supuesto</w:t>
      </w:r>
      <w:r w:rsidR="00C60EAF" w:rsidRPr="00153074">
        <w:rPr>
          <w:rFonts w:eastAsia="Times New Roman" w:cs="GothamNarrow-Light"/>
          <w:szCs w:val="22"/>
          <w:lang w:val="es-ES_tradnl" w:eastAsia="es-ES"/>
        </w:rPr>
        <w:t>,</w:t>
      </w:r>
      <w:r w:rsidR="005F27DC" w:rsidRPr="00153074">
        <w:rPr>
          <w:rFonts w:eastAsia="Times New Roman" w:cs="GothamNarrow-Light"/>
          <w:szCs w:val="22"/>
          <w:lang w:val="es-ES_tradnl" w:eastAsia="es-ES"/>
        </w:rPr>
        <w:t xml:space="preserve"> la mayor exposición al riesgo de la deuda y a mercados de deuda </w:t>
      </w:r>
      <w:r w:rsidR="00B1268C" w:rsidRPr="00153074">
        <w:rPr>
          <w:lang w:val="es-ES_tradnl"/>
        </w:rPr>
        <w:t>(EURODAD 2012).</w:t>
      </w:r>
    </w:p>
    <w:p w:rsidR="001F61FD" w:rsidRPr="00153074" w:rsidRDefault="001F61FD" w:rsidP="001F61FD">
      <w:pPr>
        <w:pStyle w:val="Heading3"/>
        <w:rPr>
          <w:lang w:val="es-ES_tradnl"/>
        </w:rPr>
      </w:pPr>
    </w:p>
    <w:p w:rsidR="001F61FD" w:rsidRPr="00153074" w:rsidRDefault="00210910" w:rsidP="001F61FD">
      <w:pPr>
        <w:pStyle w:val="Heading3"/>
        <w:rPr>
          <w:lang w:val="es-ES_tradnl"/>
        </w:rPr>
      </w:pPr>
      <w:bookmarkStart w:id="63" w:name="_Toc369604924"/>
      <w:r w:rsidRPr="00153074">
        <w:rPr>
          <w:lang w:val="es-ES_tradnl"/>
        </w:rPr>
        <w:t>Promover un clima favorable a los negocios</w:t>
      </w:r>
      <w:bookmarkEnd w:id="63"/>
    </w:p>
    <w:p w:rsidR="001F61FD" w:rsidRPr="00153074" w:rsidRDefault="00210910" w:rsidP="001F61FD">
      <w:pPr>
        <w:jc w:val="both"/>
        <w:rPr>
          <w:lang w:val="es-ES_tradnl"/>
        </w:rPr>
      </w:pPr>
      <w:r w:rsidRPr="00153074">
        <w:rPr>
          <w:lang w:val="es-ES_tradnl"/>
        </w:rPr>
        <w:t xml:space="preserve">Finalmente, el SPD puede basarse </w:t>
      </w:r>
      <w:r w:rsidR="001F61FD" w:rsidRPr="00153074">
        <w:rPr>
          <w:lang w:val="es-ES_tradnl"/>
        </w:rPr>
        <w:t>en los fundamentos económicos de algunos Gobiernos y responsables políticos, que sostienen la creencia común de que el mercado, y por tanto el sector privado, simplemente “lo hace mejor”. Esto se ve compensado con otra creencia generalizada: que los procesos de la administración pública y la contratación pública son por naturaleza inferiores. En consecuencia, canalizar la ayuda hacia sector privado se convierte en un objetivo que se justifica por sí mismo</w:t>
      </w:r>
      <w:r w:rsidRPr="00153074">
        <w:rPr>
          <w:lang w:val="es-ES_tradnl"/>
        </w:rPr>
        <w:t>, siempre y cuando promueva un clima “favorable a los negocios”</w:t>
      </w:r>
      <w:r w:rsidR="001F61FD" w:rsidRPr="00153074">
        <w:rPr>
          <w:lang w:val="es-ES_tradnl"/>
        </w:rPr>
        <w:t>.</w:t>
      </w:r>
    </w:p>
    <w:p w:rsidR="001F61FD" w:rsidRPr="00153074" w:rsidRDefault="001F61FD" w:rsidP="001F61FD">
      <w:pPr>
        <w:jc w:val="both"/>
        <w:rPr>
          <w:rFonts w:ascii="Arial" w:hAnsi="Arial" w:cs="Arial"/>
          <w:sz w:val="20"/>
          <w:szCs w:val="20"/>
          <w:lang w:val="es-ES_tradnl"/>
        </w:rPr>
      </w:pPr>
    </w:p>
    <w:p w:rsidR="001F61FD" w:rsidRPr="00153074" w:rsidRDefault="001F61FD" w:rsidP="001F61FD">
      <w:pPr>
        <w:jc w:val="both"/>
        <w:rPr>
          <w:lang w:val="es-ES_tradnl"/>
        </w:rPr>
      </w:pPr>
      <w:r w:rsidRPr="00153074">
        <w:rPr>
          <w:lang w:val="es-ES_tradnl"/>
        </w:rPr>
        <w:t xml:space="preserve">Según afirma el ECDPM, el Ministerio Británico para el Desarrollo Internacional quiere “introducir ideas, innovación e inversión del sector privado en el </w:t>
      </w:r>
      <w:r w:rsidRPr="00153074">
        <w:rPr>
          <w:i/>
          <w:lang w:val="es-ES_tradnl"/>
        </w:rPr>
        <w:t xml:space="preserve">núcleo </w:t>
      </w:r>
      <w:r w:rsidRPr="00153074">
        <w:rPr>
          <w:lang w:val="es-ES_tradnl"/>
        </w:rPr>
        <w:t xml:space="preserve">de nuestra labor” y enumera una serie de servicios de asesoramiento empresarial como parte de su misión en la medida en que “ayudará a proporcionar a los asociados indicaciones sobre las empresas” (ECDPM 2012). La creación de un “entorno favorable” es fundamental para el factor ideológico – si los donantes debieran efectivamente luchar por conseguir un objetivo de desarrollo del sector privado como sustituto de los servicios públicos y estatales, más que un sector privado </w:t>
      </w:r>
      <w:r w:rsidRPr="00153074">
        <w:rPr>
          <w:i/>
          <w:lang w:val="es-ES_tradnl"/>
        </w:rPr>
        <w:t xml:space="preserve">para </w:t>
      </w:r>
      <w:r w:rsidRPr="00153074">
        <w:rPr>
          <w:lang w:val="es-ES_tradnl"/>
        </w:rPr>
        <w:t xml:space="preserve">el desarrollo, es evidente que se debería dar prioridad a las reformas reguladoras favorables a los negocios. </w:t>
      </w:r>
      <w:r w:rsidR="00210910" w:rsidRPr="00153074">
        <w:rPr>
          <w:lang w:val="es-ES_tradnl"/>
        </w:rPr>
        <w:t>Según</w:t>
      </w:r>
      <w:r w:rsidRPr="00153074">
        <w:rPr>
          <w:lang w:val="es-ES_tradnl"/>
        </w:rPr>
        <w:t xml:space="preserve"> Talaat Abdel Malek, Presidente del Grupo de trabajo de la OCDE sobre la eficacia de la ayuda: “Los Gobiernos siguen teniendo dudas de su propia capacidad y tienden a esperar demasiado del sector privado y a pensar que todavía queda mucho por hacer para lograr establecer el entorno favorable adecuado para el desarrollo del sector privado”</w:t>
      </w:r>
      <w:r w:rsidRPr="00153074">
        <w:rPr>
          <w:rStyle w:val="FootnoteReference"/>
          <w:lang w:val="es-ES_tradnl"/>
        </w:rPr>
        <w:footnoteReference w:id="13"/>
      </w:r>
      <w:r w:rsidRPr="00153074">
        <w:rPr>
          <w:lang w:val="es-ES_tradnl"/>
        </w:rPr>
        <w:t>.</w:t>
      </w:r>
    </w:p>
    <w:p w:rsidR="001F61FD" w:rsidRPr="00153074" w:rsidRDefault="001F61FD" w:rsidP="007462FA">
      <w:pPr>
        <w:jc w:val="both"/>
        <w:rPr>
          <w:lang w:val="es-ES_tradnl"/>
        </w:rPr>
      </w:pPr>
    </w:p>
    <w:p w:rsidR="00B1268C" w:rsidRPr="00153074" w:rsidRDefault="00B1268C" w:rsidP="007462FA">
      <w:pPr>
        <w:jc w:val="both"/>
        <w:rPr>
          <w:rFonts w:ascii="Arial" w:hAnsi="Arial" w:cs="Arial"/>
          <w:sz w:val="20"/>
          <w:szCs w:val="20"/>
          <w:lang w:val="es-ES_tradnl"/>
        </w:rPr>
      </w:pPr>
    </w:p>
    <w:p w:rsidR="00B1268C" w:rsidRPr="00153074" w:rsidRDefault="00B1268C" w:rsidP="007462FA">
      <w:pPr>
        <w:jc w:val="both"/>
        <w:rPr>
          <w:rFonts w:ascii="Arial" w:hAnsi="Arial" w:cs="Arial"/>
          <w:sz w:val="20"/>
          <w:szCs w:val="20"/>
          <w:lang w:val="es-ES_tradnl"/>
        </w:rPr>
      </w:pPr>
    </w:p>
    <w:p w:rsidR="00B1268C" w:rsidRPr="00153074" w:rsidRDefault="00AE73B6" w:rsidP="00C90AC0">
      <w:pPr>
        <w:pStyle w:val="Heading2"/>
        <w:rPr>
          <w:lang w:val="es-ES_tradnl"/>
        </w:rPr>
      </w:pPr>
      <w:bookmarkStart w:id="64" w:name="_Toc349152794"/>
      <w:bookmarkStart w:id="65" w:name="_Toc230681468"/>
      <w:bookmarkStart w:id="66" w:name="_Toc359331990"/>
      <w:bookmarkStart w:id="67" w:name="_Toc369604925"/>
      <w:r w:rsidRPr="00153074">
        <w:rPr>
          <w:lang w:val="es-ES_tradnl"/>
        </w:rPr>
        <w:lastRenderedPageBreak/>
        <w:t>Propulsores del sector privado</w:t>
      </w:r>
      <w:bookmarkEnd w:id="64"/>
      <w:bookmarkEnd w:id="65"/>
      <w:bookmarkEnd w:id="66"/>
      <w:bookmarkEnd w:id="67"/>
    </w:p>
    <w:p w:rsidR="00B801F6" w:rsidRPr="00153074" w:rsidRDefault="00B801F6" w:rsidP="00B801F6">
      <w:pPr>
        <w:jc w:val="both"/>
        <w:rPr>
          <w:lang w:val="es-ES_tradnl"/>
        </w:rPr>
      </w:pPr>
      <w:r w:rsidRPr="00153074">
        <w:rPr>
          <w:lang w:val="es-ES_tradnl"/>
        </w:rPr>
        <w:t>También existen varios propulsores que explican el interés de los grupos empresariales en estos debates</w:t>
      </w:r>
      <w:r w:rsidR="007E7AA6" w:rsidRPr="00153074">
        <w:rPr>
          <w:lang w:val="es-ES_tradnl"/>
        </w:rPr>
        <w:t xml:space="preserve"> e</w:t>
      </w:r>
      <w:r w:rsidRPr="00153074">
        <w:rPr>
          <w:lang w:val="es-ES_tradnl"/>
        </w:rPr>
        <w:t xml:space="preserve"> iniciativas. A un nivel en cierta manera superficial</w:t>
      </w:r>
      <w:r w:rsidR="007208E9" w:rsidRPr="00153074">
        <w:rPr>
          <w:lang w:val="es-ES_tradnl"/>
        </w:rPr>
        <w:t>,</w:t>
      </w:r>
      <w:r w:rsidRPr="00153074">
        <w:rPr>
          <w:lang w:val="es-ES_tradnl"/>
        </w:rPr>
        <w:t xml:space="preserve"> existe una atracción </w:t>
      </w:r>
      <w:r w:rsidR="007208E9" w:rsidRPr="00153074">
        <w:rPr>
          <w:lang w:val="es-ES_tradnl"/>
        </w:rPr>
        <w:t>haci</w:t>
      </w:r>
      <w:r w:rsidRPr="00153074">
        <w:rPr>
          <w:lang w:val="es-ES_tradnl"/>
        </w:rPr>
        <w:t>a las cuestiones de de</w:t>
      </w:r>
      <w:r w:rsidR="00786FF4" w:rsidRPr="00153074">
        <w:rPr>
          <w:lang w:val="es-ES_tradnl"/>
        </w:rPr>
        <w:t xml:space="preserve">sarrollo </w:t>
      </w:r>
      <w:r w:rsidR="00BA70CD" w:rsidRPr="00153074">
        <w:rPr>
          <w:lang w:val="es-ES_tradnl"/>
        </w:rPr>
        <w:t xml:space="preserve">que se ve </w:t>
      </w:r>
      <w:r w:rsidR="00FA5657" w:rsidRPr="00153074">
        <w:rPr>
          <w:lang w:val="es-ES_tradnl"/>
        </w:rPr>
        <w:t>alimentada por el deseo de</w:t>
      </w:r>
      <w:r w:rsidRPr="00153074">
        <w:rPr>
          <w:lang w:val="es-ES_tradnl"/>
        </w:rPr>
        <w:t xml:space="preserve"> mejorar la imagen pública de las empresas y sus marcas, así como </w:t>
      </w:r>
      <w:r w:rsidR="007208E9" w:rsidRPr="00153074">
        <w:rPr>
          <w:lang w:val="es-ES_tradnl"/>
        </w:rPr>
        <w:t>en aras</w:t>
      </w:r>
      <w:r w:rsidRPr="00153074">
        <w:rPr>
          <w:lang w:val="es-ES_tradnl"/>
        </w:rPr>
        <w:t xml:space="preserve"> de</w:t>
      </w:r>
      <w:r w:rsidR="007208E9" w:rsidRPr="00153074">
        <w:rPr>
          <w:lang w:val="es-ES_tradnl"/>
        </w:rPr>
        <w:t xml:space="preserve"> la</w:t>
      </w:r>
      <w:r w:rsidRPr="00153074">
        <w:rPr>
          <w:lang w:val="es-ES_tradnl"/>
        </w:rPr>
        <w:t xml:space="preserve"> comunicación internacional. No obstante, los propu</w:t>
      </w:r>
      <w:r w:rsidR="00FA5657" w:rsidRPr="00153074">
        <w:rPr>
          <w:lang w:val="es-ES_tradnl"/>
        </w:rPr>
        <w:t xml:space="preserve">lsores más fundamentales yacen </w:t>
      </w:r>
      <w:r w:rsidR="00786FF4" w:rsidRPr="00153074">
        <w:rPr>
          <w:lang w:val="es-ES_tradnl"/>
        </w:rPr>
        <w:t xml:space="preserve">en </w:t>
      </w:r>
      <w:r w:rsidRPr="00153074">
        <w:rPr>
          <w:lang w:val="es-ES_tradnl"/>
        </w:rPr>
        <w:t xml:space="preserve">las oportunidades </w:t>
      </w:r>
      <w:r w:rsidR="00FA5657" w:rsidRPr="00153074">
        <w:rPr>
          <w:lang w:val="es-ES_tradnl"/>
        </w:rPr>
        <w:t xml:space="preserve">que </w:t>
      </w:r>
      <w:r w:rsidR="00835DB6" w:rsidRPr="00153074">
        <w:rPr>
          <w:lang w:val="es-ES_tradnl"/>
        </w:rPr>
        <w:t>conducen a</w:t>
      </w:r>
      <w:r w:rsidRPr="00153074">
        <w:rPr>
          <w:lang w:val="es-ES_tradnl"/>
        </w:rPr>
        <w:t xml:space="preserve"> un </w:t>
      </w:r>
      <w:r w:rsidR="00786FF4" w:rsidRPr="00153074">
        <w:rPr>
          <w:lang w:val="es-ES_tradnl"/>
        </w:rPr>
        <w:t>mejor</w:t>
      </w:r>
      <w:r w:rsidRPr="00153074">
        <w:rPr>
          <w:lang w:val="es-ES_tradnl"/>
        </w:rPr>
        <w:t xml:space="preserve"> acceso a los mercados</w:t>
      </w:r>
      <w:r w:rsidR="00FA5657" w:rsidRPr="00153074">
        <w:rPr>
          <w:lang w:val="es-ES_tradnl"/>
        </w:rPr>
        <w:t>,</w:t>
      </w:r>
      <w:r w:rsidRPr="00153074">
        <w:rPr>
          <w:lang w:val="es-ES_tradnl"/>
        </w:rPr>
        <w:t xml:space="preserve"> así como a los responsables políticos que </w:t>
      </w:r>
      <w:r w:rsidR="00BA70CD" w:rsidRPr="00153074">
        <w:rPr>
          <w:lang w:val="es-ES_tradnl"/>
        </w:rPr>
        <w:t>pueden crear</w:t>
      </w:r>
      <w:r w:rsidRPr="00153074">
        <w:rPr>
          <w:lang w:val="es-ES_tradnl"/>
        </w:rPr>
        <w:t xml:space="preserve"> </w:t>
      </w:r>
      <w:r w:rsidR="00FA5657" w:rsidRPr="00153074">
        <w:rPr>
          <w:lang w:val="es-ES_tradnl"/>
        </w:rPr>
        <w:t>posibilidades</w:t>
      </w:r>
      <w:r w:rsidRPr="00153074">
        <w:rPr>
          <w:lang w:val="es-ES_tradnl"/>
        </w:rPr>
        <w:t xml:space="preserve"> para hacer avanzar el programa de </w:t>
      </w:r>
      <w:r w:rsidR="002A7792" w:rsidRPr="00153074">
        <w:rPr>
          <w:lang w:val="es-ES_tradnl"/>
        </w:rPr>
        <w:t>“</w:t>
      </w:r>
      <w:r w:rsidRPr="00153074">
        <w:rPr>
          <w:lang w:val="es-ES_tradnl"/>
        </w:rPr>
        <w:t>negocio exclusivo</w:t>
      </w:r>
      <w:r w:rsidR="002A7792" w:rsidRPr="00153074">
        <w:rPr>
          <w:lang w:val="es-ES_tradnl"/>
        </w:rPr>
        <w:t>”</w:t>
      </w:r>
      <w:r w:rsidR="00BA70CD" w:rsidRPr="00153074">
        <w:rPr>
          <w:lang w:val="es-ES_tradnl"/>
        </w:rPr>
        <w:t xml:space="preserve"> dentro de un marco político determinado.</w:t>
      </w:r>
    </w:p>
    <w:p w:rsidR="00790075" w:rsidRPr="00153074" w:rsidRDefault="00790075" w:rsidP="007462FA">
      <w:pPr>
        <w:jc w:val="both"/>
        <w:rPr>
          <w:rFonts w:cs="Arial"/>
          <w:lang w:val="es-ES_tradnl"/>
        </w:rPr>
      </w:pPr>
    </w:p>
    <w:p w:rsidR="00790075" w:rsidRPr="00153074" w:rsidRDefault="00837088" w:rsidP="00790075">
      <w:pPr>
        <w:pStyle w:val="Heading3"/>
        <w:rPr>
          <w:lang w:val="es-ES_tradnl"/>
        </w:rPr>
      </w:pPr>
      <w:bookmarkStart w:id="68" w:name="_Toc359331991"/>
      <w:bookmarkStart w:id="69" w:name="_Toc369604926"/>
      <w:r w:rsidRPr="00153074">
        <w:rPr>
          <w:lang w:val="es-ES_tradnl"/>
        </w:rPr>
        <w:t xml:space="preserve">Acceso a mercados y a </w:t>
      </w:r>
      <w:bookmarkEnd w:id="68"/>
      <w:r w:rsidRPr="00153074">
        <w:rPr>
          <w:lang w:val="es-ES_tradnl"/>
        </w:rPr>
        <w:t>responsables políticos</w:t>
      </w:r>
      <w:bookmarkEnd w:id="69"/>
    </w:p>
    <w:p w:rsidR="00FF15C9" w:rsidRPr="00153074" w:rsidRDefault="00837088" w:rsidP="007462FA">
      <w:pPr>
        <w:jc w:val="both"/>
        <w:rPr>
          <w:lang w:val="es-ES_tradnl"/>
        </w:rPr>
      </w:pPr>
      <w:r w:rsidRPr="00153074">
        <w:rPr>
          <w:lang w:val="es-ES_tradnl"/>
        </w:rPr>
        <w:t>Para un negocio, el programa del sector privado en el desarrollo tiene el beneficio sumamente atractivo de crear acceso a nuevos mercados.</w:t>
      </w:r>
      <w:r w:rsidR="00E11C42" w:rsidRPr="00153074">
        <w:rPr>
          <w:lang w:val="es-ES_tradnl"/>
        </w:rPr>
        <w:t xml:space="preserve"> Y en algunos casos, cuando la ayuda está condicionada</w:t>
      </w:r>
      <w:r w:rsidR="00F9745C" w:rsidRPr="00153074">
        <w:rPr>
          <w:lang w:val="es-ES_tradnl"/>
        </w:rPr>
        <w:t>,</w:t>
      </w:r>
      <w:r w:rsidR="00E11C42" w:rsidRPr="00153074">
        <w:rPr>
          <w:lang w:val="es-ES_tradnl"/>
        </w:rPr>
        <w:t xml:space="preserve"> por ejemplo al proceso de contratación pública, el acceso se produce en gran medida sin trabajo preliminar ni riesgos. El acceso a los mercados es también deseable</w:t>
      </w:r>
      <w:r w:rsidR="008505BD" w:rsidRPr="00153074">
        <w:rPr>
          <w:lang w:val="es-ES_tradnl"/>
        </w:rPr>
        <w:t xml:space="preserve"> en lo que</w:t>
      </w:r>
      <w:r w:rsidR="003D601B" w:rsidRPr="00153074">
        <w:rPr>
          <w:lang w:val="es-ES_tradnl"/>
        </w:rPr>
        <w:t xml:space="preserve">, a primera vista, </w:t>
      </w:r>
      <w:r w:rsidR="008505BD" w:rsidRPr="00153074">
        <w:rPr>
          <w:lang w:val="es-ES_tradnl"/>
        </w:rPr>
        <w:t>parece</w:t>
      </w:r>
      <w:r w:rsidR="003D601B" w:rsidRPr="00153074">
        <w:rPr>
          <w:lang w:val="es-ES_tradnl"/>
        </w:rPr>
        <w:t>n</w:t>
      </w:r>
      <w:r w:rsidR="00F9745C" w:rsidRPr="00153074">
        <w:rPr>
          <w:lang w:val="es-ES_tradnl"/>
        </w:rPr>
        <w:t xml:space="preserve"> ser</w:t>
      </w:r>
      <w:r w:rsidR="008505BD" w:rsidRPr="00153074">
        <w:rPr>
          <w:lang w:val="es-ES_tradnl"/>
        </w:rPr>
        <w:t xml:space="preserve"> esfuerzos puramente filantrópicos. Por ejemplo, según el ECDPM, la colaboración conjunta entre USAID, UNICEF, Bill and Melinda Gates Foundation y Unilever</w:t>
      </w:r>
      <w:r w:rsidR="00F9745C" w:rsidRPr="00153074">
        <w:rPr>
          <w:lang w:val="es-ES_tradnl"/>
        </w:rPr>
        <w:t>,</w:t>
      </w:r>
      <w:r w:rsidR="008505BD" w:rsidRPr="00153074">
        <w:rPr>
          <w:lang w:val="es-ES_tradnl"/>
        </w:rPr>
        <w:t xml:space="preserve"> </w:t>
      </w:r>
      <w:r w:rsidR="00F9745C" w:rsidRPr="00153074">
        <w:rPr>
          <w:lang w:val="es-ES_tradnl"/>
        </w:rPr>
        <w:t>relativa</w:t>
      </w:r>
      <w:r w:rsidR="008505BD" w:rsidRPr="00153074">
        <w:rPr>
          <w:lang w:val="es-ES_tradnl"/>
        </w:rPr>
        <w:t xml:space="preserve"> a la promoción del</w:t>
      </w:r>
      <w:r w:rsidR="00283BD6" w:rsidRPr="00153074">
        <w:rPr>
          <w:lang w:val="es-ES_tradnl"/>
        </w:rPr>
        <w:t xml:space="preserve"> </w:t>
      </w:r>
      <w:r w:rsidR="008505BD" w:rsidRPr="00153074">
        <w:rPr>
          <w:lang w:val="es-ES_tradnl"/>
        </w:rPr>
        <w:t>lavado de manos para re</w:t>
      </w:r>
      <w:r w:rsidR="003D601B" w:rsidRPr="00153074">
        <w:rPr>
          <w:lang w:val="es-ES_tradnl"/>
        </w:rPr>
        <w:t>ducir el riesgo de exposición a</w:t>
      </w:r>
      <w:r w:rsidR="008505BD" w:rsidRPr="00153074">
        <w:rPr>
          <w:lang w:val="es-ES_tradnl"/>
        </w:rPr>
        <w:t xml:space="preserve"> </w:t>
      </w:r>
      <w:r w:rsidR="00DB1EDE" w:rsidRPr="00153074">
        <w:rPr>
          <w:lang w:val="es-ES_tradnl"/>
        </w:rPr>
        <w:t xml:space="preserve">los </w:t>
      </w:r>
      <w:r w:rsidR="008505BD" w:rsidRPr="00153074">
        <w:rPr>
          <w:lang w:val="es-ES_tradnl"/>
        </w:rPr>
        <w:t>v</w:t>
      </w:r>
      <w:r w:rsidR="00DB1EDE" w:rsidRPr="00153074">
        <w:rPr>
          <w:lang w:val="es-ES_tradnl"/>
        </w:rPr>
        <w:t>irus</w:t>
      </w:r>
      <w:r w:rsidR="00F9745C" w:rsidRPr="00153074">
        <w:rPr>
          <w:lang w:val="es-ES_tradnl"/>
        </w:rPr>
        <w:t>,</w:t>
      </w:r>
      <w:r w:rsidR="008505BD" w:rsidRPr="00153074">
        <w:rPr>
          <w:lang w:val="es-ES_tradnl"/>
        </w:rPr>
        <w:t xml:space="preserve"> </w:t>
      </w:r>
      <w:r w:rsidR="002A7792" w:rsidRPr="00153074">
        <w:rPr>
          <w:lang w:val="es-ES_tradnl"/>
        </w:rPr>
        <w:t>“</w:t>
      </w:r>
      <w:r w:rsidR="008505BD" w:rsidRPr="00153074">
        <w:rPr>
          <w:lang w:val="es-ES_tradnl"/>
        </w:rPr>
        <w:t>proporciona a Unilever una oportunidad para conseguir acceso</w:t>
      </w:r>
      <w:r w:rsidR="003D601B" w:rsidRPr="00153074">
        <w:rPr>
          <w:lang w:val="es-ES_tradnl"/>
        </w:rPr>
        <w:t xml:space="preserve"> a</w:t>
      </w:r>
      <w:r w:rsidR="008505BD" w:rsidRPr="00153074">
        <w:rPr>
          <w:lang w:val="es-ES_tradnl"/>
        </w:rPr>
        <w:t xml:space="preserve"> y reconocimiento en nuevos mercados</w:t>
      </w:r>
      <w:r w:rsidR="002A7792" w:rsidRPr="00153074">
        <w:rPr>
          <w:lang w:val="es-ES_tradnl"/>
        </w:rPr>
        <w:t>”</w:t>
      </w:r>
      <w:r w:rsidR="00B1268C" w:rsidRPr="00153074">
        <w:rPr>
          <w:lang w:val="es-ES_tradnl"/>
        </w:rPr>
        <w:t xml:space="preserve"> (ECDPM 2012).</w:t>
      </w:r>
    </w:p>
    <w:p w:rsidR="00790075" w:rsidRPr="00153074" w:rsidRDefault="00790075" w:rsidP="007462FA">
      <w:pPr>
        <w:jc w:val="both"/>
        <w:rPr>
          <w:lang w:val="es-ES_tradnl"/>
        </w:rPr>
      </w:pPr>
    </w:p>
    <w:p w:rsidR="00F81101" w:rsidRPr="00153074" w:rsidRDefault="00EE5356" w:rsidP="007462FA">
      <w:pPr>
        <w:jc w:val="both"/>
        <w:rPr>
          <w:lang w:val="es-ES_tradnl"/>
        </w:rPr>
      </w:pPr>
      <w:r w:rsidRPr="00153074">
        <w:rPr>
          <w:lang w:val="es-ES_tradnl"/>
        </w:rPr>
        <w:t>El acceso</w:t>
      </w:r>
      <w:r w:rsidR="003D601B" w:rsidRPr="00153074">
        <w:rPr>
          <w:lang w:val="es-ES_tradnl"/>
        </w:rPr>
        <w:t xml:space="preserve"> a los mercados también</w:t>
      </w:r>
      <w:r w:rsidRPr="00153074">
        <w:rPr>
          <w:lang w:val="es-ES_tradnl"/>
        </w:rPr>
        <w:t xml:space="preserve"> se consigue por medio de la creación de foros, plataformas y núcleos donde los líderes empresariales pueden obtener acceso directo a centros de decisiones claves de la administración pública. Una prioridad del Foro Internacional de Líderes Empresariales (IBLF) dentro de la Alianza de Busan, </w:t>
      </w:r>
      <w:r w:rsidR="00F81101" w:rsidRPr="00153074">
        <w:rPr>
          <w:lang w:val="es-ES_tradnl"/>
        </w:rPr>
        <w:t xml:space="preserve">donde desempeña un </w:t>
      </w:r>
      <w:r w:rsidR="003D601B" w:rsidRPr="00153074">
        <w:rPr>
          <w:lang w:val="es-ES_tradnl"/>
        </w:rPr>
        <w:t>papel</w:t>
      </w:r>
      <w:r w:rsidR="00F81101" w:rsidRPr="00153074">
        <w:rPr>
          <w:lang w:val="es-ES_tradnl"/>
        </w:rPr>
        <w:t xml:space="preserve"> muy activo, es conseguir que los </w:t>
      </w:r>
      <w:r w:rsidR="00864464" w:rsidRPr="00153074">
        <w:rPr>
          <w:lang w:val="es-ES_tradnl"/>
        </w:rPr>
        <w:t>Gobierno</w:t>
      </w:r>
      <w:r w:rsidR="00F81101" w:rsidRPr="00153074">
        <w:rPr>
          <w:lang w:val="es-ES_tradnl"/>
        </w:rPr>
        <w:t xml:space="preserve">s </w:t>
      </w:r>
      <w:r w:rsidR="0006181B" w:rsidRPr="00153074">
        <w:rPr>
          <w:lang w:val="es-ES_tradnl"/>
        </w:rPr>
        <w:t>accedan a</w:t>
      </w:r>
      <w:r w:rsidR="00F81101" w:rsidRPr="00153074">
        <w:rPr>
          <w:lang w:val="es-ES_tradnl"/>
        </w:rPr>
        <w:t xml:space="preserve"> establecer </w:t>
      </w:r>
      <w:r w:rsidR="002A7792" w:rsidRPr="00153074">
        <w:rPr>
          <w:lang w:val="es-ES_tradnl"/>
        </w:rPr>
        <w:t>“</w:t>
      </w:r>
      <w:r w:rsidR="00F81101" w:rsidRPr="00153074">
        <w:rPr>
          <w:lang w:val="es-ES_tradnl"/>
        </w:rPr>
        <w:t>núcleos</w:t>
      </w:r>
      <w:r w:rsidR="002A7792" w:rsidRPr="00153074">
        <w:rPr>
          <w:lang w:val="es-ES_tradnl"/>
        </w:rPr>
        <w:t>”</w:t>
      </w:r>
      <w:r w:rsidR="00F81101" w:rsidRPr="00153074">
        <w:rPr>
          <w:lang w:val="es-ES_tradnl"/>
        </w:rPr>
        <w:t xml:space="preserve"> regionales y nacionales </w:t>
      </w:r>
      <w:r w:rsidR="0006181B" w:rsidRPr="00153074">
        <w:rPr>
          <w:lang w:val="es-ES_tradnl"/>
        </w:rPr>
        <w:t>en los cuales</w:t>
      </w:r>
      <w:r w:rsidR="00F81101" w:rsidRPr="00153074">
        <w:rPr>
          <w:lang w:val="es-ES_tradnl"/>
        </w:rPr>
        <w:t xml:space="preserve"> los grupos empresariales puedan entablar un contacto directo con donantes, </w:t>
      </w:r>
      <w:r w:rsidR="00864464" w:rsidRPr="00153074">
        <w:rPr>
          <w:lang w:val="es-ES_tradnl"/>
        </w:rPr>
        <w:t>Gobierno</w:t>
      </w:r>
      <w:r w:rsidR="00F81101" w:rsidRPr="00153074">
        <w:rPr>
          <w:lang w:val="es-ES_tradnl"/>
        </w:rPr>
        <w:t>s receptores y BMD. Para e</w:t>
      </w:r>
      <w:r w:rsidR="00F219D6" w:rsidRPr="00153074">
        <w:rPr>
          <w:lang w:val="es-ES_tradnl"/>
        </w:rPr>
        <w:t xml:space="preserve">l IBLF </w:t>
      </w:r>
      <w:r w:rsidR="002A7792" w:rsidRPr="00153074">
        <w:rPr>
          <w:lang w:val="es-ES_tradnl"/>
        </w:rPr>
        <w:t>“</w:t>
      </w:r>
      <w:r w:rsidR="00F219D6" w:rsidRPr="00153074">
        <w:rPr>
          <w:lang w:val="es-ES_tradnl"/>
        </w:rPr>
        <w:t>el reto sigue siendo có</w:t>
      </w:r>
      <w:r w:rsidR="00F81101" w:rsidRPr="00153074">
        <w:rPr>
          <w:lang w:val="es-ES_tradnl"/>
        </w:rPr>
        <w:t xml:space="preserve">mo </w:t>
      </w:r>
      <w:r w:rsidR="0006181B" w:rsidRPr="00153074">
        <w:rPr>
          <w:lang w:val="es-ES_tradnl"/>
        </w:rPr>
        <w:t>hacer que</w:t>
      </w:r>
      <w:r w:rsidR="00F81101" w:rsidRPr="00153074">
        <w:rPr>
          <w:lang w:val="es-ES_tradnl"/>
        </w:rPr>
        <w:t xml:space="preserve"> los negocios </w:t>
      </w:r>
      <w:r w:rsidR="0006181B" w:rsidRPr="00153074">
        <w:rPr>
          <w:lang w:val="es-ES_tradnl"/>
        </w:rPr>
        <w:t xml:space="preserve">participen </w:t>
      </w:r>
      <w:r w:rsidR="00F81101" w:rsidRPr="00153074">
        <w:rPr>
          <w:lang w:val="es-ES_tradnl"/>
        </w:rPr>
        <w:t xml:space="preserve">en el desarrollo de una manera </w:t>
      </w:r>
      <w:r w:rsidR="00F81101" w:rsidRPr="00153074">
        <w:rPr>
          <w:i/>
          <w:lang w:val="es-ES_tradnl"/>
        </w:rPr>
        <w:t xml:space="preserve">sistemática </w:t>
      </w:r>
      <w:r w:rsidR="00F81101" w:rsidRPr="00153074">
        <w:rPr>
          <w:lang w:val="es-ES_tradnl"/>
        </w:rPr>
        <w:t>y eficiente</w:t>
      </w:r>
      <w:r w:rsidR="002A7792" w:rsidRPr="00153074">
        <w:rPr>
          <w:lang w:val="es-ES_tradnl"/>
        </w:rPr>
        <w:t>”</w:t>
      </w:r>
      <w:r w:rsidR="00F81101" w:rsidRPr="00153074">
        <w:rPr>
          <w:lang w:val="es-ES_tradnl"/>
        </w:rPr>
        <w:t xml:space="preserve"> teniendo en cuenta que</w:t>
      </w:r>
      <w:r w:rsidR="00F219D6" w:rsidRPr="00153074">
        <w:rPr>
          <w:lang w:val="es-ES_tradnl"/>
        </w:rPr>
        <w:t>,</w:t>
      </w:r>
      <w:r w:rsidR="00F81101" w:rsidRPr="00153074">
        <w:rPr>
          <w:lang w:val="es-ES_tradnl"/>
        </w:rPr>
        <w:t xml:space="preserve"> a fecha de hoy</w:t>
      </w:r>
      <w:r w:rsidR="00F219D6" w:rsidRPr="00153074">
        <w:rPr>
          <w:lang w:val="es-ES_tradnl"/>
        </w:rPr>
        <w:t>,</w:t>
      </w:r>
      <w:r w:rsidR="0006181B" w:rsidRPr="00153074">
        <w:rPr>
          <w:lang w:val="es-ES_tradnl"/>
        </w:rPr>
        <w:t xml:space="preserve"> todavía</w:t>
      </w:r>
      <w:r w:rsidR="00F81101" w:rsidRPr="00153074">
        <w:rPr>
          <w:lang w:val="es-ES_tradnl"/>
        </w:rPr>
        <w:t xml:space="preserve"> </w:t>
      </w:r>
      <w:r w:rsidR="002A7792" w:rsidRPr="00153074">
        <w:rPr>
          <w:lang w:val="es-ES_tradnl"/>
        </w:rPr>
        <w:t>“</w:t>
      </w:r>
      <w:r w:rsidR="00F81101" w:rsidRPr="00153074">
        <w:rPr>
          <w:lang w:val="es-ES_tradnl"/>
        </w:rPr>
        <w:t xml:space="preserve">no existe ningún mecanismo organizado </w:t>
      </w:r>
      <w:r w:rsidR="0006181B" w:rsidRPr="00153074">
        <w:rPr>
          <w:lang w:val="es-ES_tradnl"/>
        </w:rPr>
        <w:t>que permita</w:t>
      </w:r>
      <w:r w:rsidR="00F81101" w:rsidRPr="00153074">
        <w:rPr>
          <w:lang w:val="es-ES_tradnl"/>
        </w:rPr>
        <w:t xml:space="preserve"> vincular las empresas </w:t>
      </w:r>
      <w:r w:rsidR="00F219D6" w:rsidRPr="00153074">
        <w:rPr>
          <w:lang w:val="es-ES_tradnl"/>
        </w:rPr>
        <w:t>a</w:t>
      </w:r>
      <w:r w:rsidR="00F81101" w:rsidRPr="00153074">
        <w:rPr>
          <w:lang w:val="es-ES_tradnl"/>
        </w:rPr>
        <w:t>l desarrollo</w:t>
      </w:r>
      <w:r w:rsidR="002A7792" w:rsidRPr="00153074">
        <w:rPr>
          <w:lang w:val="es-ES_tradnl"/>
        </w:rPr>
        <w:t>”</w:t>
      </w:r>
      <w:r w:rsidR="00F81101" w:rsidRPr="00153074">
        <w:rPr>
          <w:lang w:val="es-ES_tradnl"/>
        </w:rPr>
        <w:t xml:space="preserve"> </w:t>
      </w:r>
      <w:r w:rsidR="00B1268C" w:rsidRPr="00153074">
        <w:rPr>
          <w:lang w:val="es-ES_tradnl"/>
        </w:rPr>
        <w:t>(IBLF 2012).</w:t>
      </w:r>
      <w:r w:rsidR="00721735" w:rsidRPr="00153074">
        <w:rPr>
          <w:lang w:val="es-ES_tradnl"/>
        </w:rPr>
        <w:t xml:space="preserve"> </w:t>
      </w:r>
      <w:r w:rsidR="00F81101" w:rsidRPr="00153074">
        <w:rPr>
          <w:lang w:val="es-ES_tradnl"/>
        </w:rPr>
        <w:t>El</w:t>
      </w:r>
      <w:r w:rsidR="00B1268C" w:rsidRPr="00153074">
        <w:rPr>
          <w:lang w:val="es-ES_tradnl"/>
        </w:rPr>
        <w:t xml:space="preserve"> IBL</w:t>
      </w:r>
      <w:r w:rsidR="00F219D6" w:rsidRPr="00153074">
        <w:rPr>
          <w:lang w:val="es-ES_tradnl"/>
        </w:rPr>
        <w:t>F</w:t>
      </w:r>
      <w:r w:rsidR="00F81101" w:rsidRPr="00153074">
        <w:rPr>
          <w:lang w:val="es-ES_tradnl"/>
        </w:rPr>
        <w:t xml:space="preserve"> propone crear un </w:t>
      </w:r>
      <w:r w:rsidR="002A7792" w:rsidRPr="00153074">
        <w:rPr>
          <w:lang w:val="es-ES_tradnl"/>
        </w:rPr>
        <w:t>“</w:t>
      </w:r>
      <w:r w:rsidR="00F81101" w:rsidRPr="00153074">
        <w:rPr>
          <w:lang w:val="es-ES_tradnl"/>
        </w:rPr>
        <w:t xml:space="preserve">núcleo a nivel </w:t>
      </w:r>
      <w:r w:rsidR="0006181B" w:rsidRPr="00153074">
        <w:rPr>
          <w:lang w:val="es-ES_tradnl"/>
        </w:rPr>
        <w:t>mundial</w:t>
      </w:r>
      <w:r w:rsidR="002A7792" w:rsidRPr="00153074">
        <w:rPr>
          <w:lang w:val="es-ES_tradnl"/>
        </w:rPr>
        <w:t>”</w:t>
      </w:r>
      <w:r w:rsidR="00F81101" w:rsidRPr="00153074">
        <w:rPr>
          <w:lang w:val="es-ES_tradnl"/>
        </w:rPr>
        <w:t xml:space="preserve"> que </w:t>
      </w:r>
      <w:r w:rsidR="002A7792" w:rsidRPr="00153074">
        <w:rPr>
          <w:lang w:val="es-ES_tradnl"/>
        </w:rPr>
        <w:t>“</w:t>
      </w:r>
      <w:r w:rsidR="00F81101" w:rsidRPr="00153074">
        <w:rPr>
          <w:lang w:val="es-ES_tradnl"/>
        </w:rPr>
        <w:t>establezca las normas</w:t>
      </w:r>
      <w:r w:rsidR="002A7792" w:rsidRPr="00153074">
        <w:rPr>
          <w:lang w:val="es-ES_tradnl"/>
        </w:rPr>
        <w:t>”</w:t>
      </w:r>
      <w:r w:rsidR="00F81101" w:rsidRPr="00153074">
        <w:rPr>
          <w:lang w:val="es-ES_tradnl"/>
        </w:rPr>
        <w:t xml:space="preserve"> y sirva </w:t>
      </w:r>
      <w:r w:rsidR="0006181B" w:rsidRPr="00153074">
        <w:rPr>
          <w:lang w:val="es-ES_tradnl"/>
        </w:rPr>
        <w:t>de</w:t>
      </w:r>
      <w:r w:rsidR="00F81101" w:rsidRPr="00153074">
        <w:rPr>
          <w:lang w:val="es-ES_tradnl"/>
        </w:rPr>
        <w:t xml:space="preserve"> </w:t>
      </w:r>
      <w:r w:rsidR="002A7792" w:rsidRPr="00153074">
        <w:rPr>
          <w:lang w:val="es-ES_tradnl"/>
        </w:rPr>
        <w:t>“</w:t>
      </w:r>
      <w:r w:rsidR="00F81101" w:rsidRPr="00153074">
        <w:rPr>
          <w:lang w:val="es-ES_tradnl"/>
        </w:rPr>
        <w:t>ventanilla única para</w:t>
      </w:r>
      <w:r w:rsidR="004E38F5" w:rsidRPr="00153074">
        <w:rPr>
          <w:lang w:val="es-ES_tradnl"/>
        </w:rPr>
        <w:t xml:space="preserve"> la participación de las empresas en el desarrollo</w:t>
      </w:r>
      <w:r w:rsidR="002A7792" w:rsidRPr="00153074">
        <w:rPr>
          <w:lang w:val="es-ES_tradnl"/>
        </w:rPr>
        <w:t>”</w:t>
      </w:r>
      <w:r w:rsidR="004E38F5" w:rsidRPr="00153074">
        <w:rPr>
          <w:lang w:val="es-ES_tradnl"/>
        </w:rPr>
        <w:t xml:space="preserve">. Gestionado por el IBLF, pero financiado con dinero público, este centro </w:t>
      </w:r>
      <w:r w:rsidR="00E432A2" w:rsidRPr="00153074">
        <w:rPr>
          <w:lang w:val="es-ES_tradnl"/>
        </w:rPr>
        <w:t>mundial</w:t>
      </w:r>
      <w:r w:rsidR="004E38F5" w:rsidRPr="00153074">
        <w:rPr>
          <w:lang w:val="es-ES_tradnl"/>
        </w:rPr>
        <w:t xml:space="preserve"> apoyaría a su vez </w:t>
      </w:r>
      <w:r w:rsidR="00E432A2" w:rsidRPr="00153074">
        <w:rPr>
          <w:lang w:val="es-ES_tradnl"/>
        </w:rPr>
        <w:t xml:space="preserve">a </w:t>
      </w:r>
      <w:r w:rsidR="004E38F5" w:rsidRPr="00153074">
        <w:rPr>
          <w:lang w:val="es-ES_tradnl"/>
        </w:rPr>
        <w:t xml:space="preserve">los centros a nivel nacional, que también estarían subvencionados por los </w:t>
      </w:r>
      <w:r w:rsidR="00864464" w:rsidRPr="00153074">
        <w:rPr>
          <w:lang w:val="es-ES_tradnl"/>
        </w:rPr>
        <w:t>Gobierno</w:t>
      </w:r>
      <w:r w:rsidR="00E432A2" w:rsidRPr="00153074">
        <w:rPr>
          <w:lang w:val="es-ES_tradnl"/>
        </w:rPr>
        <w:t>s</w:t>
      </w:r>
      <w:r w:rsidR="004E38F5" w:rsidRPr="00153074">
        <w:rPr>
          <w:lang w:val="es-ES_tradnl"/>
        </w:rPr>
        <w:t xml:space="preserve"> y que</w:t>
      </w:r>
      <w:r w:rsidR="00E432A2" w:rsidRPr="00153074">
        <w:rPr>
          <w:lang w:val="es-ES_tradnl"/>
        </w:rPr>
        <w:t>, por su parte,</w:t>
      </w:r>
      <w:r w:rsidR="004E38F5" w:rsidRPr="00153074">
        <w:rPr>
          <w:lang w:val="es-ES_tradnl"/>
        </w:rPr>
        <w:t xml:space="preserve"> facilitarían contratos empresariales efectivos y empresas conjuntas, además de acceso a procesos de contratación pública.</w:t>
      </w:r>
    </w:p>
    <w:p w:rsidR="00F81101" w:rsidRPr="00153074" w:rsidRDefault="00F81101" w:rsidP="007462FA">
      <w:pPr>
        <w:jc w:val="both"/>
        <w:rPr>
          <w:lang w:val="es-ES_tradnl"/>
        </w:rPr>
      </w:pPr>
    </w:p>
    <w:p w:rsidR="00B1268C" w:rsidRPr="00153074" w:rsidRDefault="004E38F5" w:rsidP="007462FA">
      <w:pPr>
        <w:jc w:val="both"/>
        <w:rPr>
          <w:lang w:val="es-ES_tradnl"/>
        </w:rPr>
      </w:pPr>
      <w:r w:rsidRPr="00153074">
        <w:rPr>
          <w:lang w:val="es-ES_tradnl"/>
        </w:rPr>
        <w:t xml:space="preserve">La propuesta del IBLF </w:t>
      </w:r>
      <w:r w:rsidR="00F219D6" w:rsidRPr="00153074">
        <w:rPr>
          <w:lang w:val="es-ES_tradnl"/>
        </w:rPr>
        <w:t>es también</w:t>
      </w:r>
      <w:r w:rsidRPr="00153074">
        <w:rPr>
          <w:lang w:val="es-ES_tradnl"/>
        </w:rPr>
        <w:t xml:space="preserve"> </w:t>
      </w:r>
      <w:r w:rsidR="00F219D6" w:rsidRPr="00153074">
        <w:rPr>
          <w:lang w:val="es-ES_tradnl"/>
        </w:rPr>
        <w:t xml:space="preserve">un indicador de la manera en que </w:t>
      </w:r>
      <w:r w:rsidRPr="00153074">
        <w:rPr>
          <w:lang w:val="es-ES_tradnl"/>
        </w:rPr>
        <w:t xml:space="preserve">los grupos empresariales conciben la participación de </w:t>
      </w:r>
      <w:r w:rsidR="001855E7" w:rsidRPr="00153074">
        <w:rPr>
          <w:lang w:val="es-ES_tradnl"/>
        </w:rPr>
        <w:t xml:space="preserve">las </w:t>
      </w:r>
      <w:r w:rsidRPr="00153074">
        <w:rPr>
          <w:lang w:val="es-ES_tradnl"/>
        </w:rPr>
        <w:t xml:space="preserve">partes interesadas en </w:t>
      </w:r>
      <w:r w:rsidR="001855E7" w:rsidRPr="00153074">
        <w:rPr>
          <w:lang w:val="es-ES_tradnl"/>
        </w:rPr>
        <w:t xml:space="preserve">las </w:t>
      </w:r>
      <w:r w:rsidRPr="00153074">
        <w:rPr>
          <w:lang w:val="es-ES_tradnl"/>
        </w:rPr>
        <w:t xml:space="preserve">cuestiones de desarrollo. Enumerando las </w:t>
      </w:r>
      <w:r w:rsidR="002A7792" w:rsidRPr="00153074">
        <w:rPr>
          <w:lang w:val="es-ES_tradnl"/>
        </w:rPr>
        <w:t>“</w:t>
      </w:r>
      <w:r w:rsidRPr="00153074">
        <w:rPr>
          <w:lang w:val="es-ES_tradnl"/>
        </w:rPr>
        <w:t>necesidades no satisfechas</w:t>
      </w:r>
      <w:r w:rsidR="002A7792" w:rsidRPr="00153074">
        <w:rPr>
          <w:lang w:val="es-ES_tradnl"/>
        </w:rPr>
        <w:t>”</w:t>
      </w:r>
      <w:r w:rsidRPr="00153074">
        <w:rPr>
          <w:lang w:val="es-ES_tradnl"/>
        </w:rPr>
        <w:t xml:space="preserve"> de las empresas, </w:t>
      </w:r>
      <w:r w:rsidR="00864464" w:rsidRPr="00153074">
        <w:rPr>
          <w:lang w:val="es-ES_tradnl"/>
        </w:rPr>
        <w:t>Gobierno</w:t>
      </w:r>
      <w:r w:rsidRPr="00153074">
        <w:rPr>
          <w:lang w:val="es-ES_tradnl"/>
        </w:rPr>
        <w:t xml:space="preserve">s, donantes y sociedad civil respectivamente, el IBLF afirma que los </w:t>
      </w:r>
      <w:r w:rsidR="00864464" w:rsidRPr="00153074">
        <w:rPr>
          <w:lang w:val="es-ES_tradnl"/>
        </w:rPr>
        <w:t>Gobierno</w:t>
      </w:r>
      <w:r w:rsidRPr="00153074">
        <w:rPr>
          <w:lang w:val="es-ES_tradnl"/>
        </w:rPr>
        <w:t xml:space="preserve">s quieren </w:t>
      </w:r>
      <w:r w:rsidR="002A7792" w:rsidRPr="00153074">
        <w:rPr>
          <w:lang w:val="es-ES_tradnl"/>
        </w:rPr>
        <w:t>“</w:t>
      </w:r>
      <w:r w:rsidR="001855E7" w:rsidRPr="00153074">
        <w:rPr>
          <w:lang w:val="es-ES_tradnl"/>
        </w:rPr>
        <w:t>hacer a</w:t>
      </w:r>
      <w:r w:rsidRPr="00153074">
        <w:rPr>
          <w:lang w:val="es-ES_tradnl"/>
        </w:rPr>
        <w:t xml:space="preserve"> las empresas</w:t>
      </w:r>
      <w:r w:rsidR="001855E7" w:rsidRPr="00153074">
        <w:rPr>
          <w:lang w:val="es-ES_tradnl"/>
        </w:rPr>
        <w:t xml:space="preserve"> partícipes de</w:t>
      </w:r>
      <w:r w:rsidRPr="00153074">
        <w:rPr>
          <w:lang w:val="es-ES_tradnl"/>
        </w:rPr>
        <w:t xml:space="preserve"> la </w:t>
      </w:r>
      <w:r w:rsidRPr="00153074">
        <w:rPr>
          <w:i/>
          <w:lang w:val="es-ES_tradnl"/>
        </w:rPr>
        <w:t xml:space="preserve">ejecución de </w:t>
      </w:r>
      <w:r w:rsidR="00E934B1" w:rsidRPr="00153074">
        <w:rPr>
          <w:i/>
          <w:lang w:val="es-ES_tradnl"/>
        </w:rPr>
        <w:t xml:space="preserve">las </w:t>
      </w:r>
      <w:r w:rsidRPr="00153074">
        <w:rPr>
          <w:i/>
          <w:lang w:val="es-ES_tradnl"/>
        </w:rPr>
        <w:t>políticas públicas</w:t>
      </w:r>
      <w:r w:rsidR="002A7792" w:rsidRPr="00153074">
        <w:rPr>
          <w:i/>
          <w:lang w:val="es-ES_tradnl"/>
        </w:rPr>
        <w:t>”</w:t>
      </w:r>
      <w:r w:rsidR="00E934B1" w:rsidRPr="00153074">
        <w:rPr>
          <w:lang w:val="es-ES_tradnl"/>
        </w:rPr>
        <w:t>;</w:t>
      </w:r>
      <w:r w:rsidRPr="00153074">
        <w:rPr>
          <w:i/>
          <w:lang w:val="es-ES_tradnl"/>
        </w:rPr>
        <w:t xml:space="preserve"> </w:t>
      </w:r>
      <w:r w:rsidR="00E934B1" w:rsidRPr="00153074">
        <w:rPr>
          <w:i/>
          <w:lang w:val="es-ES_tradnl"/>
        </w:rPr>
        <w:t xml:space="preserve">y </w:t>
      </w:r>
      <w:r w:rsidR="00B952B3" w:rsidRPr="00153074">
        <w:rPr>
          <w:lang w:val="es-ES_tradnl"/>
        </w:rPr>
        <w:t xml:space="preserve">que los negocios quieren </w:t>
      </w:r>
      <w:r w:rsidR="002A7792" w:rsidRPr="00153074">
        <w:rPr>
          <w:lang w:val="es-ES_tradnl"/>
        </w:rPr>
        <w:t>“</w:t>
      </w:r>
      <w:r w:rsidR="00B952B3" w:rsidRPr="00153074">
        <w:rPr>
          <w:lang w:val="es-ES_tradnl"/>
        </w:rPr>
        <w:t>incrementar su capacidad para influ</w:t>
      </w:r>
      <w:r w:rsidR="00D67D54" w:rsidRPr="00153074">
        <w:rPr>
          <w:lang w:val="es-ES_tradnl"/>
        </w:rPr>
        <w:t>ir</w:t>
      </w:r>
      <w:r w:rsidR="002A7792" w:rsidRPr="00153074">
        <w:rPr>
          <w:lang w:val="es-ES_tradnl"/>
        </w:rPr>
        <w:t>”</w:t>
      </w:r>
      <w:r w:rsidR="00B952B3" w:rsidRPr="00153074">
        <w:rPr>
          <w:lang w:val="es-ES_tradnl"/>
        </w:rPr>
        <w:t xml:space="preserve"> </w:t>
      </w:r>
      <w:r w:rsidR="00D67D54" w:rsidRPr="00153074">
        <w:rPr>
          <w:lang w:val="es-ES_tradnl"/>
        </w:rPr>
        <w:t xml:space="preserve">en </w:t>
      </w:r>
      <w:r w:rsidR="00B952B3" w:rsidRPr="00153074">
        <w:rPr>
          <w:lang w:val="es-ES_tradnl"/>
        </w:rPr>
        <w:t>estas políticas, a diferencia de los donantes y ONG</w:t>
      </w:r>
      <w:r w:rsidR="00E934B1" w:rsidRPr="00153074">
        <w:rPr>
          <w:lang w:val="es-ES_tradnl"/>
        </w:rPr>
        <w:t>,</w:t>
      </w:r>
      <w:r w:rsidR="00B952B3" w:rsidRPr="00153074">
        <w:rPr>
          <w:lang w:val="es-ES_tradnl"/>
        </w:rPr>
        <w:t xml:space="preserve"> que quieren </w:t>
      </w:r>
      <w:r w:rsidR="002A7792" w:rsidRPr="00153074">
        <w:rPr>
          <w:lang w:val="es-ES_tradnl"/>
        </w:rPr>
        <w:t>“</w:t>
      </w:r>
      <w:r w:rsidR="00D67D54" w:rsidRPr="00153074">
        <w:rPr>
          <w:lang w:val="es-ES_tradnl"/>
        </w:rPr>
        <w:t>movilizar</w:t>
      </w:r>
      <w:r w:rsidR="00B952B3" w:rsidRPr="00153074">
        <w:rPr>
          <w:lang w:val="es-ES_tradnl"/>
        </w:rPr>
        <w:t xml:space="preserve"> el alcance, experiencia, innovación </w:t>
      </w:r>
      <w:r w:rsidR="00D67D54" w:rsidRPr="00153074">
        <w:rPr>
          <w:lang w:val="es-ES_tradnl"/>
        </w:rPr>
        <w:t>y</w:t>
      </w:r>
      <w:r w:rsidR="00B952B3" w:rsidRPr="00153074">
        <w:rPr>
          <w:lang w:val="es-ES_tradnl"/>
        </w:rPr>
        <w:t xml:space="preserve"> recursos financieros de las empresas</w:t>
      </w:r>
      <w:r w:rsidR="002A7792" w:rsidRPr="00153074">
        <w:rPr>
          <w:lang w:val="es-ES_tradnl"/>
        </w:rPr>
        <w:t>”</w:t>
      </w:r>
      <w:r w:rsidR="00B952B3" w:rsidRPr="00153074">
        <w:rPr>
          <w:lang w:val="es-ES_tradnl"/>
        </w:rPr>
        <w:t>.</w:t>
      </w:r>
    </w:p>
    <w:p w:rsidR="004E38F5" w:rsidRPr="00153074" w:rsidRDefault="004E38F5" w:rsidP="007462FA">
      <w:pPr>
        <w:jc w:val="both"/>
        <w:rPr>
          <w:rFonts w:ascii="Arial" w:hAnsi="Arial" w:cs="Arial"/>
          <w:sz w:val="20"/>
          <w:szCs w:val="20"/>
          <w:lang w:val="es-ES_tradnl"/>
        </w:rPr>
      </w:pPr>
    </w:p>
    <w:p w:rsidR="00B1268C" w:rsidRPr="00153074" w:rsidRDefault="00B1268C" w:rsidP="007462FA">
      <w:pPr>
        <w:jc w:val="both"/>
        <w:rPr>
          <w:rFonts w:ascii="Arial" w:hAnsi="Arial" w:cs="Arial"/>
          <w:sz w:val="20"/>
          <w:szCs w:val="20"/>
          <w:lang w:val="es-ES_tradnl"/>
        </w:rPr>
      </w:pPr>
    </w:p>
    <w:p w:rsidR="00B1268C" w:rsidRPr="00153074" w:rsidRDefault="00B952B3" w:rsidP="00790075">
      <w:pPr>
        <w:pStyle w:val="Heading3"/>
        <w:rPr>
          <w:lang w:val="es-ES_tradnl"/>
        </w:rPr>
      </w:pPr>
      <w:bookmarkStart w:id="70" w:name="_Toc359331992"/>
      <w:bookmarkStart w:id="71" w:name="_Toc369604927"/>
      <w:r w:rsidRPr="00153074">
        <w:rPr>
          <w:lang w:val="es-ES_tradnl"/>
        </w:rPr>
        <w:t>El negocio exclusivo</w:t>
      </w:r>
      <w:bookmarkEnd w:id="70"/>
      <w:bookmarkEnd w:id="71"/>
    </w:p>
    <w:p w:rsidR="00B1268C" w:rsidRPr="00153074" w:rsidRDefault="00B952B3" w:rsidP="007462FA">
      <w:pPr>
        <w:jc w:val="both"/>
        <w:rPr>
          <w:lang w:val="es-ES_tradnl"/>
        </w:rPr>
      </w:pPr>
      <w:r w:rsidRPr="00153074">
        <w:rPr>
          <w:lang w:val="es-ES_tradnl"/>
        </w:rPr>
        <w:t xml:space="preserve">El interés de los negocios en el SPD también parece estar propulsado por el creciente espacio político </w:t>
      </w:r>
      <w:r w:rsidR="00593D1C" w:rsidRPr="00153074">
        <w:rPr>
          <w:lang w:val="es-ES_tradnl"/>
        </w:rPr>
        <w:t>dedicado</w:t>
      </w:r>
      <w:r w:rsidRPr="00153074">
        <w:rPr>
          <w:lang w:val="es-ES_tradnl"/>
        </w:rPr>
        <w:t xml:space="preserve"> al </w:t>
      </w:r>
      <w:r w:rsidR="00593D1C" w:rsidRPr="00153074">
        <w:rPr>
          <w:lang w:val="es-ES_tradnl"/>
        </w:rPr>
        <w:t>P</w:t>
      </w:r>
      <w:r w:rsidRPr="00153074">
        <w:rPr>
          <w:lang w:val="es-ES_tradnl"/>
        </w:rPr>
        <w:t xml:space="preserve">rograma de </w:t>
      </w:r>
      <w:r w:rsidR="00593D1C" w:rsidRPr="00153074">
        <w:rPr>
          <w:lang w:val="es-ES_tradnl"/>
        </w:rPr>
        <w:t>N</w:t>
      </w:r>
      <w:r w:rsidRPr="00153074">
        <w:rPr>
          <w:lang w:val="es-ES_tradnl"/>
        </w:rPr>
        <w:t xml:space="preserve">egocios </w:t>
      </w:r>
      <w:r w:rsidR="00593D1C" w:rsidRPr="00153074">
        <w:rPr>
          <w:lang w:val="es-ES_tradnl"/>
        </w:rPr>
        <w:t>In</w:t>
      </w:r>
      <w:r w:rsidRPr="00153074">
        <w:rPr>
          <w:lang w:val="es-ES_tradnl"/>
        </w:rPr>
        <w:t xml:space="preserve">clusivos. Conceptualmente, el término está estrechamente asociado </w:t>
      </w:r>
      <w:r w:rsidR="00B7410C" w:rsidRPr="00153074">
        <w:rPr>
          <w:lang w:val="es-ES_tradnl"/>
        </w:rPr>
        <w:t>a</w:t>
      </w:r>
      <w:r w:rsidRPr="00153074">
        <w:rPr>
          <w:lang w:val="es-ES_tradnl"/>
        </w:rPr>
        <w:t xml:space="preserve"> la teoría</w:t>
      </w:r>
      <w:r w:rsidR="00C06300" w:rsidRPr="00153074">
        <w:rPr>
          <w:lang w:val="es-ES_tradnl"/>
        </w:rPr>
        <w:t xml:space="preserve"> de la </w:t>
      </w:r>
      <w:r w:rsidR="00C06300" w:rsidRPr="00153074">
        <w:rPr>
          <w:i/>
          <w:lang w:val="es-ES_tradnl"/>
        </w:rPr>
        <w:t>base de la pirámide</w:t>
      </w:r>
      <w:r w:rsidR="00593D1C" w:rsidRPr="00153074">
        <w:rPr>
          <w:lang w:val="es-ES_tradnl"/>
        </w:rPr>
        <w:t xml:space="preserve">, </w:t>
      </w:r>
      <w:r w:rsidR="00C06300" w:rsidRPr="00153074">
        <w:rPr>
          <w:lang w:val="es-ES_tradnl"/>
        </w:rPr>
        <w:t xml:space="preserve">introducida por primera </w:t>
      </w:r>
      <w:r w:rsidR="00593D1C" w:rsidRPr="00153074">
        <w:rPr>
          <w:lang w:val="es-ES_tradnl"/>
        </w:rPr>
        <w:t xml:space="preserve">vez </w:t>
      </w:r>
      <w:r w:rsidR="00C06300" w:rsidRPr="00153074">
        <w:rPr>
          <w:lang w:val="es-ES_tradnl"/>
        </w:rPr>
        <w:t>en 2004</w:t>
      </w:r>
      <w:r w:rsidR="00B1268C" w:rsidRPr="00153074">
        <w:rPr>
          <w:lang w:val="es-ES_tradnl"/>
        </w:rPr>
        <w:t xml:space="preserve"> (PRAHALAD 2004). </w:t>
      </w:r>
      <w:r w:rsidR="00C06300" w:rsidRPr="00153074">
        <w:rPr>
          <w:lang w:val="es-ES_tradnl"/>
        </w:rPr>
        <w:t>El concepto adquirió cierto reconocimiento tres años después</w:t>
      </w:r>
      <w:r w:rsidR="00B7410C" w:rsidRPr="00153074">
        <w:rPr>
          <w:lang w:val="es-ES_tradnl"/>
        </w:rPr>
        <w:t>,</w:t>
      </w:r>
      <w:r w:rsidR="00C06300" w:rsidRPr="00153074">
        <w:rPr>
          <w:lang w:val="es-ES_tradnl"/>
        </w:rPr>
        <w:t xml:space="preserve"> cuando el Banco Mundial y la CFI publicaron un informe alegando que las empresas estaban pasando por alto el mercado potencial </w:t>
      </w:r>
      <w:r w:rsidR="00701150" w:rsidRPr="00153074">
        <w:rPr>
          <w:lang w:val="es-ES_tradnl"/>
        </w:rPr>
        <w:t>que constituían</w:t>
      </w:r>
      <w:r w:rsidR="00C06300" w:rsidRPr="00153074">
        <w:rPr>
          <w:lang w:val="es-ES_tradnl"/>
        </w:rPr>
        <w:t xml:space="preserve"> los pobres y los extremadamente pobres, </w:t>
      </w:r>
      <w:r w:rsidR="00701150" w:rsidRPr="00153074">
        <w:rPr>
          <w:lang w:val="es-ES_tradnl"/>
        </w:rPr>
        <w:t>a</w:t>
      </w:r>
      <w:r w:rsidR="00C06300" w:rsidRPr="00153074">
        <w:rPr>
          <w:lang w:val="es-ES_tradnl"/>
        </w:rPr>
        <w:t>rgumenta</w:t>
      </w:r>
      <w:r w:rsidR="00701150" w:rsidRPr="00153074">
        <w:rPr>
          <w:lang w:val="es-ES_tradnl"/>
        </w:rPr>
        <w:t>ndo</w:t>
      </w:r>
      <w:r w:rsidR="00C06300" w:rsidRPr="00153074">
        <w:rPr>
          <w:lang w:val="es-ES_tradnl"/>
        </w:rPr>
        <w:t xml:space="preserve"> que la</w:t>
      </w:r>
      <w:r w:rsidR="002639DE" w:rsidRPr="00153074">
        <w:rPr>
          <w:lang w:val="es-ES_tradnl"/>
        </w:rPr>
        <w:t>s personas con una renta per capita inferior a los</w:t>
      </w:r>
      <w:r w:rsidR="00C06300" w:rsidRPr="00153074">
        <w:rPr>
          <w:lang w:val="es-ES_tradnl"/>
        </w:rPr>
        <w:t xml:space="preserve"> 1.500 USD representaban un </w:t>
      </w:r>
      <w:r w:rsidR="002A7792" w:rsidRPr="00153074">
        <w:rPr>
          <w:lang w:val="es-ES_tradnl"/>
        </w:rPr>
        <w:t>“</w:t>
      </w:r>
      <w:r w:rsidR="00C06300" w:rsidRPr="00153074">
        <w:rPr>
          <w:lang w:val="es-ES_tradnl"/>
        </w:rPr>
        <w:t>mercado de 5 billones USD</w:t>
      </w:r>
      <w:r w:rsidR="002A7792" w:rsidRPr="00153074">
        <w:rPr>
          <w:lang w:val="es-ES_tradnl"/>
        </w:rPr>
        <w:t>”</w:t>
      </w:r>
      <w:r w:rsidR="00C06300" w:rsidRPr="00153074">
        <w:rPr>
          <w:lang w:val="es-ES_tradnl"/>
        </w:rPr>
        <w:t xml:space="preserve"> </w:t>
      </w:r>
      <w:r w:rsidR="00701150" w:rsidRPr="00153074">
        <w:rPr>
          <w:lang w:val="es-ES_tradnl"/>
        </w:rPr>
        <w:t xml:space="preserve">como mínimo </w:t>
      </w:r>
      <w:r w:rsidR="00C06300" w:rsidRPr="00153074">
        <w:rPr>
          <w:lang w:val="es-ES_tradnl"/>
        </w:rPr>
        <w:t xml:space="preserve">(HAMMOND et. al. 2007). Definido de forma general, el negocio inclusivo se refiere a las prácticas y regulaciones que pueden ayudar a </w:t>
      </w:r>
      <w:r w:rsidR="00701150" w:rsidRPr="00153074">
        <w:rPr>
          <w:lang w:val="es-ES_tradnl"/>
        </w:rPr>
        <w:t>aprovechar</w:t>
      </w:r>
      <w:r w:rsidR="00C06300" w:rsidRPr="00153074">
        <w:rPr>
          <w:lang w:val="es-ES_tradnl"/>
        </w:rPr>
        <w:t xml:space="preserve"> las oportunidades </w:t>
      </w:r>
      <w:r w:rsidR="00120C24" w:rsidRPr="00153074">
        <w:rPr>
          <w:lang w:val="es-ES_tradnl"/>
        </w:rPr>
        <w:t xml:space="preserve">que ofrecen </w:t>
      </w:r>
      <w:r w:rsidR="00C06300" w:rsidRPr="00153074">
        <w:rPr>
          <w:lang w:val="es-ES_tradnl"/>
        </w:rPr>
        <w:lastRenderedPageBreak/>
        <w:t>los mercados empresariales de los pobres situados en la base de la pirámide, transform</w:t>
      </w:r>
      <w:r w:rsidR="007B204B" w:rsidRPr="00153074">
        <w:rPr>
          <w:lang w:val="es-ES_tradnl"/>
        </w:rPr>
        <w:t>ándolos</w:t>
      </w:r>
      <w:r w:rsidR="00C06300" w:rsidRPr="00153074">
        <w:rPr>
          <w:lang w:val="es-ES_tradnl"/>
        </w:rPr>
        <w:t xml:space="preserve"> en un </w:t>
      </w:r>
      <w:r w:rsidR="002A7792" w:rsidRPr="00153074">
        <w:rPr>
          <w:lang w:val="es-ES_tradnl"/>
        </w:rPr>
        <w:t>“</w:t>
      </w:r>
      <w:r w:rsidR="00C06300" w:rsidRPr="00153074">
        <w:rPr>
          <w:lang w:val="es-ES_tradnl"/>
        </w:rPr>
        <w:t>modelo empresarial</w:t>
      </w:r>
      <w:r w:rsidR="000F2878" w:rsidRPr="00153074">
        <w:rPr>
          <w:lang w:val="es-ES_tradnl"/>
        </w:rPr>
        <w:t xml:space="preserve"> financieramente rentable</w:t>
      </w:r>
      <w:r w:rsidR="002A7792" w:rsidRPr="00153074">
        <w:rPr>
          <w:lang w:val="es-ES_tradnl"/>
        </w:rPr>
        <w:t>”</w:t>
      </w:r>
      <w:r w:rsidR="000F2878" w:rsidRPr="00153074">
        <w:rPr>
          <w:lang w:val="es-ES_tradnl"/>
        </w:rPr>
        <w:t xml:space="preserve"> para las firmas. En ese sentido, el Consejo Empresarial Mundial para el Desarrollo Sostenible (WBCSD) lo define como </w:t>
      </w:r>
      <w:r w:rsidR="002A7792" w:rsidRPr="00153074">
        <w:rPr>
          <w:lang w:val="es-ES_tradnl"/>
        </w:rPr>
        <w:t>“</w:t>
      </w:r>
      <w:r w:rsidR="00023F24" w:rsidRPr="00153074">
        <w:rPr>
          <w:lang w:val="es-ES_tradnl"/>
        </w:rPr>
        <w:t xml:space="preserve">asegurar </w:t>
      </w:r>
      <w:r w:rsidR="00F36FF6" w:rsidRPr="00153074">
        <w:rPr>
          <w:lang w:val="es-ES_tradnl"/>
        </w:rPr>
        <w:t>un</w:t>
      </w:r>
      <w:r w:rsidR="007B204B" w:rsidRPr="00153074">
        <w:rPr>
          <w:lang w:val="es-ES_tradnl"/>
        </w:rPr>
        <w:t xml:space="preserve">a participación </w:t>
      </w:r>
      <w:r w:rsidR="00F36FF6" w:rsidRPr="00153074">
        <w:rPr>
          <w:lang w:val="es-ES_tradnl"/>
        </w:rPr>
        <w:t xml:space="preserve">rentable </w:t>
      </w:r>
      <w:r w:rsidR="00023F24" w:rsidRPr="00153074">
        <w:rPr>
          <w:lang w:val="es-ES_tradnl"/>
        </w:rPr>
        <w:t xml:space="preserve">de las poblaciones </w:t>
      </w:r>
      <w:r w:rsidR="006F5717" w:rsidRPr="00153074">
        <w:rPr>
          <w:lang w:val="es-ES_tradnl"/>
        </w:rPr>
        <w:t>de renta baja</w:t>
      </w:r>
      <w:r w:rsidR="00023F24" w:rsidRPr="00153074">
        <w:rPr>
          <w:lang w:val="es-ES_tradnl"/>
        </w:rPr>
        <w:t xml:space="preserve"> en las cadenas de valores de las empresas y desarrollar productos y servicios asequibles que respondan a las necesidades de las poblaciones </w:t>
      </w:r>
      <w:r w:rsidR="006F5717" w:rsidRPr="00153074">
        <w:rPr>
          <w:lang w:val="es-ES_tradnl"/>
        </w:rPr>
        <w:t>de renta baja</w:t>
      </w:r>
      <w:r w:rsidR="002A7792" w:rsidRPr="00153074">
        <w:rPr>
          <w:lang w:val="es-ES_tradnl"/>
        </w:rPr>
        <w:t>”</w:t>
      </w:r>
      <w:r w:rsidR="00B1268C" w:rsidRPr="00153074">
        <w:rPr>
          <w:rStyle w:val="FootnoteReference"/>
          <w:rFonts w:ascii="Arial" w:hAnsi="Arial" w:cs="Arial"/>
          <w:sz w:val="20"/>
          <w:szCs w:val="20"/>
          <w:lang w:val="es-ES_tradnl"/>
        </w:rPr>
        <w:footnoteReference w:id="14"/>
      </w:r>
      <w:r w:rsidR="00B1268C" w:rsidRPr="00153074">
        <w:rPr>
          <w:lang w:val="es-ES_tradnl"/>
        </w:rPr>
        <w:t xml:space="preserve">. </w:t>
      </w:r>
      <w:r w:rsidR="00CA5146" w:rsidRPr="00153074">
        <w:rPr>
          <w:lang w:val="es-ES_tradnl"/>
        </w:rPr>
        <w:t xml:space="preserve">Por su parte, </w:t>
      </w:r>
      <w:r w:rsidR="00B1268C" w:rsidRPr="00153074">
        <w:rPr>
          <w:bCs/>
          <w:lang w:val="es-ES_tradnl"/>
        </w:rPr>
        <w:t xml:space="preserve">Business Call to Action (BCtA) </w:t>
      </w:r>
      <w:r w:rsidR="00023F24" w:rsidRPr="00153074">
        <w:rPr>
          <w:bCs/>
          <w:lang w:val="es-ES_tradnl"/>
        </w:rPr>
        <w:t xml:space="preserve">considera que los modelos de negocio inclusivo son aquellos en los que las </w:t>
      </w:r>
      <w:r w:rsidR="002A7792" w:rsidRPr="00153074">
        <w:rPr>
          <w:bCs/>
          <w:lang w:val="es-ES_tradnl"/>
        </w:rPr>
        <w:t>“</w:t>
      </w:r>
      <w:r w:rsidR="00023F24" w:rsidRPr="00153074">
        <w:rPr>
          <w:bCs/>
          <w:lang w:val="es-ES_tradnl"/>
        </w:rPr>
        <w:t>empresas integran a los pobres en el proceso de desarrollo de bienes y servicios</w:t>
      </w:r>
      <w:r w:rsidR="002A7792" w:rsidRPr="00153074">
        <w:rPr>
          <w:bCs/>
          <w:lang w:val="es-ES_tradnl"/>
        </w:rPr>
        <w:t>”</w:t>
      </w:r>
      <w:r w:rsidR="00023F24" w:rsidRPr="00153074">
        <w:rPr>
          <w:bCs/>
          <w:lang w:val="es-ES_tradnl"/>
        </w:rPr>
        <w:t xml:space="preserve"> </w:t>
      </w:r>
      <w:r w:rsidR="00B1268C" w:rsidRPr="00153074">
        <w:rPr>
          <w:bCs/>
          <w:lang w:val="es-ES_tradnl"/>
        </w:rPr>
        <w:t>(BCtA 2011).</w:t>
      </w:r>
    </w:p>
    <w:p w:rsidR="00B1268C" w:rsidRPr="00153074" w:rsidRDefault="00B1268C" w:rsidP="007462FA">
      <w:pPr>
        <w:jc w:val="both"/>
        <w:rPr>
          <w:rFonts w:ascii="Arial" w:hAnsi="Arial" w:cs="Arial"/>
          <w:bCs/>
          <w:sz w:val="20"/>
          <w:szCs w:val="20"/>
          <w:lang w:val="es-ES_tradnl"/>
        </w:rPr>
      </w:pPr>
    </w:p>
    <w:p w:rsidR="00877BED" w:rsidRPr="00153074" w:rsidRDefault="00023F24" w:rsidP="007462FA">
      <w:pPr>
        <w:jc w:val="both"/>
        <w:rPr>
          <w:lang w:val="es-ES_tradnl"/>
        </w:rPr>
      </w:pPr>
      <w:r w:rsidRPr="00153074">
        <w:rPr>
          <w:lang w:val="es-ES_tradnl"/>
        </w:rPr>
        <w:t>Desde una perspectiva normativa, el programa de negocio inclusivo</w:t>
      </w:r>
      <w:r w:rsidR="00512C8E" w:rsidRPr="00153074">
        <w:rPr>
          <w:lang w:val="es-ES_tradnl"/>
        </w:rPr>
        <w:t xml:space="preserve"> no carece</w:t>
      </w:r>
      <w:r w:rsidR="007939C9" w:rsidRPr="00153074">
        <w:rPr>
          <w:lang w:val="es-ES_tradnl"/>
        </w:rPr>
        <w:t xml:space="preserve"> desde</w:t>
      </w:r>
      <w:r w:rsidR="00512C8E" w:rsidRPr="00153074">
        <w:rPr>
          <w:lang w:val="es-ES_tradnl"/>
        </w:rPr>
        <w:t xml:space="preserve"> luego de implicaciones. Para empezar, el uso del término </w:t>
      </w:r>
      <w:r w:rsidR="00512C8E" w:rsidRPr="00153074">
        <w:rPr>
          <w:i/>
          <w:lang w:val="es-ES_tradnl"/>
        </w:rPr>
        <w:t xml:space="preserve">inclusivo </w:t>
      </w:r>
      <w:r w:rsidR="00512C8E" w:rsidRPr="00153074">
        <w:rPr>
          <w:lang w:val="es-ES_tradnl"/>
        </w:rPr>
        <w:t xml:space="preserve">es bastante engañoso en el sentido </w:t>
      </w:r>
      <w:r w:rsidR="007939C9" w:rsidRPr="00153074">
        <w:rPr>
          <w:lang w:val="es-ES_tradnl"/>
        </w:rPr>
        <w:t xml:space="preserve">de </w:t>
      </w:r>
      <w:r w:rsidR="00512C8E" w:rsidRPr="00153074">
        <w:rPr>
          <w:lang w:val="es-ES_tradnl"/>
        </w:rPr>
        <w:t xml:space="preserve">que </w:t>
      </w:r>
      <w:r w:rsidR="00DA59A4" w:rsidRPr="00153074">
        <w:rPr>
          <w:lang w:val="es-ES_tradnl"/>
        </w:rPr>
        <w:t>da pie a</w:t>
      </w:r>
      <w:r w:rsidR="00512C8E" w:rsidRPr="00153074">
        <w:rPr>
          <w:lang w:val="es-ES_tradnl"/>
        </w:rPr>
        <w:t xml:space="preserve"> creer que implica la adopción de un modelo de negocio de </w:t>
      </w:r>
      <w:r w:rsidR="002A7792" w:rsidRPr="00153074">
        <w:rPr>
          <w:lang w:val="es-ES_tradnl"/>
        </w:rPr>
        <w:t>“</w:t>
      </w:r>
      <w:r w:rsidR="00512C8E" w:rsidRPr="00153074">
        <w:rPr>
          <w:lang w:val="es-ES_tradnl"/>
        </w:rPr>
        <w:t>partes interesadas</w:t>
      </w:r>
      <w:r w:rsidR="002A7792" w:rsidRPr="00153074">
        <w:rPr>
          <w:lang w:val="es-ES_tradnl"/>
        </w:rPr>
        <w:t>”</w:t>
      </w:r>
      <w:r w:rsidR="00512C8E" w:rsidRPr="00153074">
        <w:rPr>
          <w:lang w:val="es-ES_tradnl"/>
        </w:rPr>
        <w:t xml:space="preserve">. </w:t>
      </w:r>
      <w:r w:rsidR="002A7792" w:rsidRPr="00153074">
        <w:rPr>
          <w:lang w:val="es-ES_tradnl"/>
        </w:rPr>
        <w:t>“</w:t>
      </w:r>
      <w:r w:rsidR="00512C8E" w:rsidRPr="00153074">
        <w:rPr>
          <w:lang w:val="es-ES_tradnl"/>
        </w:rPr>
        <w:t>Este enfoque [de negocio inclusivo] sugiere en última instancia</w:t>
      </w:r>
      <w:r w:rsidR="00877BED" w:rsidRPr="00153074">
        <w:rPr>
          <w:lang w:val="es-ES_tradnl"/>
        </w:rPr>
        <w:t xml:space="preserve"> </w:t>
      </w:r>
      <w:r w:rsidR="007939C9" w:rsidRPr="00153074">
        <w:rPr>
          <w:lang w:val="es-ES_tradnl"/>
        </w:rPr>
        <w:t xml:space="preserve">que </w:t>
      </w:r>
      <w:r w:rsidR="00877BED" w:rsidRPr="00153074">
        <w:rPr>
          <w:lang w:val="es-ES_tradnl"/>
        </w:rPr>
        <w:t xml:space="preserve">el negocio fundamental debería proporcionar valor para las partes interesadas más que </w:t>
      </w:r>
      <w:r w:rsidR="00DA59A4" w:rsidRPr="00153074">
        <w:rPr>
          <w:lang w:val="es-ES_tradnl"/>
        </w:rPr>
        <w:t xml:space="preserve">un </w:t>
      </w:r>
      <w:r w:rsidR="00877BED" w:rsidRPr="00153074">
        <w:rPr>
          <w:lang w:val="es-ES_tradnl"/>
        </w:rPr>
        <w:t>mero valor para los accionistas</w:t>
      </w:r>
      <w:r w:rsidR="002A7792" w:rsidRPr="00153074">
        <w:rPr>
          <w:lang w:val="es-ES_tradnl"/>
        </w:rPr>
        <w:t>”</w:t>
      </w:r>
      <w:r w:rsidR="00877BED" w:rsidRPr="00153074">
        <w:rPr>
          <w:lang w:val="es-ES_tradnl"/>
        </w:rPr>
        <w:t>, sostiene</w:t>
      </w:r>
      <w:r w:rsidR="00B32C16" w:rsidRPr="00153074">
        <w:rPr>
          <w:lang w:val="es-ES_tradnl"/>
        </w:rPr>
        <w:t xml:space="preserve"> el </w:t>
      </w:r>
      <w:r w:rsidR="00B1268C" w:rsidRPr="00153074">
        <w:rPr>
          <w:lang w:val="es-ES_tradnl"/>
        </w:rPr>
        <w:t xml:space="preserve">ECDPM (2012), </w:t>
      </w:r>
      <w:r w:rsidR="00DA59A4" w:rsidRPr="00153074">
        <w:rPr>
          <w:lang w:val="es-ES_tradnl"/>
        </w:rPr>
        <w:t>citando</w:t>
      </w:r>
      <w:r w:rsidR="00877BED" w:rsidRPr="00153074">
        <w:rPr>
          <w:lang w:val="es-ES_tradnl"/>
        </w:rPr>
        <w:t xml:space="preserve"> además documentos académicos que apuntan </w:t>
      </w:r>
      <w:r w:rsidR="00B32C16" w:rsidRPr="00153074">
        <w:rPr>
          <w:lang w:val="es-ES_tradnl"/>
        </w:rPr>
        <w:t>a que las</w:t>
      </w:r>
      <w:r w:rsidR="00877BED" w:rsidRPr="00153074">
        <w:rPr>
          <w:lang w:val="es-ES_tradnl"/>
        </w:rPr>
        <w:t xml:space="preserve"> empresas sociales pertenecen a</w:t>
      </w:r>
      <w:r w:rsidR="00B32C16" w:rsidRPr="00153074">
        <w:rPr>
          <w:lang w:val="es-ES_tradnl"/>
        </w:rPr>
        <w:t xml:space="preserve"> este</w:t>
      </w:r>
      <w:r w:rsidR="00877BED" w:rsidRPr="00153074">
        <w:rPr>
          <w:lang w:val="es-ES_tradnl"/>
        </w:rPr>
        <w:t xml:space="preserve"> concepto. No obstante, los modelos de partes interesadas, al menos</w:t>
      </w:r>
      <w:r w:rsidR="00E22A2D" w:rsidRPr="00153074">
        <w:rPr>
          <w:lang w:val="es-ES_tradnl"/>
        </w:rPr>
        <w:t xml:space="preserve"> </w:t>
      </w:r>
      <w:r w:rsidR="009D7A41" w:rsidRPr="00153074">
        <w:rPr>
          <w:lang w:val="es-ES_tradnl"/>
        </w:rPr>
        <w:t xml:space="preserve">los que están </w:t>
      </w:r>
      <w:r w:rsidR="007230DF" w:rsidRPr="00153074">
        <w:rPr>
          <w:lang w:val="es-ES_tradnl"/>
        </w:rPr>
        <w:t>aceptados</w:t>
      </w:r>
      <w:r w:rsidR="00E22A2D" w:rsidRPr="00153074">
        <w:rPr>
          <w:lang w:val="es-ES_tradnl"/>
        </w:rPr>
        <w:t xml:space="preserve"> desde una perspectiva sindical </w:t>
      </w:r>
      <w:r w:rsidR="007230DF" w:rsidRPr="00153074">
        <w:rPr>
          <w:lang w:val="es-ES_tradnl"/>
        </w:rPr>
        <w:t xml:space="preserve">y </w:t>
      </w:r>
      <w:r w:rsidR="00E22A2D" w:rsidRPr="00153074">
        <w:rPr>
          <w:lang w:val="es-ES_tradnl"/>
        </w:rPr>
        <w:t xml:space="preserve">de la sociedad civil, son aquellos que darían prioridad a los </w:t>
      </w:r>
      <w:r w:rsidR="00E22A2D" w:rsidRPr="00153074">
        <w:rPr>
          <w:i/>
          <w:lang w:val="es-ES_tradnl"/>
        </w:rPr>
        <w:t xml:space="preserve">derechos </w:t>
      </w:r>
      <w:r w:rsidR="00E22A2D" w:rsidRPr="00153074">
        <w:rPr>
          <w:lang w:val="es-ES_tradnl"/>
        </w:rPr>
        <w:t xml:space="preserve">de las partes interesadas que aparecen definidos en acuerdos y legislaciones </w:t>
      </w:r>
      <w:r w:rsidR="007230DF" w:rsidRPr="00153074">
        <w:rPr>
          <w:lang w:val="es-ES_tradnl"/>
        </w:rPr>
        <w:t xml:space="preserve">internacionales. Obviamente este no es el caso </w:t>
      </w:r>
      <w:r w:rsidR="00E22A2D" w:rsidRPr="00153074">
        <w:rPr>
          <w:lang w:val="es-ES_tradnl"/>
        </w:rPr>
        <w:t xml:space="preserve">en un modelo de negocio inclusivo, carente de toda referencia a normas y convenios internacionales, así como </w:t>
      </w:r>
      <w:r w:rsidR="007230DF" w:rsidRPr="00153074">
        <w:rPr>
          <w:lang w:val="es-ES_tradnl"/>
        </w:rPr>
        <w:t xml:space="preserve">a </w:t>
      </w:r>
      <w:r w:rsidR="00E22A2D" w:rsidRPr="00153074">
        <w:rPr>
          <w:lang w:val="es-ES_tradnl"/>
        </w:rPr>
        <w:t>derechos humanos y normas fundamentales de trabajo. Los propios pobres son pr</w:t>
      </w:r>
      <w:r w:rsidR="009D7A41" w:rsidRPr="00153074">
        <w:rPr>
          <w:lang w:val="es-ES_tradnl"/>
        </w:rPr>
        <w:t>esentados como consumidores (un</w:t>
      </w:r>
      <w:r w:rsidR="00E22A2D" w:rsidRPr="00153074">
        <w:rPr>
          <w:lang w:val="es-ES_tradnl"/>
        </w:rPr>
        <w:t xml:space="preserve"> </w:t>
      </w:r>
      <w:r w:rsidR="002A7792" w:rsidRPr="00153074">
        <w:rPr>
          <w:lang w:val="es-ES_tradnl"/>
        </w:rPr>
        <w:t>“</w:t>
      </w:r>
      <w:r w:rsidR="00E22A2D" w:rsidRPr="00153074">
        <w:rPr>
          <w:lang w:val="es-ES_tradnl"/>
        </w:rPr>
        <w:t>mercado de 5 billones USD</w:t>
      </w:r>
      <w:r w:rsidR="002A7792" w:rsidRPr="00153074">
        <w:rPr>
          <w:lang w:val="es-ES_tradnl"/>
        </w:rPr>
        <w:t>”</w:t>
      </w:r>
      <w:r w:rsidR="00E22A2D" w:rsidRPr="00153074">
        <w:rPr>
          <w:lang w:val="es-ES_tradnl"/>
        </w:rPr>
        <w:t xml:space="preserve">) y en ocasiones como empresarios o como productores, pero </w:t>
      </w:r>
      <w:r w:rsidR="00A70F68" w:rsidRPr="00153074">
        <w:rPr>
          <w:lang w:val="es-ES_tradnl"/>
        </w:rPr>
        <w:t>rara vez</w:t>
      </w:r>
      <w:r w:rsidR="00E22A2D" w:rsidRPr="00153074">
        <w:rPr>
          <w:lang w:val="es-ES_tradnl"/>
        </w:rPr>
        <w:t xml:space="preserve"> como trabajadores o como empleados, y nunca como ciudadanos.</w:t>
      </w:r>
    </w:p>
    <w:p w:rsidR="00877BED" w:rsidRPr="00153074" w:rsidRDefault="00877BED" w:rsidP="007462FA">
      <w:pPr>
        <w:jc w:val="both"/>
        <w:rPr>
          <w:color w:val="000000"/>
          <w:lang w:val="es-ES_tradnl"/>
        </w:rPr>
      </w:pPr>
    </w:p>
    <w:p w:rsidR="00B1268C" w:rsidRPr="00153074" w:rsidRDefault="006E3A79" w:rsidP="007462FA">
      <w:pPr>
        <w:jc w:val="both"/>
        <w:rPr>
          <w:lang w:val="es-ES_tradnl"/>
        </w:rPr>
      </w:pPr>
      <w:r w:rsidRPr="00153074">
        <w:rPr>
          <w:color w:val="000000"/>
          <w:lang w:val="es-ES_tradnl"/>
        </w:rPr>
        <w:t xml:space="preserve">En cambio, lo que sí </w:t>
      </w:r>
      <w:r w:rsidR="00D65C60" w:rsidRPr="00153074">
        <w:rPr>
          <w:color w:val="000000"/>
          <w:lang w:val="es-ES_tradnl"/>
        </w:rPr>
        <w:t>que destaca</w:t>
      </w:r>
      <w:r w:rsidRPr="00153074">
        <w:rPr>
          <w:color w:val="000000"/>
          <w:lang w:val="es-ES_tradnl"/>
        </w:rPr>
        <w:t xml:space="preserve"> </w:t>
      </w:r>
      <w:r w:rsidR="004C7E47" w:rsidRPr="00153074">
        <w:rPr>
          <w:color w:val="000000"/>
          <w:lang w:val="es-ES_tradnl"/>
        </w:rPr>
        <w:t>son los</w:t>
      </w:r>
      <w:r w:rsidRPr="00153074">
        <w:rPr>
          <w:color w:val="000000"/>
          <w:lang w:val="es-ES_tradnl"/>
        </w:rPr>
        <w:t xml:space="preserve"> derechos de</w:t>
      </w:r>
      <w:r w:rsidR="004C7E47" w:rsidRPr="00153074">
        <w:rPr>
          <w:color w:val="000000"/>
          <w:lang w:val="es-ES_tradnl"/>
        </w:rPr>
        <w:t xml:space="preserve"> la</w:t>
      </w:r>
      <w:r w:rsidRPr="00153074">
        <w:rPr>
          <w:color w:val="000000"/>
          <w:lang w:val="es-ES_tradnl"/>
        </w:rPr>
        <w:t xml:space="preserve"> propiedad </w:t>
      </w:r>
      <w:r w:rsidR="004C7E47" w:rsidRPr="00153074">
        <w:rPr>
          <w:color w:val="000000"/>
          <w:lang w:val="es-ES_tradnl"/>
        </w:rPr>
        <w:t>y del</w:t>
      </w:r>
      <w:r w:rsidRPr="00153074">
        <w:rPr>
          <w:color w:val="000000"/>
          <w:lang w:val="es-ES_tradnl"/>
        </w:rPr>
        <w:t xml:space="preserve"> invers</w:t>
      </w:r>
      <w:r w:rsidR="004C7E47" w:rsidRPr="00153074">
        <w:rPr>
          <w:color w:val="000000"/>
          <w:lang w:val="es-ES_tradnl"/>
        </w:rPr>
        <w:t>or</w:t>
      </w:r>
      <w:r w:rsidRPr="00153074">
        <w:rPr>
          <w:color w:val="000000"/>
          <w:lang w:val="es-ES_tradnl"/>
        </w:rPr>
        <w:t xml:space="preserve">. El marco del WBCSD sobre negocio inclusivo, por ejemplo, establece tres </w:t>
      </w:r>
      <w:r w:rsidR="002A7792" w:rsidRPr="00153074">
        <w:rPr>
          <w:color w:val="000000"/>
          <w:lang w:val="es-ES_tradnl"/>
        </w:rPr>
        <w:t>“</w:t>
      </w:r>
      <w:r w:rsidRPr="00153074">
        <w:rPr>
          <w:color w:val="000000"/>
          <w:lang w:val="es-ES_tradnl"/>
        </w:rPr>
        <w:t>áreas prioritarias</w:t>
      </w:r>
      <w:r w:rsidR="002A7792" w:rsidRPr="00153074">
        <w:rPr>
          <w:color w:val="000000"/>
          <w:lang w:val="es-ES_tradnl"/>
        </w:rPr>
        <w:t>”</w:t>
      </w:r>
      <w:r w:rsidRPr="00153074">
        <w:rPr>
          <w:color w:val="000000"/>
          <w:lang w:val="es-ES_tradnl"/>
        </w:rPr>
        <w:t xml:space="preserve"> para la efectividad de los modelos de negocio inclusivo. Entre </w:t>
      </w:r>
      <w:r w:rsidR="00794C1C" w:rsidRPr="00153074">
        <w:rPr>
          <w:color w:val="000000"/>
          <w:lang w:val="es-ES_tradnl"/>
        </w:rPr>
        <w:t>dichas</w:t>
      </w:r>
      <w:r w:rsidRPr="00153074">
        <w:rPr>
          <w:color w:val="000000"/>
          <w:lang w:val="es-ES_tradnl"/>
        </w:rPr>
        <w:t xml:space="preserve"> prioridades está el cumplimiento del </w:t>
      </w:r>
      <w:r w:rsidR="002A7792" w:rsidRPr="00153074">
        <w:rPr>
          <w:color w:val="000000"/>
          <w:lang w:val="es-ES_tradnl"/>
        </w:rPr>
        <w:t>“</w:t>
      </w:r>
      <w:r w:rsidRPr="00153074">
        <w:rPr>
          <w:color w:val="000000"/>
          <w:lang w:val="es-ES_tradnl"/>
        </w:rPr>
        <w:t>Estado de Derecho</w:t>
      </w:r>
      <w:r w:rsidR="002A7792" w:rsidRPr="00153074">
        <w:rPr>
          <w:color w:val="000000"/>
          <w:lang w:val="es-ES_tradnl"/>
        </w:rPr>
        <w:t>”</w:t>
      </w:r>
      <w:r w:rsidR="00794C1C" w:rsidRPr="00153074">
        <w:rPr>
          <w:color w:val="000000"/>
          <w:lang w:val="es-ES_tradnl"/>
        </w:rPr>
        <w:t>,</w:t>
      </w:r>
      <w:r w:rsidRPr="00153074">
        <w:rPr>
          <w:color w:val="000000"/>
          <w:lang w:val="es-ES_tradnl"/>
        </w:rPr>
        <w:t xml:space="preserve"> que según lo expresa el </w:t>
      </w:r>
      <w:r w:rsidRPr="00153074">
        <w:rPr>
          <w:lang w:val="es-ES_tradnl"/>
        </w:rPr>
        <w:t xml:space="preserve">WBCSD se reduce </w:t>
      </w:r>
      <w:r w:rsidR="004C7E47" w:rsidRPr="00153074">
        <w:rPr>
          <w:lang w:val="es-ES_tradnl"/>
        </w:rPr>
        <w:t xml:space="preserve">esencialmente </w:t>
      </w:r>
      <w:r w:rsidRPr="00153074">
        <w:rPr>
          <w:lang w:val="es-ES_tradnl"/>
        </w:rPr>
        <w:t>a garantizar</w:t>
      </w:r>
      <w:r w:rsidR="00A7710F" w:rsidRPr="00153074">
        <w:rPr>
          <w:lang w:val="es-ES_tradnl"/>
        </w:rPr>
        <w:t xml:space="preserve"> los derechos de propiedad y tenencia de la tierra, así como el cumplimiento de los contratos (privados).</w:t>
      </w:r>
      <w:r w:rsidR="00B1268C" w:rsidRPr="00153074">
        <w:rPr>
          <w:lang w:val="es-ES_tradnl"/>
        </w:rPr>
        <w:t xml:space="preserve"> </w:t>
      </w:r>
      <w:r w:rsidR="00D55C04" w:rsidRPr="00153074">
        <w:rPr>
          <w:lang w:val="es-ES_tradnl"/>
        </w:rPr>
        <w:t xml:space="preserve">Por su parte, la CFI ha enumerado una serie de </w:t>
      </w:r>
      <w:r w:rsidR="002A7792" w:rsidRPr="00153074">
        <w:rPr>
          <w:lang w:val="es-ES_tradnl"/>
        </w:rPr>
        <w:t>“</w:t>
      </w:r>
      <w:r w:rsidR="00A7710F" w:rsidRPr="00153074">
        <w:rPr>
          <w:lang w:val="es-ES_tradnl"/>
        </w:rPr>
        <w:t>obstáculos normativos</w:t>
      </w:r>
      <w:r w:rsidR="002A7792" w:rsidRPr="00153074">
        <w:rPr>
          <w:lang w:val="es-ES_tradnl"/>
        </w:rPr>
        <w:t>”</w:t>
      </w:r>
      <w:r w:rsidR="00B1268C" w:rsidRPr="00153074">
        <w:rPr>
          <w:lang w:val="es-ES_tradnl"/>
        </w:rPr>
        <w:t xml:space="preserve"> </w:t>
      </w:r>
      <w:r w:rsidR="00A7710F" w:rsidRPr="00153074">
        <w:rPr>
          <w:lang w:val="es-ES_tradnl"/>
        </w:rPr>
        <w:t xml:space="preserve">para </w:t>
      </w:r>
      <w:r w:rsidR="002A7792" w:rsidRPr="00153074">
        <w:rPr>
          <w:lang w:val="es-ES_tradnl"/>
        </w:rPr>
        <w:t>“</w:t>
      </w:r>
      <w:r w:rsidR="00A7710F" w:rsidRPr="00153074">
        <w:rPr>
          <w:lang w:val="es-ES_tradnl"/>
        </w:rPr>
        <w:t>el entorno empresarial propicio a los modelos de negocio inclusivo</w:t>
      </w:r>
      <w:r w:rsidR="002A7792" w:rsidRPr="00153074">
        <w:rPr>
          <w:lang w:val="es-ES_tradnl"/>
        </w:rPr>
        <w:t>”</w:t>
      </w:r>
      <w:r w:rsidR="00A7710F" w:rsidRPr="00153074">
        <w:rPr>
          <w:lang w:val="es-ES_tradnl"/>
        </w:rPr>
        <w:t xml:space="preserve"> y destaca</w:t>
      </w:r>
      <w:r w:rsidR="00283BD6" w:rsidRPr="00153074">
        <w:rPr>
          <w:lang w:val="es-ES_tradnl"/>
        </w:rPr>
        <w:t xml:space="preserve"> </w:t>
      </w:r>
      <w:r w:rsidR="00794C1C" w:rsidRPr="00153074">
        <w:rPr>
          <w:lang w:val="es-ES_tradnl"/>
        </w:rPr>
        <w:t xml:space="preserve">que </w:t>
      </w:r>
      <w:r w:rsidR="00E4641F" w:rsidRPr="00153074">
        <w:rPr>
          <w:lang w:val="es-ES_tradnl"/>
        </w:rPr>
        <w:t xml:space="preserve">la </w:t>
      </w:r>
      <w:r w:rsidR="00794C1C" w:rsidRPr="00153074">
        <w:rPr>
          <w:lang w:val="es-ES_tradnl"/>
        </w:rPr>
        <w:t xml:space="preserve">vigencia de una </w:t>
      </w:r>
      <w:r w:rsidR="00E4641F" w:rsidRPr="00153074">
        <w:rPr>
          <w:lang w:val="es-ES_tradnl"/>
        </w:rPr>
        <w:t xml:space="preserve">legislación </w:t>
      </w:r>
      <w:r w:rsidR="00794C1C" w:rsidRPr="00153074">
        <w:rPr>
          <w:lang w:val="es-ES_tradnl"/>
        </w:rPr>
        <w:t>excesiva</w:t>
      </w:r>
      <w:r w:rsidR="00D65C60" w:rsidRPr="00153074">
        <w:rPr>
          <w:lang w:val="es-ES_tradnl"/>
        </w:rPr>
        <w:t>mente rigurosa</w:t>
      </w:r>
      <w:r w:rsidR="00794C1C" w:rsidRPr="00153074">
        <w:rPr>
          <w:lang w:val="es-ES_tradnl"/>
        </w:rPr>
        <w:t xml:space="preserve"> en materia de</w:t>
      </w:r>
      <w:r w:rsidR="00E4641F" w:rsidRPr="00153074">
        <w:rPr>
          <w:lang w:val="es-ES_tradnl"/>
        </w:rPr>
        <w:t xml:space="preserve"> protección del consumidor y derechos de autor </w:t>
      </w:r>
      <w:r w:rsidR="00794C1C" w:rsidRPr="00153074">
        <w:rPr>
          <w:lang w:val="es-ES_tradnl"/>
        </w:rPr>
        <w:t>son</w:t>
      </w:r>
      <w:r w:rsidR="00E4641F" w:rsidRPr="00153074">
        <w:rPr>
          <w:lang w:val="es-ES_tradnl"/>
        </w:rPr>
        <w:t xml:space="preserve"> </w:t>
      </w:r>
      <w:r w:rsidR="002A7792" w:rsidRPr="00153074">
        <w:rPr>
          <w:lang w:val="es-ES_tradnl"/>
        </w:rPr>
        <w:t>“</w:t>
      </w:r>
      <w:r w:rsidR="00E4641F" w:rsidRPr="00153074">
        <w:rPr>
          <w:lang w:val="es-ES_tradnl"/>
        </w:rPr>
        <w:t>políticas</w:t>
      </w:r>
      <w:r w:rsidR="002A7792" w:rsidRPr="00153074">
        <w:rPr>
          <w:lang w:val="es-ES_tradnl"/>
        </w:rPr>
        <w:t>”</w:t>
      </w:r>
      <w:r w:rsidR="00E4641F" w:rsidRPr="00153074">
        <w:rPr>
          <w:lang w:val="es-ES_tradnl"/>
        </w:rPr>
        <w:t xml:space="preserve">que necesitan </w:t>
      </w:r>
      <w:r w:rsidR="002A7792" w:rsidRPr="00153074">
        <w:rPr>
          <w:lang w:val="es-ES_tradnl"/>
        </w:rPr>
        <w:t>“</w:t>
      </w:r>
      <w:r w:rsidR="00D65C60" w:rsidRPr="00153074">
        <w:rPr>
          <w:lang w:val="es-ES_tradnl"/>
        </w:rPr>
        <w:t>un replanteamiento</w:t>
      </w:r>
      <w:r w:rsidR="002A7792" w:rsidRPr="00153074">
        <w:rPr>
          <w:lang w:val="es-ES_tradnl"/>
        </w:rPr>
        <w:t>”</w:t>
      </w:r>
      <w:r w:rsidR="00E4641F" w:rsidRPr="00153074">
        <w:rPr>
          <w:lang w:val="es-ES_tradnl"/>
        </w:rPr>
        <w:t xml:space="preserve"> puesto que </w:t>
      </w:r>
      <w:r w:rsidR="002A7792" w:rsidRPr="00153074">
        <w:rPr>
          <w:lang w:val="es-ES_tradnl"/>
        </w:rPr>
        <w:t>“</w:t>
      </w:r>
      <w:r w:rsidR="00E4641F" w:rsidRPr="00153074">
        <w:rPr>
          <w:lang w:val="es-ES_tradnl"/>
        </w:rPr>
        <w:t>podrían obstaculizar involuntariamente</w:t>
      </w:r>
      <w:r w:rsidR="002A7792" w:rsidRPr="00153074">
        <w:rPr>
          <w:lang w:val="es-ES_tradnl"/>
        </w:rPr>
        <w:t>”</w:t>
      </w:r>
      <w:r w:rsidR="00E4641F" w:rsidRPr="00153074">
        <w:rPr>
          <w:lang w:val="es-ES_tradnl"/>
        </w:rPr>
        <w:t xml:space="preserve"> la innovación </w:t>
      </w:r>
      <w:r w:rsidR="00B1268C" w:rsidRPr="00153074">
        <w:rPr>
          <w:lang w:val="es-ES_tradnl"/>
        </w:rPr>
        <w:t>(</w:t>
      </w:r>
      <w:r w:rsidR="004B2E27" w:rsidRPr="00153074">
        <w:rPr>
          <w:lang w:val="es-ES_tradnl"/>
        </w:rPr>
        <w:t>IFC</w:t>
      </w:r>
      <w:r w:rsidR="00B1268C" w:rsidRPr="00153074">
        <w:rPr>
          <w:lang w:val="es-ES_tradnl"/>
        </w:rPr>
        <w:t xml:space="preserve"> 2012).</w:t>
      </w:r>
    </w:p>
    <w:p w:rsidR="00B1268C" w:rsidRPr="00153074" w:rsidRDefault="00B1268C" w:rsidP="007462FA">
      <w:pPr>
        <w:jc w:val="both"/>
        <w:rPr>
          <w:rFonts w:ascii="Arial" w:hAnsi="Arial" w:cs="Arial"/>
          <w:sz w:val="20"/>
          <w:szCs w:val="20"/>
          <w:lang w:val="es-ES_tradnl"/>
        </w:rPr>
      </w:pPr>
    </w:p>
    <w:p w:rsidR="00B1268C" w:rsidRPr="00153074" w:rsidRDefault="00E4641F" w:rsidP="007462FA">
      <w:pPr>
        <w:tabs>
          <w:tab w:val="left" w:pos="5236"/>
        </w:tabs>
        <w:jc w:val="both"/>
        <w:rPr>
          <w:lang w:val="es-ES_tradnl"/>
        </w:rPr>
      </w:pPr>
      <w:r w:rsidRPr="00153074">
        <w:rPr>
          <w:lang w:val="es-ES_tradnl"/>
        </w:rPr>
        <w:t xml:space="preserve">En cuanto al papel del </w:t>
      </w:r>
      <w:r w:rsidR="00864464" w:rsidRPr="00153074">
        <w:rPr>
          <w:lang w:val="es-ES_tradnl"/>
        </w:rPr>
        <w:t>Gobierno</w:t>
      </w:r>
      <w:r w:rsidRPr="00153074">
        <w:rPr>
          <w:lang w:val="es-ES_tradnl"/>
        </w:rPr>
        <w:t xml:space="preserve"> y de los servicios públicos, el modelo de negocio inclusivo propone </w:t>
      </w:r>
      <w:r w:rsidR="000E7CCB" w:rsidRPr="00153074">
        <w:rPr>
          <w:lang w:val="es-ES_tradnl"/>
        </w:rPr>
        <w:t xml:space="preserve">unas </w:t>
      </w:r>
      <w:r w:rsidRPr="00153074">
        <w:rPr>
          <w:lang w:val="es-ES_tradnl"/>
        </w:rPr>
        <w:t xml:space="preserve">direcciones políticas distintas y quizás contradictorias. Por una parte, la privatización de los servicios públicos y de los servicios educativos </w:t>
      </w:r>
      <w:r w:rsidR="00057EB9" w:rsidRPr="00153074">
        <w:rPr>
          <w:lang w:val="es-ES_tradnl"/>
        </w:rPr>
        <w:t xml:space="preserve">y </w:t>
      </w:r>
      <w:r w:rsidR="000E7CCB" w:rsidRPr="00153074">
        <w:rPr>
          <w:lang w:val="es-ES_tradnl"/>
        </w:rPr>
        <w:t xml:space="preserve">sanitarios se </w:t>
      </w:r>
      <w:r w:rsidRPr="00153074">
        <w:rPr>
          <w:lang w:val="es-ES_tradnl"/>
        </w:rPr>
        <w:t>considera</w:t>
      </w:r>
      <w:r w:rsidR="000E7CCB" w:rsidRPr="00153074">
        <w:rPr>
          <w:lang w:val="es-ES_tradnl"/>
        </w:rPr>
        <w:t xml:space="preserve"> como algo</w:t>
      </w:r>
      <w:r w:rsidR="00057EB9" w:rsidRPr="00153074">
        <w:rPr>
          <w:lang w:val="es-ES_tradnl"/>
        </w:rPr>
        <w:t xml:space="preserve"> favorable</w:t>
      </w:r>
      <w:r w:rsidRPr="00153074">
        <w:rPr>
          <w:lang w:val="es-ES_tradnl"/>
        </w:rPr>
        <w:t>. La</w:t>
      </w:r>
      <w:r w:rsidR="00057EB9" w:rsidRPr="00153074">
        <w:rPr>
          <w:lang w:val="es-ES_tradnl"/>
        </w:rPr>
        <w:t xml:space="preserve"> CFI</w:t>
      </w:r>
      <w:r w:rsidRPr="00153074">
        <w:rPr>
          <w:lang w:val="es-ES_tradnl"/>
        </w:rPr>
        <w:t xml:space="preserve"> </w:t>
      </w:r>
      <w:r w:rsidR="00D55C04" w:rsidRPr="00153074">
        <w:rPr>
          <w:lang w:val="es-ES_tradnl"/>
        </w:rPr>
        <w:t>indica que</w:t>
      </w:r>
      <w:r w:rsidR="00057EB9" w:rsidRPr="00153074">
        <w:rPr>
          <w:lang w:val="es-ES_tradnl"/>
        </w:rPr>
        <w:t>,</w:t>
      </w:r>
      <w:r w:rsidR="00D55C04" w:rsidRPr="00153074">
        <w:rPr>
          <w:lang w:val="es-ES_tradnl"/>
        </w:rPr>
        <w:t xml:space="preserve"> dado que </w:t>
      </w:r>
      <w:r w:rsidR="002A7792" w:rsidRPr="00153074">
        <w:rPr>
          <w:lang w:val="es-ES_tradnl"/>
        </w:rPr>
        <w:t>“</w:t>
      </w:r>
      <w:r w:rsidR="00D55C04" w:rsidRPr="00153074">
        <w:rPr>
          <w:lang w:val="es-ES_tradnl"/>
        </w:rPr>
        <w:t>en muchos países el principal proveedor de servicios básicos como la sanidad, la educación y la vivienda es el sector público</w:t>
      </w:r>
      <w:r w:rsidR="002A7792" w:rsidRPr="00153074">
        <w:rPr>
          <w:lang w:val="es-ES_tradnl"/>
        </w:rPr>
        <w:t>”</w:t>
      </w:r>
      <w:r w:rsidR="005F72A9" w:rsidRPr="00153074">
        <w:rPr>
          <w:lang w:val="es-ES_tradnl"/>
        </w:rPr>
        <w:t>, o que los servicios públicos</w:t>
      </w:r>
      <w:r w:rsidR="00095276" w:rsidRPr="00153074">
        <w:rPr>
          <w:lang w:val="es-ES_tradnl"/>
        </w:rPr>
        <w:t xml:space="preserve"> </w:t>
      </w:r>
      <w:r w:rsidR="005F72A9" w:rsidRPr="00153074">
        <w:rPr>
          <w:lang w:val="es-ES_tradnl"/>
        </w:rPr>
        <w:t xml:space="preserve">pueden tener </w:t>
      </w:r>
      <w:r w:rsidR="002A7792" w:rsidRPr="00153074">
        <w:rPr>
          <w:lang w:val="es-ES_tradnl"/>
        </w:rPr>
        <w:t>“</w:t>
      </w:r>
      <w:r w:rsidR="005F72A9" w:rsidRPr="00153074">
        <w:rPr>
          <w:lang w:val="es-ES_tradnl"/>
        </w:rPr>
        <w:t xml:space="preserve">derechos exclusivos para </w:t>
      </w:r>
      <w:r w:rsidR="00057EB9" w:rsidRPr="00153074">
        <w:rPr>
          <w:lang w:val="es-ES_tradnl"/>
        </w:rPr>
        <w:t xml:space="preserve">ejercer en </w:t>
      </w:r>
      <w:r w:rsidR="005F72A9" w:rsidRPr="00153074">
        <w:rPr>
          <w:lang w:val="es-ES_tradnl"/>
        </w:rPr>
        <w:t>algunas áreas</w:t>
      </w:r>
      <w:r w:rsidR="002A7792" w:rsidRPr="00153074">
        <w:rPr>
          <w:lang w:val="es-ES_tradnl"/>
        </w:rPr>
        <w:t>”</w:t>
      </w:r>
      <w:r w:rsidR="000E7CCB" w:rsidRPr="00153074">
        <w:rPr>
          <w:lang w:val="es-ES_tradnl"/>
        </w:rPr>
        <w:t>,</w:t>
      </w:r>
      <w:r w:rsidR="00095276" w:rsidRPr="00153074">
        <w:rPr>
          <w:lang w:val="es-ES_tradnl"/>
        </w:rPr>
        <w:t xml:space="preserve"> </w:t>
      </w:r>
      <w:r w:rsidR="00614926" w:rsidRPr="00153074">
        <w:rPr>
          <w:lang w:val="es-ES_tradnl"/>
        </w:rPr>
        <w:t>estos presentan una serie de</w:t>
      </w:r>
      <w:r w:rsidR="00095276" w:rsidRPr="00153074">
        <w:rPr>
          <w:lang w:val="es-ES_tradnl"/>
        </w:rPr>
        <w:t xml:space="preserve"> obstáculos para el negocio inclusivo. </w:t>
      </w:r>
      <w:r w:rsidR="00057EB9" w:rsidRPr="00153074">
        <w:rPr>
          <w:lang w:val="es-ES_tradnl"/>
        </w:rPr>
        <w:t xml:space="preserve">Se </w:t>
      </w:r>
      <w:r w:rsidR="00614926" w:rsidRPr="00153074">
        <w:rPr>
          <w:lang w:val="es-ES_tradnl"/>
        </w:rPr>
        <w:t>afirma</w:t>
      </w:r>
      <w:r w:rsidR="00095276" w:rsidRPr="00153074">
        <w:rPr>
          <w:lang w:val="es-ES_tradnl"/>
        </w:rPr>
        <w:t xml:space="preserve"> que </w:t>
      </w:r>
      <w:r w:rsidR="002A7792" w:rsidRPr="00153074">
        <w:rPr>
          <w:lang w:val="es-ES_tradnl"/>
        </w:rPr>
        <w:t>“</w:t>
      </w:r>
      <w:r w:rsidR="00095276" w:rsidRPr="00153074">
        <w:rPr>
          <w:lang w:val="es-ES_tradnl"/>
        </w:rPr>
        <w:t>fomentar la sanidad privada</w:t>
      </w:r>
      <w:r w:rsidR="002A7792" w:rsidRPr="00153074">
        <w:rPr>
          <w:lang w:val="es-ES_tradnl"/>
        </w:rPr>
        <w:t>”</w:t>
      </w:r>
      <w:r w:rsidR="00095276" w:rsidRPr="00153074">
        <w:rPr>
          <w:lang w:val="es-ES_tradnl"/>
        </w:rPr>
        <w:t xml:space="preserve"> genera </w:t>
      </w:r>
      <w:r w:rsidR="002A7792" w:rsidRPr="00153074">
        <w:rPr>
          <w:lang w:val="es-ES_tradnl"/>
        </w:rPr>
        <w:t>“</w:t>
      </w:r>
      <w:r w:rsidR="00095276" w:rsidRPr="00153074">
        <w:rPr>
          <w:lang w:val="es-ES_tradnl"/>
        </w:rPr>
        <w:t xml:space="preserve">oportunidades para </w:t>
      </w:r>
      <w:r w:rsidR="00057EB9" w:rsidRPr="00153074">
        <w:rPr>
          <w:lang w:val="es-ES_tradnl"/>
        </w:rPr>
        <w:t xml:space="preserve">los </w:t>
      </w:r>
      <w:r w:rsidR="00095276" w:rsidRPr="00153074">
        <w:rPr>
          <w:lang w:val="es-ES_tradnl"/>
        </w:rPr>
        <w:t>pacientes de bajos ingresos</w:t>
      </w:r>
      <w:r w:rsidR="002A7792" w:rsidRPr="00153074">
        <w:rPr>
          <w:lang w:val="es-ES_tradnl"/>
        </w:rPr>
        <w:t>”</w:t>
      </w:r>
      <w:r w:rsidR="00614926" w:rsidRPr="00153074">
        <w:rPr>
          <w:lang w:val="es-ES_tradnl"/>
        </w:rPr>
        <w:t>. Pero</w:t>
      </w:r>
      <w:r w:rsidR="00095276" w:rsidRPr="00153074">
        <w:rPr>
          <w:lang w:val="es-ES_tradnl"/>
        </w:rPr>
        <w:t xml:space="preserve">, irónicamente, el modelo inclusivo parece depender en gran medida de las subvenciones del </w:t>
      </w:r>
      <w:r w:rsidR="00864464" w:rsidRPr="00153074">
        <w:rPr>
          <w:lang w:val="es-ES_tradnl"/>
        </w:rPr>
        <w:t>Gobierno</w:t>
      </w:r>
      <w:r w:rsidR="00095276" w:rsidRPr="00153074">
        <w:rPr>
          <w:lang w:val="es-ES_tradnl"/>
        </w:rPr>
        <w:t>. L</w:t>
      </w:r>
      <w:r w:rsidR="00057EB9" w:rsidRPr="00153074">
        <w:rPr>
          <w:lang w:val="es-ES_tradnl"/>
        </w:rPr>
        <w:t xml:space="preserve">a asistencia técnica a las </w:t>
      </w:r>
      <w:r w:rsidR="00B66968" w:rsidRPr="00153074">
        <w:rPr>
          <w:lang w:val="es-ES_tradnl"/>
        </w:rPr>
        <w:t>pymes</w:t>
      </w:r>
      <w:r w:rsidR="00095276" w:rsidRPr="00153074">
        <w:rPr>
          <w:lang w:val="es-ES_tradnl"/>
        </w:rPr>
        <w:t xml:space="preserve"> financiada por el </w:t>
      </w:r>
      <w:r w:rsidR="00864464" w:rsidRPr="00153074">
        <w:rPr>
          <w:lang w:val="es-ES_tradnl"/>
        </w:rPr>
        <w:t>Gobierno</w:t>
      </w:r>
      <w:r w:rsidR="00095276" w:rsidRPr="00153074">
        <w:rPr>
          <w:lang w:val="es-ES_tradnl"/>
        </w:rPr>
        <w:t xml:space="preserve"> y </w:t>
      </w:r>
      <w:r w:rsidR="002A7792" w:rsidRPr="00153074">
        <w:rPr>
          <w:lang w:val="es-ES_tradnl"/>
        </w:rPr>
        <w:t>“</w:t>
      </w:r>
      <w:r w:rsidR="00095276" w:rsidRPr="00153074">
        <w:rPr>
          <w:lang w:val="es-ES_tradnl"/>
        </w:rPr>
        <w:t>la inversión pública en infraestructura básica</w:t>
      </w:r>
      <w:r w:rsidR="002A7792" w:rsidRPr="00153074">
        <w:rPr>
          <w:lang w:val="es-ES_tradnl"/>
        </w:rPr>
        <w:t>”</w:t>
      </w:r>
      <w:r w:rsidR="00095276" w:rsidRPr="00153074">
        <w:rPr>
          <w:lang w:val="es-ES_tradnl"/>
        </w:rPr>
        <w:t xml:space="preserve"> son requisitos necesarios para el marco inclusivo del WBCSD. Es más,</w:t>
      </w:r>
      <w:r w:rsidR="00B1268C" w:rsidRPr="00153074">
        <w:rPr>
          <w:lang w:val="es-ES_tradnl"/>
        </w:rPr>
        <w:t xml:space="preserve"> </w:t>
      </w:r>
      <w:r w:rsidR="00D55C04" w:rsidRPr="00153074">
        <w:rPr>
          <w:lang w:val="es-ES_tradnl"/>
        </w:rPr>
        <w:t xml:space="preserve">la CFI sostiene que para </w:t>
      </w:r>
      <w:r w:rsidR="002A7792" w:rsidRPr="00153074">
        <w:rPr>
          <w:lang w:val="es-ES_tradnl"/>
        </w:rPr>
        <w:t>“</w:t>
      </w:r>
      <w:r w:rsidR="00095276" w:rsidRPr="00153074">
        <w:rPr>
          <w:lang w:val="es-ES_tradnl"/>
        </w:rPr>
        <w:t>la gente que no puede permitirse bienes y servicios básicos</w:t>
      </w:r>
      <w:r w:rsidR="002A7792" w:rsidRPr="00153074">
        <w:rPr>
          <w:lang w:val="es-ES_tradnl"/>
        </w:rPr>
        <w:t>”</w:t>
      </w:r>
      <w:r w:rsidR="00B1268C" w:rsidRPr="00153074">
        <w:rPr>
          <w:lang w:val="es-ES_tradnl"/>
        </w:rPr>
        <w:t xml:space="preserve"> [</w:t>
      </w:r>
      <w:r w:rsidR="00095276" w:rsidRPr="00153074">
        <w:rPr>
          <w:lang w:val="es-ES_tradnl"/>
        </w:rPr>
        <w:t>proporcionados por empresas privadas</w:t>
      </w:r>
      <w:r w:rsidR="00B1268C" w:rsidRPr="00153074">
        <w:rPr>
          <w:lang w:val="es-ES_tradnl"/>
        </w:rPr>
        <w:t xml:space="preserve">] </w:t>
      </w:r>
      <w:r w:rsidR="002A7792" w:rsidRPr="00153074">
        <w:rPr>
          <w:lang w:val="es-ES_tradnl"/>
        </w:rPr>
        <w:t>“</w:t>
      </w:r>
      <w:r w:rsidR="00095276" w:rsidRPr="00153074">
        <w:rPr>
          <w:lang w:val="es-ES_tradnl"/>
        </w:rPr>
        <w:t xml:space="preserve">las subvenciones del </w:t>
      </w:r>
      <w:r w:rsidR="00864464" w:rsidRPr="00153074">
        <w:rPr>
          <w:lang w:val="es-ES_tradnl"/>
        </w:rPr>
        <w:t>Gobierno</w:t>
      </w:r>
      <w:r w:rsidR="00095276" w:rsidRPr="00153074">
        <w:rPr>
          <w:lang w:val="es-ES_tradnl"/>
        </w:rPr>
        <w:t xml:space="preserve"> podría </w:t>
      </w:r>
      <w:r w:rsidR="00614926" w:rsidRPr="00153074">
        <w:rPr>
          <w:lang w:val="es-ES_tradnl"/>
        </w:rPr>
        <w:t>resultar</w:t>
      </w:r>
      <w:r w:rsidR="00095276" w:rsidRPr="00153074">
        <w:rPr>
          <w:lang w:val="es-ES_tradnl"/>
        </w:rPr>
        <w:t xml:space="preserve"> más adecuadas</w:t>
      </w:r>
      <w:r w:rsidR="002A7792" w:rsidRPr="00153074">
        <w:rPr>
          <w:lang w:val="es-ES_tradnl"/>
        </w:rPr>
        <w:t>”</w:t>
      </w:r>
      <w:r w:rsidR="00614926" w:rsidRPr="00153074">
        <w:rPr>
          <w:lang w:val="es-ES_tradnl"/>
        </w:rPr>
        <w:t xml:space="preserve">, al igual que </w:t>
      </w:r>
      <w:r w:rsidR="008C5916" w:rsidRPr="00153074">
        <w:rPr>
          <w:lang w:val="es-ES_tradnl"/>
        </w:rPr>
        <w:t xml:space="preserve">para </w:t>
      </w:r>
      <w:r w:rsidR="00614926" w:rsidRPr="00153074">
        <w:rPr>
          <w:lang w:val="es-ES_tradnl"/>
        </w:rPr>
        <w:t xml:space="preserve">las </w:t>
      </w:r>
      <w:r w:rsidR="008C5916" w:rsidRPr="00153074">
        <w:rPr>
          <w:lang w:val="es-ES_tradnl"/>
        </w:rPr>
        <w:t xml:space="preserve">empresas públicas que se benefician de </w:t>
      </w:r>
      <w:r w:rsidR="002A7792" w:rsidRPr="00153074">
        <w:rPr>
          <w:lang w:val="es-ES_tradnl"/>
        </w:rPr>
        <w:t>“</w:t>
      </w:r>
      <w:r w:rsidR="008C5916" w:rsidRPr="00153074">
        <w:rPr>
          <w:lang w:val="es-ES_tradnl"/>
        </w:rPr>
        <w:t>subvenciones de apalancamiento</w:t>
      </w:r>
      <w:r w:rsidR="002A7792" w:rsidRPr="00153074">
        <w:rPr>
          <w:lang w:val="es-ES_tradnl"/>
        </w:rPr>
        <w:t>”</w:t>
      </w:r>
      <w:r w:rsidR="00B1268C" w:rsidRPr="00153074">
        <w:rPr>
          <w:lang w:val="es-ES_tradnl"/>
        </w:rPr>
        <w:t>.</w:t>
      </w:r>
    </w:p>
    <w:p w:rsidR="00B1268C" w:rsidRPr="00153074" w:rsidRDefault="00B1268C" w:rsidP="007462FA">
      <w:pPr>
        <w:jc w:val="both"/>
        <w:rPr>
          <w:rFonts w:ascii="Arial" w:hAnsi="Arial" w:cs="Arial"/>
          <w:sz w:val="20"/>
          <w:szCs w:val="20"/>
          <w:lang w:val="es-ES_tradnl"/>
        </w:rPr>
      </w:pPr>
    </w:p>
    <w:p w:rsidR="00B1268C" w:rsidRPr="00153074" w:rsidRDefault="00B1268C" w:rsidP="008D3287">
      <w:pPr>
        <w:rPr>
          <w:lang w:val="es-ES_tradnl"/>
        </w:rPr>
      </w:pPr>
      <w:bookmarkStart w:id="72" w:name="_Toc349152798"/>
    </w:p>
    <w:p w:rsidR="00B1268C" w:rsidRPr="00153074" w:rsidRDefault="00B1268C" w:rsidP="00C90AC0">
      <w:pPr>
        <w:pStyle w:val="Heading2"/>
        <w:rPr>
          <w:lang w:val="es-ES_tradnl"/>
        </w:rPr>
      </w:pPr>
      <w:bookmarkStart w:id="73" w:name="_Toc230681469"/>
      <w:bookmarkStart w:id="74" w:name="_Toc359331993"/>
      <w:bookmarkStart w:id="75" w:name="_Toc369604928"/>
      <w:r w:rsidRPr="00153074">
        <w:rPr>
          <w:lang w:val="es-ES_tradnl"/>
        </w:rPr>
        <w:lastRenderedPageBreak/>
        <w:t>Impact</w:t>
      </w:r>
      <w:r w:rsidR="00451545" w:rsidRPr="00153074">
        <w:rPr>
          <w:lang w:val="es-ES_tradnl"/>
        </w:rPr>
        <w:t>o</w:t>
      </w:r>
      <w:bookmarkEnd w:id="73"/>
      <w:bookmarkEnd w:id="74"/>
      <w:r w:rsidR="00451545" w:rsidRPr="00153074">
        <w:rPr>
          <w:lang w:val="es-ES_tradnl"/>
        </w:rPr>
        <w:t xml:space="preserve"> en los objetivos de desarrollo</w:t>
      </w:r>
      <w:bookmarkEnd w:id="75"/>
    </w:p>
    <w:bookmarkEnd w:id="72"/>
    <w:p w:rsidR="00591643" w:rsidRPr="00153074" w:rsidRDefault="00451545" w:rsidP="007462FA">
      <w:pPr>
        <w:jc w:val="both"/>
        <w:rPr>
          <w:lang w:val="es-ES_tradnl"/>
        </w:rPr>
      </w:pPr>
      <w:r w:rsidRPr="00153074">
        <w:rPr>
          <w:lang w:val="es-ES_tradnl"/>
        </w:rPr>
        <w:t>A primera vista, un propulsor clave de la iniciativa del sector privado para el desarrollo debería ser su rendimiento supuestamente superior a la hora de cumplir los objetivos de desarrollo.</w:t>
      </w:r>
      <w:r w:rsidR="00591643" w:rsidRPr="00153074">
        <w:rPr>
          <w:lang w:val="es-ES_tradnl"/>
        </w:rPr>
        <w:t xml:space="preserve"> </w:t>
      </w:r>
      <w:r w:rsidR="008A7529" w:rsidRPr="00153074">
        <w:rPr>
          <w:lang w:val="es-ES_tradnl"/>
        </w:rPr>
        <w:t>Dicho de otro modo</w:t>
      </w:r>
      <w:r w:rsidR="00993488" w:rsidRPr="00153074">
        <w:rPr>
          <w:lang w:val="es-ES_tradnl"/>
        </w:rPr>
        <w:t>, como lo expresa</w:t>
      </w:r>
      <w:r w:rsidR="008A7529" w:rsidRPr="00153074">
        <w:rPr>
          <w:lang w:val="es-ES_tradnl"/>
        </w:rPr>
        <w:t xml:space="preserve"> </w:t>
      </w:r>
      <w:r w:rsidR="00D40A8E" w:rsidRPr="00153074">
        <w:rPr>
          <w:lang w:val="es-ES_tradnl"/>
        </w:rPr>
        <w:t>el informe Reality of Aid 2012:</w:t>
      </w:r>
      <w:r w:rsidR="00591643" w:rsidRPr="00153074">
        <w:rPr>
          <w:lang w:val="es-ES_tradnl"/>
        </w:rPr>
        <w:t xml:space="preserve"> </w:t>
      </w:r>
      <w:r w:rsidR="002A7792" w:rsidRPr="00153074">
        <w:rPr>
          <w:lang w:val="es-ES_tradnl"/>
        </w:rPr>
        <w:t>“</w:t>
      </w:r>
      <w:r w:rsidR="00D40A8E" w:rsidRPr="00153074">
        <w:rPr>
          <w:lang w:val="es-ES_tradnl"/>
        </w:rPr>
        <w:t>L</w:t>
      </w:r>
      <w:r w:rsidR="00591643" w:rsidRPr="00153074">
        <w:rPr>
          <w:lang w:val="es-ES_tradnl"/>
        </w:rPr>
        <w:t xml:space="preserve">as estrategias de desarrollo del sector privado deberían estar dirigidas a las áreas y sectores donde </w:t>
      </w:r>
      <w:r w:rsidR="000C5464" w:rsidRPr="00153074">
        <w:rPr>
          <w:lang w:val="es-ES_tradnl"/>
        </w:rPr>
        <w:t>las poblaciones</w:t>
      </w:r>
      <w:r w:rsidR="00591643" w:rsidRPr="00153074">
        <w:rPr>
          <w:lang w:val="es-ES_tradnl"/>
        </w:rPr>
        <w:t xml:space="preserve"> pobres viven y son </w:t>
      </w:r>
      <w:r w:rsidR="00C64BFC" w:rsidRPr="00153074">
        <w:rPr>
          <w:lang w:val="es-ES_tradnl"/>
        </w:rPr>
        <w:t>profesionalmente</w:t>
      </w:r>
      <w:r w:rsidR="000C5464" w:rsidRPr="00153074">
        <w:rPr>
          <w:lang w:val="es-ES_tradnl"/>
        </w:rPr>
        <w:t xml:space="preserve"> activa</w:t>
      </w:r>
      <w:r w:rsidR="00591643" w:rsidRPr="00153074">
        <w:rPr>
          <w:lang w:val="es-ES_tradnl"/>
        </w:rPr>
        <w:t xml:space="preserve">s, </w:t>
      </w:r>
      <w:r w:rsidR="000C5464" w:rsidRPr="00153074">
        <w:rPr>
          <w:lang w:val="es-ES_tradnl"/>
        </w:rPr>
        <w:t>y tener</w:t>
      </w:r>
      <w:r w:rsidR="00591643" w:rsidRPr="00153074">
        <w:rPr>
          <w:lang w:val="es-ES_tradnl"/>
        </w:rPr>
        <w:t xml:space="preserve"> </w:t>
      </w:r>
      <w:r w:rsidR="00C64BFC" w:rsidRPr="00153074">
        <w:rPr>
          <w:lang w:val="es-ES_tradnl"/>
        </w:rPr>
        <w:t xml:space="preserve">en </w:t>
      </w:r>
      <w:r w:rsidR="00591643" w:rsidRPr="00153074">
        <w:rPr>
          <w:lang w:val="es-ES_tradnl"/>
        </w:rPr>
        <w:t>cuenta sus intereses y necesidades</w:t>
      </w:r>
      <w:r w:rsidR="002A7792" w:rsidRPr="00153074">
        <w:rPr>
          <w:lang w:val="es-ES_tradnl"/>
        </w:rPr>
        <w:t>”</w:t>
      </w:r>
      <w:r w:rsidR="00B1268C" w:rsidRPr="00153074">
        <w:rPr>
          <w:lang w:val="es-ES_tradnl"/>
        </w:rPr>
        <w:t xml:space="preserve"> (RoA 2012). </w:t>
      </w:r>
      <w:r w:rsidR="00C64BFC" w:rsidRPr="00153074">
        <w:rPr>
          <w:lang w:val="es-ES_tradnl"/>
        </w:rPr>
        <w:t>El s</w:t>
      </w:r>
      <w:r w:rsidR="00591643" w:rsidRPr="00153074">
        <w:rPr>
          <w:lang w:val="es-ES_tradnl"/>
        </w:rPr>
        <w:t xml:space="preserve">ector privado en el desarrollo debería demostrar </w:t>
      </w:r>
      <w:r w:rsidR="001A3D9B" w:rsidRPr="00153074">
        <w:rPr>
          <w:lang w:val="es-ES_tradnl"/>
        </w:rPr>
        <w:t xml:space="preserve">abiertamente </w:t>
      </w:r>
      <w:r w:rsidR="00591643" w:rsidRPr="00153074">
        <w:rPr>
          <w:lang w:val="es-ES_tradnl"/>
        </w:rPr>
        <w:t>el impacto económico, social y medioambiental y la contribución</w:t>
      </w:r>
      <w:r w:rsidR="00AC04FB" w:rsidRPr="00153074">
        <w:rPr>
          <w:lang w:val="es-ES_tradnl"/>
        </w:rPr>
        <w:t xml:space="preserve"> al crecimiento</w:t>
      </w:r>
      <w:r w:rsidR="00591643" w:rsidRPr="00153074">
        <w:rPr>
          <w:lang w:val="es-ES_tradnl"/>
        </w:rPr>
        <w:t xml:space="preserve"> económico y la creación de riqueza para aquellos segmentos de la sociedad</w:t>
      </w:r>
      <w:r w:rsidR="00AC04FB" w:rsidRPr="00153074">
        <w:rPr>
          <w:lang w:val="es-ES_tradnl"/>
        </w:rPr>
        <w:t xml:space="preserve"> que más afectados se encuentra</w:t>
      </w:r>
      <w:r w:rsidR="00C64BFC" w:rsidRPr="00153074">
        <w:rPr>
          <w:lang w:val="es-ES_tradnl"/>
        </w:rPr>
        <w:t>n por la pobreza. E</w:t>
      </w:r>
      <w:r w:rsidR="00AC04FB" w:rsidRPr="00153074">
        <w:rPr>
          <w:lang w:val="es-ES_tradnl"/>
        </w:rPr>
        <w:t>so</w:t>
      </w:r>
      <w:r w:rsidR="00C64BFC" w:rsidRPr="00153074">
        <w:rPr>
          <w:lang w:val="es-ES_tradnl"/>
        </w:rPr>
        <w:t xml:space="preserve">, sin embargo, </w:t>
      </w:r>
      <w:r w:rsidR="00AC04FB" w:rsidRPr="00153074">
        <w:rPr>
          <w:lang w:val="es-ES_tradnl"/>
        </w:rPr>
        <w:t xml:space="preserve">sigue siendo un punto débil. </w:t>
      </w:r>
    </w:p>
    <w:p w:rsidR="00B1268C" w:rsidRPr="00153074" w:rsidRDefault="00B1268C" w:rsidP="007462FA">
      <w:pPr>
        <w:jc w:val="both"/>
        <w:rPr>
          <w:rFonts w:ascii="Arial" w:hAnsi="Arial" w:cs="Arial"/>
          <w:sz w:val="20"/>
          <w:szCs w:val="20"/>
          <w:lang w:val="es-ES_tradnl"/>
        </w:rPr>
      </w:pPr>
    </w:p>
    <w:p w:rsidR="00B1268C" w:rsidRPr="00153074" w:rsidRDefault="009F5C97" w:rsidP="007462FA">
      <w:pPr>
        <w:pStyle w:val="Heading3"/>
        <w:rPr>
          <w:lang w:val="es-ES_tradnl"/>
        </w:rPr>
      </w:pPr>
      <w:bookmarkStart w:id="76" w:name="_Toc369604929"/>
      <w:r w:rsidRPr="00153074">
        <w:rPr>
          <w:lang w:val="es-ES_tradnl"/>
        </w:rPr>
        <w:t>Falta de diligencia</w:t>
      </w:r>
      <w:bookmarkEnd w:id="76"/>
    </w:p>
    <w:p w:rsidR="00B1268C" w:rsidRPr="00153074" w:rsidRDefault="00AC04FB" w:rsidP="007462FA">
      <w:pPr>
        <w:jc w:val="both"/>
        <w:rPr>
          <w:lang w:val="es-ES_tradnl"/>
        </w:rPr>
      </w:pPr>
      <w:r w:rsidRPr="00153074">
        <w:rPr>
          <w:lang w:val="es-ES_tradnl"/>
        </w:rPr>
        <w:t xml:space="preserve">Tal y como lo expresa el informe Reality of Aid 2012, </w:t>
      </w:r>
      <w:r w:rsidR="002A7792" w:rsidRPr="00153074">
        <w:rPr>
          <w:lang w:val="es-ES_tradnl"/>
        </w:rPr>
        <w:t>“</w:t>
      </w:r>
      <w:r w:rsidRPr="00153074">
        <w:rPr>
          <w:lang w:val="es-ES_tradnl"/>
        </w:rPr>
        <w:t xml:space="preserve">los donantes, en su mayor parte, han </w:t>
      </w:r>
      <w:r w:rsidRPr="00153074">
        <w:rPr>
          <w:i/>
          <w:lang w:val="es-ES_tradnl"/>
        </w:rPr>
        <w:t xml:space="preserve">fracasado </w:t>
      </w:r>
      <w:r w:rsidRPr="00153074">
        <w:rPr>
          <w:lang w:val="es-ES_tradnl"/>
        </w:rPr>
        <w:t xml:space="preserve">a la hora de analizar </w:t>
      </w:r>
      <w:r w:rsidR="007A6161" w:rsidRPr="00153074">
        <w:rPr>
          <w:lang w:val="es-ES_tradnl"/>
        </w:rPr>
        <w:t>la manera en que</w:t>
      </w:r>
      <w:r w:rsidR="000C5464" w:rsidRPr="00153074">
        <w:rPr>
          <w:lang w:val="es-ES_tradnl"/>
        </w:rPr>
        <w:t xml:space="preserve"> las</w:t>
      </w:r>
      <w:r w:rsidRPr="00153074">
        <w:rPr>
          <w:lang w:val="es-ES_tradnl"/>
        </w:rPr>
        <w:t xml:space="preserve"> diversas formas de actividades económicas pueden contribuir realmente </w:t>
      </w:r>
      <w:r w:rsidR="00A52401" w:rsidRPr="00153074">
        <w:rPr>
          <w:lang w:val="es-ES_tradnl"/>
        </w:rPr>
        <w:t xml:space="preserve">a </w:t>
      </w:r>
      <w:r w:rsidR="001A3D9B" w:rsidRPr="00153074">
        <w:rPr>
          <w:lang w:val="es-ES_tradnl"/>
        </w:rPr>
        <w:t>la reducción de</w:t>
      </w:r>
      <w:r w:rsidR="00A52401" w:rsidRPr="00153074">
        <w:rPr>
          <w:lang w:val="es-ES_tradnl"/>
        </w:rPr>
        <w:t xml:space="preserve"> la pobreza</w:t>
      </w:r>
      <w:r w:rsidR="00C64BFC" w:rsidRPr="00153074">
        <w:rPr>
          <w:lang w:val="es-ES_tradnl"/>
        </w:rPr>
        <w:t xml:space="preserve"> (</w:t>
      </w:r>
      <w:r w:rsidR="00A52401" w:rsidRPr="00153074">
        <w:rPr>
          <w:lang w:val="es-ES_tradnl"/>
        </w:rPr>
        <w:t>y</w:t>
      </w:r>
      <w:r w:rsidR="00C64BFC" w:rsidRPr="00153074">
        <w:rPr>
          <w:lang w:val="es-ES_tradnl"/>
        </w:rPr>
        <w:t>)</w:t>
      </w:r>
      <w:r w:rsidR="00A52401" w:rsidRPr="00153074">
        <w:rPr>
          <w:lang w:val="es-ES_tradnl"/>
        </w:rPr>
        <w:t xml:space="preserve"> </w:t>
      </w:r>
      <w:r w:rsidR="00416CF1" w:rsidRPr="00153074">
        <w:rPr>
          <w:lang w:val="es-ES_tradnl"/>
        </w:rPr>
        <w:t xml:space="preserve">se observa una </w:t>
      </w:r>
      <w:r w:rsidR="00416CF1" w:rsidRPr="00153074">
        <w:rPr>
          <w:i/>
          <w:lang w:val="es-ES_tradnl"/>
        </w:rPr>
        <w:t>falta de</w:t>
      </w:r>
      <w:r w:rsidR="00A52401" w:rsidRPr="00153074">
        <w:rPr>
          <w:i/>
          <w:lang w:val="es-ES_tradnl"/>
        </w:rPr>
        <w:t xml:space="preserve"> diligencia </w:t>
      </w:r>
      <w:r w:rsidR="00A52401" w:rsidRPr="00153074">
        <w:rPr>
          <w:lang w:val="es-ES_tradnl"/>
        </w:rPr>
        <w:t>en la valoració</w:t>
      </w:r>
      <w:r w:rsidR="00D36456" w:rsidRPr="00153074">
        <w:rPr>
          <w:lang w:val="es-ES_tradnl"/>
        </w:rPr>
        <w:t>n de los impactos distributivos,</w:t>
      </w:r>
      <w:r w:rsidR="00A52401" w:rsidRPr="00153074">
        <w:rPr>
          <w:lang w:val="es-ES_tradnl"/>
        </w:rPr>
        <w:t xml:space="preserve"> o los efectos potenciales de diversas formas de desarrollo del sector privado en los medios de subsistencia, activos y capacidades de las poblaciones pobres</w:t>
      </w:r>
      <w:r w:rsidR="002A7792" w:rsidRPr="00153074">
        <w:rPr>
          <w:lang w:val="es-ES_tradnl"/>
        </w:rPr>
        <w:t>”</w:t>
      </w:r>
      <w:r w:rsidR="00B1268C" w:rsidRPr="00153074">
        <w:rPr>
          <w:lang w:val="es-ES_tradnl"/>
        </w:rPr>
        <w:t xml:space="preserve"> (RoA 2012).</w:t>
      </w:r>
    </w:p>
    <w:p w:rsidR="00B1268C" w:rsidRPr="00153074" w:rsidRDefault="00B1268C" w:rsidP="007462FA">
      <w:pPr>
        <w:jc w:val="both"/>
        <w:rPr>
          <w:rFonts w:ascii="Arial" w:hAnsi="Arial" w:cs="Arial"/>
          <w:sz w:val="20"/>
          <w:szCs w:val="20"/>
          <w:lang w:val="es-ES_tradnl"/>
        </w:rPr>
      </w:pPr>
    </w:p>
    <w:p w:rsidR="007C02EA" w:rsidRPr="00153074" w:rsidRDefault="003C6E55" w:rsidP="007462FA">
      <w:pPr>
        <w:jc w:val="both"/>
        <w:rPr>
          <w:lang w:val="es-ES_tradnl"/>
        </w:rPr>
      </w:pPr>
      <w:r w:rsidRPr="00153074">
        <w:rPr>
          <w:lang w:val="es-ES_tradnl"/>
        </w:rPr>
        <w:t>Al examinar las iniciativas multilaterales encontramos igualmente q</w:t>
      </w:r>
      <w:r w:rsidR="00221668" w:rsidRPr="00153074">
        <w:rPr>
          <w:lang w:val="es-ES_tradnl"/>
        </w:rPr>
        <w:t xml:space="preserve">ue </w:t>
      </w:r>
      <w:r w:rsidRPr="00153074">
        <w:rPr>
          <w:lang w:val="es-ES_tradnl"/>
        </w:rPr>
        <w:t xml:space="preserve">la capacidad para evaluar el impacto del sector privado en la pobreza es </w:t>
      </w:r>
      <w:r w:rsidR="00221668" w:rsidRPr="00153074">
        <w:rPr>
          <w:lang w:val="es-ES_tradnl"/>
        </w:rPr>
        <w:t xml:space="preserve">más bien </w:t>
      </w:r>
      <w:r w:rsidR="00D36456" w:rsidRPr="00153074">
        <w:rPr>
          <w:lang w:val="es-ES_tradnl"/>
        </w:rPr>
        <w:t>floja</w:t>
      </w:r>
      <w:r w:rsidRPr="00153074">
        <w:rPr>
          <w:lang w:val="es-ES_tradnl"/>
        </w:rPr>
        <w:t>. Por ejemplo, según una auditoría realizada por</w:t>
      </w:r>
      <w:r w:rsidR="008B38EF" w:rsidRPr="00153074">
        <w:rPr>
          <w:lang w:val="es-ES_tradnl"/>
        </w:rPr>
        <w:t xml:space="preserve"> el Defensor del Pueblo –</w:t>
      </w:r>
      <w:r w:rsidRPr="00153074">
        <w:rPr>
          <w:lang w:val="es-ES_tradnl"/>
        </w:rPr>
        <w:t xml:space="preserve"> l</w:t>
      </w:r>
      <w:r w:rsidRPr="00153074">
        <w:rPr>
          <w:rStyle w:val="st"/>
          <w:lang w:val="es-ES_tradnl"/>
        </w:rPr>
        <w:t>a</w:t>
      </w:r>
      <w:r w:rsidR="008B38EF" w:rsidRPr="00153074">
        <w:rPr>
          <w:rStyle w:val="st"/>
          <w:lang w:val="es-ES_tradnl"/>
        </w:rPr>
        <w:t xml:space="preserve"> </w:t>
      </w:r>
      <w:r w:rsidRPr="00153074">
        <w:rPr>
          <w:rStyle w:val="st"/>
          <w:lang w:val="es-ES_tradnl"/>
        </w:rPr>
        <w:t>Oficina del Ombudsman y Asesor en materia de Observancia (</w:t>
      </w:r>
      <w:r w:rsidRPr="00153074">
        <w:rPr>
          <w:rStyle w:val="Emphasis"/>
          <w:i w:val="0"/>
          <w:lang w:val="es-ES_tradnl"/>
        </w:rPr>
        <w:t>CAO,</w:t>
      </w:r>
      <w:r w:rsidRPr="00153074">
        <w:rPr>
          <w:rStyle w:val="st"/>
          <w:lang w:val="es-ES_tradnl"/>
        </w:rPr>
        <w:t xml:space="preserve"> por sus siglas en inglés)</w:t>
      </w:r>
      <w:r w:rsidR="00221668" w:rsidRPr="00153074">
        <w:rPr>
          <w:rStyle w:val="st"/>
          <w:lang w:val="es-ES_tradnl"/>
        </w:rPr>
        <w:t xml:space="preserve"> d</w:t>
      </w:r>
      <w:r w:rsidR="008B38EF" w:rsidRPr="00153074">
        <w:rPr>
          <w:rStyle w:val="st"/>
          <w:lang w:val="es-ES_tradnl"/>
        </w:rPr>
        <w:t>el Banco Mundial –</w:t>
      </w:r>
      <w:r w:rsidR="00501012" w:rsidRPr="00153074">
        <w:rPr>
          <w:rStyle w:val="st"/>
          <w:lang w:val="es-ES_tradnl"/>
        </w:rPr>
        <w:t>,</w:t>
      </w:r>
      <w:r w:rsidRPr="00153074">
        <w:rPr>
          <w:rStyle w:val="st"/>
          <w:lang w:val="es-ES_tradnl"/>
        </w:rPr>
        <w:t xml:space="preserve"> y</w:t>
      </w:r>
      <w:r w:rsidR="008B38EF" w:rsidRPr="00153074">
        <w:rPr>
          <w:rStyle w:val="st"/>
          <w:lang w:val="es-ES_tradnl"/>
        </w:rPr>
        <w:t xml:space="preserve"> </w:t>
      </w:r>
      <w:r w:rsidRPr="00153074">
        <w:rPr>
          <w:rStyle w:val="st"/>
          <w:lang w:val="es-ES_tradnl"/>
        </w:rPr>
        <w:t>como lo indica el Proyecto</w:t>
      </w:r>
      <w:r w:rsidRPr="00153074">
        <w:rPr>
          <w:lang w:val="es-ES_tradnl"/>
        </w:rPr>
        <w:t xml:space="preserve"> Bretton Woods, la CFI </w:t>
      </w:r>
      <w:r w:rsidR="002A7792" w:rsidRPr="00153074">
        <w:rPr>
          <w:lang w:val="es-ES_tradnl"/>
        </w:rPr>
        <w:t>“</w:t>
      </w:r>
      <w:r w:rsidR="00791FA5" w:rsidRPr="00153074">
        <w:rPr>
          <w:lang w:val="es-ES_tradnl"/>
        </w:rPr>
        <w:t>sabe muy poco</w:t>
      </w:r>
      <w:r w:rsidR="002A7792" w:rsidRPr="00153074">
        <w:rPr>
          <w:lang w:val="es-ES_tradnl"/>
        </w:rPr>
        <w:t>”</w:t>
      </w:r>
      <w:r w:rsidR="00791FA5" w:rsidRPr="00153074">
        <w:rPr>
          <w:lang w:val="es-ES_tradnl"/>
        </w:rPr>
        <w:t xml:space="preserve"> acerca de los posibles impactos ambientales y sociales de los préstamos de su mercado financiero, que representa más del </w:t>
      </w:r>
      <w:r w:rsidR="00B1268C" w:rsidRPr="00153074">
        <w:rPr>
          <w:lang w:val="es-ES_tradnl"/>
        </w:rPr>
        <w:t xml:space="preserve">40% </w:t>
      </w:r>
      <w:r w:rsidR="00791FA5" w:rsidRPr="00153074">
        <w:rPr>
          <w:lang w:val="es-ES_tradnl"/>
        </w:rPr>
        <w:t xml:space="preserve">de la cartera de la CFI, valorada en casi </w:t>
      </w:r>
      <w:r w:rsidR="003A4EDB" w:rsidRPr="00153074">
        <w:rPr>
          <w:lang w:val="es-ES_tradnl"/>
        </w:rPr>
        <w:t>20.000 millones USD</w:t>
      </w:r>
      <w:r w:rsidR="00B1268C" w:rsidRPr="00153074">
        <w:rPr>
          <w:lang w:val="es-ES_tradnl"/>
        </w:rPr>
        <w:t xml:space="preserve"> (BWP 2013). </w:t>
      </w:r>
      <w:r w:rsidR="007C02EA" w:rsidRPr="00153074">
        <w:rPr>
          <w:lang w:val="es-ES_tradnl"/>
        </w:rPr>
        <w:t>La auditoría de</w:t>
      </w:r>
      <w:r w:rsidR="00501012" w:rsidRPr="00153074">
        <w:rPr>
          <w:lang w:val="es-ES_tradnl"/>
        </w:rPr>
        <w:t>l</w:t>
      </w:r>
      <w:r w:rsidR="007C02EA" w:rsidRPr="00153074">
        <w:rPr>
          <w:lang w:val="es-ES_tradnl"/>
        </w:rPr>
        <w:t xml:space="preserve"> </w:t>
      </w:r>
      <w:r w:rsidR="00B1268C" w:rsidRPr="00153074">
        <w:rPr>
          <w:lang w:val="es-ES_tradnl"/>
        </w:rPr>
        <w:t xml:space="preserve">CAO </w:t>
      </w:r>
      <w:r w:rsidR="007C02EA" w:rsidRPr="00153074">
        <w:rPr>
          <w:lang w:val="es-ES_tradnl"/>
        </w:rPr>
        <w:t>concluye que para esta creciente parte de la cartera, la CFI n</w:t>
      </w:r>
      <w:r w:rsidR="00221668" w:rsidRPr="00153074">
        <w:rPr>
          <w:lang w:val="es-ES_tradnl"/>
        </w:rPr>
        <w:t xml:space="preserve">o realiza </w:t>
      </w:r>
      <w:r w:rsidR="002A7792" w:rsidRPr="00153074">
        <w:rPr>
          <w:lang w:val="es-ES_tradnl"/>
        </w:rPr>
        <w:t>“</w:t>
      </w:r>
      <w:r w:rsidR="00221668" w:rsidRPr="00153074">
        <w:rPr>
          <w:lang w:val="es-ES_tradnl"/>
        </w:rPr>
        <w:t xml:space="preserve">ninguna </w:t>
      </w:r>
      <w:r w:rsidR="000D502A" w:rsidRPr="00153074">
        <w:rPr>
          <w:lang w:val="es-ES_tradnl"/>
        </w:rPr>
        <w:t xml:space="preserve">evaluación para comprobar si </w:t>
      </w:r>
      <w:r w:rsidR="00357AB3" w:rsidRPr="00153074">
        <w:rPr>
          <w:lang w:val="es-ES_tradnl"/>
        </w:rPr>
        <w:t xml:space="preserve">se están cumpliendo </w:t>
      </w:r>
      <w:r w:rsidR="007C02EA" w:rsidRPr="00153074">
        <w:rPr>
          <w:lang w:val="es-ES_tradnl"/>
        </w:rPr>
        <w:t xml:space="preserve">los requisitos [ambientales y sociales] </w:t>
      </w:r>
      <w:r w:rsidR="00386FD4" w:rsidRPr="00153074">
        <w:rPr>
          <w:lang w:val="es-ES_tradnl"/>
        </w:rPr>
        <w:t>de ‘no hacer daño’</w:t>
      </w:r>
      <w:r w:rsidR="002A7792" w:rsidRPr="00153074">
        <w:rPr>
          <w:lang w:val="es-ES_tradnl"/>
        </w:rPr>
        <w:t>”</w:t>
      </w:r>
      <w:r w:rsidR="007C02EA" w:rsidRPr="00153074">
        <w:rPr>
          <w:lang w:val="es-ES_tradnl"/>
        </w:rPr>
        <w:t>.</w:t>
      </w:r>
    </w:p>
    <w:p w:rsidR="00B1268C" w:rsidRPr="00153074" w:rsidRDefault="00B1268C" w:rsidP="007462FA">
      <w:pPr>
        <w:jc w:val="both"/>
        <w:rPr>
          <w:rFonts w:ascii="Arial" w:hAnsi="Arial" w:cs="Arial"/>
          <w:sz w:val="20"/>
          <w:szCs w:val="20"/>
          <w:lang w:val="es-ES_tradnl"/>
        </w:rPr>
      </w:pPr>
    </w:p>
    <w:p w:rsidR="00F72434" w:rsidRPr="00153074" w:rsidRDefault="008415A6" w:rsidP="007462FA">
      <w:pPr>
        <w:jc w:val="both"/>
        <w:rPr>
          <w:lang w:val="es-ES_tradnl"/>
        </w:rPr>
      </w:pPr>
      <w:r w:rsidRPr="00153074">
        <w:rPr>
          <w:lang w:val="es-ES_tradnl"/>
        </w:rPr>
        <w:t xml:space="preserve">Las iniciativas de negocio inclusivo y </w:t>
      </w:r>
      <w:r w:rsidR="002A7792" w:rsidRPr="00153074">
        <w:rPr>
          <w:lang w:val="es-ES_tradnl"/>
        </w:rPr>
        <w:t>“</w:t>
      </w:r>
      <w:r w:rsidRPr="00153074">
        <w:rPr>
          <w:lang w:val="es-ES_tradnl"/>
        </w:rPr>
        <w:t>base de la pirámide</w:t>
      </w:r>
      <w:r w:rsidR="002A7792" w:rsidRPr="00153074">
        <w:rPr>
          <w:lang w:val="es-ES_tradnl"/>
        </w:rPr>
        <w:t>”</w:t>
      </w:r>
      <w:r w:rsidRPr="00153074">
        <w:rPr>
          <w:lang w:val="es-ES_tradnl"/>
        </w:rPr>
        <w:t xml:space="preserve"> (BdP) dirigidas por el sector privado tampoco logran evaluar adecuadamente el </w:t>
      </w:r>
      <w:r w:rsidR="00F1598A" w:rsidRPr="00153074">
        <w:rPr>
          <w:lang w:val="es-ES_tradnl"/>
        </w:rPr>
        <w:t>impacto de</w:t>
      </w:r>
      <w:r w:rsidRPr="00153074">
        <w:rPr>
          <w:lang w:val="es-ES_tradnl"/>
        </w:rPr>
        <w:t xml:space="preserve"> estos tipos de intervenciones en el desarrollo.</w:t>
      </w:r>
    </w:p>
    <w:p w:rsidR="008415A6" w:rsidRPr="00153074" w:rsidRDefault="00F1598A" w:rsidP="007462FA">
      <w:pPr>
        <w:jc w:val="both"/>
        <w:rPr>
          <w:spacing w:val="-2"/>
          <w:lang w:val="es-ES_tradnl"/>
        </w:rPr>
      </w:pPr>
      <w:r w:rsidRPr="00153074">
        <w:rPr>
          <w:spacing w:val="-2"/>
          <w:lang w:val="es-ES_tradnl"/>
        </w:rPr>
        <w:t xml:space="preserve">Según un grupo de reflexión </w:t>
      </w:r>
      <w:r w:rsidR="008E6808" w:rsidRPr="00153074">
        <w:rPr>
          <w:spacing w:val="-2"/>
          <w:lang w:val="es-ES_tradnl"/>
        </w:rPr>
        <w:t>d</w:t>
      </w:r>
      <w:r w:rsidRPr="00153074">
        <w:rPr>
          <w:spacing w:val="-2"/>
          <w:lang w:val="es-ES_tradnl"/>
        </w:rPr>
        <w:t xml:space="preserve">el Gobierno francés, el </w:t>
      </w:r>
      <w:r w:rsidRPr="00153074">
        <w:rPr>
          <w:i/>
          <w:spacing w:val="-2"/>
          <w:lang w:val="es-ES_tradnl"/>
        </w:rPr>
        <w:t>Centre d’Analyse Stratégique</w:t>
      </w:r>
      <w:r w:rsidR="003F6ABC" w:rsidRPr="00153074">
        <w:rPr>
          <w:i/>
          <w:spacing w:val="-2"/>
          <w:lang w:val="es-ES_tradnl"/>
        </w:rPr>
        <w:t xml:space="preserve"> </w:t>
      </w:r>
      <w:r w:rsidR="003F6ABC" w:rsidRPr="00153074">
        <w:rPr>
          <w:spacing w:val="-2"/>
          <w:lang w:val="es-ES_tradnl"/>
        </w:rPr>
        <w:t>(CAS)</w:t>
      </w:r>
      <w:r w:rsidRPr="00153074">
        <w:rPr>
          <w:spacing w:val="-2"/>
          <w:lang w:val="es-ES_tradnl"/>
        </w:rPr>
        <w:t xml:space="preserve">, </w:t>
      </w:r>
      <w:r w:rsidR="002A7792" w:rsidRPr="00153074">
        <w:rPr>
          <w:spacing w:val="-2"/>
          <w:lang w:val="es-ES_tradnl"/>
        </w:rPr>
        <w:t>“</w:t>
      </w:r>
      <w:r w:rsidRPr="00153074">
        <w:rPr>
          <w:spacing w:val="-2"/>
          <w:lang w:val="es-ES_tradnl"/>
        </w:rPr>
        <w:t xml:space="preserve">el </w:t>
      </w:r>
      <w:r w:rsidR="003F6ABC" w:rsidRPr="00153074">
        <w:rPr>
          <w:spacing w:val="-2"/>
          <w:lang w:val="es-ES_tradnl"/>
        </w:rPr>
        <w:t>razonamiento a favor</w:t>
      </w:r>
      <w:r w:rsidRPr="00153074">
        <w:rPr>
          <w:spacing w:val="-2"/>
          <w:lang w:val="es-ES_tradnl"/>
        </w:rPr>
        <w:t xml:space="preserve"> de la teoría BdP</w:t>
      </w:r>
      <w:r w:rsidR="008E6808" w:rsidRPr="00153074">
        <w:rPr>
          <w:spacing w:val="-2"/>
          <w:lang w:val="es-ES_tradnl"/>
        </w:rPr>
        <w:t xml:space="preserve"> </w:t>
      </w:r>
      <w:r w:rsidR="003F6ABC" w:rsidRPr="00153074">
        <w:rPr>
          <w:spacing w:val="-2"/>
          <w:lang w:val="es-ES_tradnl"/>
        </w:rPr>
        <w:t xml:space="preserve">funciona </w:t>
      </w:r>
      <w:r w:rsidRPr="00153074">
        <w:rPr>
          <w:spacing w:val="-2"/>
          <w:lang w:val="es-ES_tradnl"/>
        </w:rPr>
        <w:t xml:space="preserve">sobre la base de historias de éxito, </w:t>
      </w:r>
      <w:r w:rsidR="00802CAE" w:rsidRPr="00153074">
        <w:rPr>
          <w:spacing w:val="-2"/>
          <w:lang w:val="es-ES_tradnl"/>
        </w:rPr>
        <w:t xml:space="preserve">omitiendo así </w:t>
      </w:r>
      <w:r w:rsidR="003F6ABC" w:rsidRPr="00153074">
        <w:rPr>
          <w:spacing w:val="-2"/>
          <w:lang w:val="es-ES_tradnl"/>
        </w:rPr>
        <w:t xml:space="preserve">las eventuales dificultades que </w:t>
      </w:r>
      <w:r w:rsidRPr="00153074">
        <w:rPr>
          <w:spacing w:val="-2"/>
          <w:lang w:val="es-ES_tradnl"/>
        </w:rPr>
        <w:t xml:space="preserve">pudieron haber encontrado </w:t>
      </w:r>
      <w:r w:rsidR="003F6ABC" w:rsidRPr="00153074">
        <w:rPr>
          <w:spacing w:val="-2"/>
          <w:lang w:val="es-ES_tradnl"/>
        </w:rPr>
        <w:t>determinados proyectos</w:t>
      </w:r>
      <w:r w:rsidR="002A7792" w:rsidRPr="00153074">
        <w:rPr>
          <w:spacing w:val="-2"/>
          <w:lang w:val="es-ES_tradnl"/>
        </w:rPr>
        <w:t>”</w:t>
      </w:r>
      <w:r w:rsidR="003F6ABC" w:rsidRPr="00153074">
        <w:rPr>
          <w:spacing w:val="-2"/>
          <w:lang w:val="es-ES_tradnl"/>
        </w:rPr>
        <w:t>,</w:t>
      </w:r>
      <w:r w:rsidR="007D61B5" w:rsidRPr="00153074">
        <w:rPr>
          <w:spacing w:val="-2"/>
          <w:lang w:val="es-ES_tradnl"/>
        </w:rPr>
        <w:t xml:space="preserve"> mientras que </w:t>
      </w:r>
      <w:r w:rsidR="002A7792" w:rsidRPr="00153074">
        <w:rPr>
          <w:spacing w:val="-2"/>
          <w:lang w:val="es-ES_tradnl"/>
        </w:rPr>
        <w:t>“</w:t>
      </w:r>
      <w:r w:rsidR="007D61B5" w:rsidRPr="00153074">
        <w:rPr>
          <w:spacing w:val="-2"/>
          <w:lang w:val="es-ES_tradnl"/>
        </w:rPr>
        <w:t xml:space="preserve">la relevancia del modelo económico subyacente de la Bdp no </w:t>
      </w:r>
      <w:r w:rsidR="001321A2" w:rsidRPr="00153074">
        <w:rPr>
          <w:spacing w:val="-2"/>
          <w:lang w:val="es-ES_tradnl"/>
        </w:rPr>
        <w:t>se</w:t>
      </w:r>
      <w:r w:rsidR="007D61B5" w:rsidRPr="00153074">
        <w:rPr>
          <w:spacing w:val="-2"/>
          <w:lang w:val="es-ES_tradnl"/>
        </w:rPr>
        <w:t xml:space="preserve"> justifica en ningún momento</w:t>
      </w:r>
      <w:r w:rsidR="002A7792" w:rsidRPr="00153074">
        <w:rPr>
          <w:spacing w:val="-2"/>
          <w:lang w:val="es-ES_tradnl"/>
        </w:rPr>
        <w:t>”</w:t>
      </w:r>
      <w:r w:rsidR="007D61B5" w:rsidRPr="00153074">
        <w:rPr>
          <w:spacing w:val="-2"/>
          <w:lang w:val="es-ES_tradnl"/>
        </w:rPr>
        <w:t xml:space="preserve"> por los proponentes </w:t>
      </w:r>
      <w:r w:rsidR="002A7792" w:rsidRPr="00153074">
        <w:rPr>
          <w:spacing w:val="-2"/>
          <w:lang w:val="es-ES_tradnl"/>
        </w:rPr>
        <w:t>“</w:t>
      </w:r>
      <w:r w:rsidR="007D61B5" w:rsidRPr="00153074">
        <w:rPr>
          <w:spacing w:val="-2"/>
          <w:lang w:val="es-ES_tradnl"/>
        </w:rPr>
        <w:t>lo que dificulta proceder con cualquier elaboración de modelos</w:t>
      </w:r>
      <w:r w:rsidR="002A7792" w:rsidRPr="00153074">
        <w:rPr>
          <w:spacing w:val="-2"/>
          <w:lang w:val="es-ES_tradnl"/>
        </w:rPr>
        <w:t>”</w:t>
      </w:r>
      <w:r w:rsidR="007D61B5" w:rsidRPr="00153074">
        <w:rPr>
          <w:spacing w:val="-2"/>
          <w:lang w:val="es-ES_tradnl"/>
        </w:rPr>
        <w:t xml:space="preserve"> (CAS 2012). El grupo de reflexión francés concluye: </w:t>
      </w:r>
      <w:r w:rsidR="002A7792" w:rsidRPr="00153074">
        <w:rPr>
          <w:spacing w:val="-2"/>
          <w:lang w:val="es-ES_tradnl"/>
        </w:rPr>
        <w:t>“</w:t>
      </w:r>
      <w:r w:rsidR="007D61B5" w:rsidRPr="00153074">
        <w:rPr>
          <w:spacing w:val="-2"/>
          <w:lang w:val="es-ES_tradnl"/>
        </w:rPr>
        <w:t>¿Contribuyen al objetivo de</w:t>
      </w:r>
      <w:r w:rsidR="0005051A" w:rsidRPr="00153074">
        <w:rPr>
          <w:spacing w:val="-2"/>
          <w:lang w:val="es-ES_tradnl"/>
        </w:rPr>
        <w:t xml:space="preserve"> la</w:t>
      </w:r>
      <w:r w:rsidR="007D61B5" w:rsidRPr="00153074">
        <w:rPr>
          <w:spacing w:val="-2"/>
          <w:lang w:val="es-ES_tradnl"/>
        </w:rPr>
        <w:t xml:space="preserve"> lucha contra la pobreza </w:t>
      </w:r>
      <w:r w:rsidR="008E6808" w:rsidRPr="00153074">
        <w:rPr>
          <w:spacing w:val="-2"/>
          <w:lang w:val="es-ES_tradnl"/>
        </w:rPr>
        <w:t xml:space="preserve">al </w:t>
      </w:r>
      <w:r w:rsidR="007D61B5" w:rsidRPr="00153074">
        <w:rPr>
          <w:spacing w:val="-2"/>
          <w:lang w:val="es-ES_tradnl"/>
        </w:rPr>
        <w:t>p</w:t>
      </w:r>
      <w:r w:rsidR="0005051A" w:rsidRPr="00153074">
        <w:rPr>
          <w:spacing w:val="-2"/>
          <w:lang w:val="es-ES_tradnl"/>
        </w:rPr>
        <w:t xml:space="preserve">ermitir </w:t>
      </w:r>
      <w:r w:rsidR="007D61B5" w:rsidRPr="00153074">
        <w:rPr>
          <w:spacing w:val="-2"/>
          <w:lang w:val="es-ES_tradnl"/>
        </w:rPr>
        <w:t xml:space="preserve">una mejor integración social de sus clientes y beneficiarios? ¿Tienden a aumentar o </w:t>
      </w:r>
      <w:r w:rsidR="0042457E" w:rsidRPr="00153074">
        <w:rPr>
          <w:spacing w:val="-2"/>
          <w:lang w:val="es-ES_tradnl"/>
        </w:rPr>
        <w:t xml:space="preserve">a </w:t>
      </w:r>
      <w:r w:rsidR="007D61B5" w:rsidRPr="00153074">
        <w:rPr>
          <w:spacing w:val="-2"/>
          <w:lang w:val="es-ES_tradnl"/>
        </w:rPr>
        <w:t xml:space="preserve">disminuir el bienestar de las personas pobres? </w:t>
      </w:r>
      <w:r w:rsidR="00E55379" w:rsidRPr="00153074">
        <w:rPr>
          <w:spacing w:val="-2"/>
          <w:lang w:val="es-ES_tradnl"/>
        </w:rPr>
        <w:t>Para estas preguntas</w:t>
      </w:r>
      <w:r w:rsidR="007D61B5" w:rsidRPr="00153074">
        <w:rPr>
          <w:spacing w:val="-2"/>
          <w:lang w:val="es-ES_tradnl"/>
        </w:rPr>
        <w:t xml:space="preserve"> </w:t>
      </w:r>
      <w:r w:rsidR="008E6808" w:rsidRPr="00153074">
        <w:rPr>
          <w:spacing w:val="-2"/>
          <w:lang w:val="es-ES_tradnl"/>
        </w:rPr>
        <w:t xml:space="preserve">apenas </w:t>
      </w:r>
      <w:r w:rsidR="00EB4590" w:rsidRPr="00153074">
        <w:rPr>
          <w:spacing w:val="-2"/>
          <w:lang w:val="es-ES_tradnl"/>
        </w:rPr>
        <w:t>hay</w:t>
      </w:r>
      <w:r w:rsidR="008E6808" w:rsidRPr="00153074">
        <w:rPr>
          <w:spacing w:val="-2"/>
          <w:lang w:val="es-ES_tradnl"/>
        </w:rPr>
        <w:t xml:space="preserve"> </w:t>
      </w:r>
      <w:r w:rsidR="00E55379" w:rsidRPr="00153074">
        <w:rPr>
          <w:spacing w:val="-2"/>
          <w:lang w:val="es-ES_tradnl"/>
        </w:rPr>
        <w:t xml:space="preserve">respuestas </w:t>
      </w:r>
      <w:r w:rsidR="00A3666D" w:rsidRPr="00153074">
        <w:rPr>
          <w:spacing w:val="-2"/>
          <w:lang w:val="es-ES_tradnl"/>
        </w:rPr>
        <w:t>consolidadas</w:t>
      </w:r>
      <w:r w:rsidR="00B111CA" w:rsidRPr="00153074">
        <w:rPr>
          <w:spacing w:val="-2"/>
          <w:lang w:val="es-ES_tradnl"/>
        </w:rPr>
        <w:t xml:space="preserve"> e unívocas</w:t>
      </w:r>
      <w:r w:rsidR="00E55379" w:rsidRPr="00153074">
        <w:rPr>
          <w:spacing w:val="-2"/>
          <w:lang w:val="es-ES_tradnl"/>
        </w:rPr>
        <w:t>.</w:t>
      </w:r>
      <w:r w:rsidR="002A7792" w:rsidRPr="00153074">
        <w:rPr>
          <w:spacing w:val="-2"/>
          <w:lang w:val="es-ES_tradnl"/>
        </w:rPr>
        <w:t>”</w:t>
      </w:r>
    </w:p>
    <w:p w:rsidR="00F1598A" w:rsidRPr="00153074" w:rsidRDefault="00F1598A" w:rsidP="007462FA">
      <w:pPr>
        <w:jc w:val="both"/>
        <w:rPr>
          <w:lang w:val="es-ES_tradnl"/>
        </w:rPr>
      </w:pPr>
    </w:p>
    <w:p w:rsidR="00081C02" w:rsidRPr="00153074" w:rsidRDefault="00EB4590" w:rsidP="007462FA">
      <w:pPr>
        <w:jc w:val="both"/>
        <w:rPr>
          <w:spacing w:val="-2"/>
          <w:lang w:val="es-ES_tradnl"/>
        </w:rPr>
      </w:pPr>
      <w:bookmarkStart w:id="77" w:name="_Toc230681471"/>
      <w:r w:rsidRPr="00153074">
        <w:rPr>
          <w:spacing w:val="-2"/>
          <w:lang w:val="es-ES_tradnl"/>
        </w:rPr>
        <w:t>Existen</w:t>
      </w:r>
      <w:r w:rsidR="00BD4552" w:rsidRPr="00153074">
        <w:rPr>
          <w:spacing w:val="-2"/>
          <w:lang w:val="es-ES_tradnl"/>
        </w:rPr>
        <w:t xml:space="preserve"> </w:t>
      </w:r>
      <w:r w:rsidR="00081C02" w:rsidRPr="00153074">
        <w:rPr>
          <w:spacing w:val="-2"/>
          <w:lang w:val="es-ES_tradnl"/>
        </w:rPr>
        <w:t>buenas razones para creer que</w:t>
      </w:r>
      <w:r w:rsidR="00B2164A" w:rsidRPr="00153074">
        <w:rPr>
          <w:spacing w:val="-2"/>
          <w:lang w:val="es-ES_tradnl"/>
        </w:rPr>
        <w:t xml:space="preserve"> las evaluaciones sobre el impacto de la pobreza</w:t>
      </w:r>
      <w:r w:rsidRPr="00153074">
        <w:rPr>
          <w:spacing w:val="-2"/>
          <w:lang w:val="es-ES_tradnl"/>
        </w:rPr>
        <w:t xml:space="preserve"> – </w:t>
      </w:r>
      <w:r w:rsidR="00B2164A" w:rsidRPr="00153074">
        <w:rPr>
          <w:spacing w:val="-2"/>
          <w:lang w:val="es-ES_tradnl"/>
        </w:rPr>
        <w:t>y</w:t>
      </w:r>
      <w:r w:rsidRPr="00153074">
        <w:rPr>
          <w:spacing w:val="-2"/>
          <w:lang w:val="es-ES_tradnl"/>
        </w:rPr>
        <w:t xml:space="preserve"> </w:t>
      </w:r>
      <w:r w:rsidR="00B2164A" w:rsidRPr="00153074">
        <w:rPr>
          <w:spacing w:val="-2"/>
          <w:lang w:val="es-ES_tradnl"/>
        </w:rPr>
        <w:t>de manera más general una evaluación del impacto distributivo</w:t>
      </w:r>
      <w:r w:rsidRPr="00153074">
        <w:rPr>
          <w:spacing w:val="-2"/>
          <w:lang w:val="es-ES_tradnl"/>
        </w:rPr>
        <w:t xml:space="preserve"> –</w:t>
      </w:r>
      <w:r w:rsidR="00B111CA" w:rsidRPr="00153074">
        <w:rPr>
          <w:spacing w:val="-2"/>
          <w:lang w:val="es-ES_tradnl"/>
        </w:rPr>
        <w:t xml:space="preserve"> están</w:t>
      </w:r>
      <w:r w:rsidRPr="00153074">
        <w:rPr>
          <w:spacing w:val="-2"/>
          <w:lang w:val="es-ES_tradnl"/>
        </w:rPr>
        <w:t xml:space="preserve"> </w:t>
      </w:r>
      <w:r w:rsidR="00B111CA" w:rsidRPr="00153074">
        <w:rPr>
          <w:spacing w:val="-2"/>
          <w:lang w:val="es-ES_tradnl"/>
        </w:rPr>
        <w:t>mal conceptualizada</w:t>
      </w:r>
      <w:r w:rsidR="00B2164A" w:rsidRPr="00153074">
        <w:rPr>
          <w:spacing w:val="-2"/>
          <w:lang w:val="es-ES_tradnl"/>
        </w:rPr>
        <w:t xml:space="preserve">s, al menos de momento, lo que </w:t>
      </w:r>
      <w:r w:rsidRPr="00153074">
        <w:rPr>
          <w:spacing w:val="-2"/>
          <w:lang w:val="es-ES_tradnl"/>
        </w:rPr>
        <w:t>hace</w:t>
      </w:r>
      <w:r w:rsidR="0066183D" w:rsidRPr="00153074">
        <w:rPr>
          <w:spacing w:val="-2"/>
          <w:lang w:val="es-ES_tradnl"/>
        </w:rPr>
        <w:t xml:space="preserve"> que desde el principio resulte</w:t>
      </w:r>
      <w:r w:rsidR="00B2164A" w:rsidRPr="00153074">
        <w:rPr>
          <w:spacing w:val="-2"/>
          <w:lang w:val="es-ES_tradnl"/>
        </w:rPr>
        <w:t xml:space="preserve"> difícil entender si el sector privado se ciñe a estos principios. </w:t>
      </w:r>
      <w:r w:rsidR="0066183D" w:rsidRPr="00153074">
        <w:rPr>
          <w:spacing w:val="-2"/>
          <w:lang w:val="es-ES_tradnl"/>
        </w:rPr>
        <w:t>Además</w:t>
      </w:r>
      <w:r w:rsidR="00B2164A" w:rsidRPr="00153074">
        <w:rPr>
          <w:spacing w:val="-2"/>
          <w:lang w:val="es-ES_tradnl"/>
        </w:rPr>
        <w:t xml:space="preserve">, </w:t>
      </w:r>
      <w:r w:rsidR="00D634D0" w:rsidRPr="00153074">
        <w:rPr>
          <w:spacing w:val="-2"/>
          <w:lang w:val="es-ES_tradnl"/>
        </w:rPr>
        <w:t xml:space="preserve">según </w:t>
      </w:r>
      <w:r w:rsidR="00B111CA" w:rsidRPr="00153074">
        <w:rPr>
          <w:spacing w:val="-2"/>
          <w:lang w:val="es-ES_tradnl"/>
        </w:rPr>
        <w:t>tenemos entendido</w:t>
      </w:r>
      <w:r w:rsidR="00D634D0" w:rsidRPr="00153074">
        <w:rPr>
          <w:spacing w:val="-2"/>
          <w:lang w:val="es-ES_tradnl"/>
        </w:rPr>
        <w:t xml:space="preserve">, la ayuda condicionada está intrínsecamente vinculada a los esfuerzos </w:t>
      </w:r>
      <w:r w:rsidR="0066183D" w:rsidRPr="00153074">
        <w:rPr>
          <w:spacing w:val="-2"/>
          <w:lang w:val="es-ES_tradnl"/>
        </w:rPr>
        <w:t>relativos a</w:t>
      </w:r>
      <w:r w:rsidR="00D634D0" w:rsidRPr="00153074">
        <w:rPr>
          <w:spacing w:val="-2"/>
          <w:lang w:val="es-ES_tradnl"/>
        </w:rPr>
        <w:t xml:space="preserve">l sector privado en el desarrollo, tal y como queda demostrado </w:t>
      </w:r>
      <w:r w:rsidR="0066183D" w:rsidRPr="00153074">
        <w:rPr>
          <w:spacing w:val="-2"/>
          <w:lang w:val="es-ES_tradnl"/>
        </w:rPr>
        <w:t>por</w:t>
      </w:r>
      <w:r w:rsidR="00D634D0" w:rsidRPr="00153074">
        <w:rPr>
          <w:spacing w:val="-2"/>
          <w:lang w:val="es-ES_tradnl"/>
        </w:rPr>
        <w:t xml:space="preserve"> la explícita política de los donantes en este ámbito, </w:t>
      </w:r>
      <w:r w:rsidR="0066183D" w:rsidRPr="00153074">
        <w:rPr>
          <w:spacing w:val="-2"/>
          <w:lang w:val="es-ES_tradnl"/>
        </w:rPr>
        <w:t>lo cual deja patente una</w:t>
      </w:r>
      <w:r w:rsidR="003F3173" w:rsidRPr="00153074">
        <w:rPr>
          <w:spacing w:val="-2"/>
          <w:lang w:val="es-ES_tradnl"/>
        </w:rPr>
        <w:t xml:space="preserve"> contradicción absoluta. Igualmente, </w:t>
      </w:r>
      <w:r w:rsidR="00271294" w:rsidRPr="00153074">
        <w:rPr>
          <w:spacing w:val="-2"/>
          <w:lang w:val="es-ES_tradnl"/>
        </w:rPr>
        <w:t>al</w:t>
      </w:r>
      <w:r w:rsidR="003F3173" w:rsidRPr="00153074">
        <w:rPr>
          <w:spacing w:val="-2"/>
          <w:lang w:val="es-ES_tradnl"/>
        </w:rPr>
        <w:t xml:space="preserve"> </w:t>
      </w:r>
      <w:r w:rsidR="00D47237" w:rsidRPr="00153074">
        <w:rPr>
          <w:spacing w:val="-2"/>
          <w:lang w:val="es-ES_tradnl"/>
        </w:rPr>
        <w:t>examina</w:t>
      </w:r>
      <w:r w:rsidR="00271294" w:rsidRPr="00153074">
        <w:rPr>
          <w:spacing w:val="-2"/>
          <w:lang w:val="es-ES_tradnl"/>
        </w:rPr>
        <w:t>r</w:t>
      </w:r>
      <w:r w:rsidR="00D47237" w:rsidRPr="00153074">
        <w:rPr>
          <w:spacing w:val="-2"/>
          <w:lang w:val="es-ES_tradnl"/>
        </w:rPr>
        <w:t xml:space="preserve"> la apropiación a nivel de</w:t>
      </w:r>
      <w:r w:rsidR="0066183D" w:rsidRPr="00153074">
        <w:rPr>
          <w:spacing w:val="-2"/>
          <w:lang w:val="es-ES_tradnl"/>
        </w:rPr>
        <w:t xml:space="preserve"> los</w:t>
      </w:r>
      <w:r w:rsidR="00D47237" w:rsidRPr="00153074">
        <w:rPr>
          <w:spacing w:val="-2"/>
          <w:lang w:val="es-ES_tradnl"/>
        </w:rPr>
        <w:t xml:space="preserve"> país</w:t>
      </w:r>
      <w:r w:rsidR="0066183D" w:rsidRPr="00153074">
        <w:rPr>
          <w:spacing w:val="-2"/>
          <w:lang w:val="es-ES_tradnl"/>
        </w:rPr>
        <w:t>es</w:t>
      </w:r>
      <w:r w:rsidR="00D47237" w:rsidRPr="00153074">
        <w:rPr>
          <w:spacing w:val="-2"/>
          <w:lang w:val="es-ES_tradnl"/>
        </w:rPr>
        <w:t xml:space="preserve">, en muchos casos las iniciativas </w:t>
      </w:r>
      <w:r w:rsidR="006838F4" w:rsidRPr="00153074">
        <w:rPr>
          <w:spacing w:val="-2"/>
          <w:lang w:val="es-ES_tradnl"/>
        </w:rPr>
        <w:t>se presentan como</w:t>
      </w:r>
      <w:r w:rsidR="00D47237" w:rsidRPr="00153074">
        <w:rPr>
          <w:spacing w:val="-2"/>
          <w:lang w:val="es-ES_tradnl"/>
        </w:rPr>
        <w:t xml:space="preserve"> relaciones ex</w:t>
      </w:r>
      <w:r w:rsidR="006838F4" w:rsidRPr="00153074">
        <w:rPr>
          <w:spacing w:val="-2"/>
          <w:lang w:val="es-ES_tradnl"/>
        </w:rPr>
        <w:t>clu</w:t>
      </w:r>
      <w:r w:rsidR="00D47237" w:rsidRPr="00153074">
        <w:rPr>
          <w:spacing w:val="-2"/>
          <w:lang w:val="es-ES_tradnl"/>
        </w:rPr>
        <w:t xml:space="preserve">sivas donante-empresa. El ECDPM (21012) lamenta por ejemplo </w:t>
      </w:r>
      <w:r w:rsidR="002A7792" w:rsidRPr="00153074">
        <w:rPr>
          <w:spacing w:val="-2"/>
          <w:lang w:val="es-ES_tradnl"/>
        </w:rPr>
        <w:t>“</w:t>
      </w:r>
      <w:r w:rsidR="00D47237" w:rsidRPr="00153074">
        <w:rPr>
          <w:spacing w:val="-2"/>
          <w:lang w:val="es-ES_tradnl"/>
        </w:rPr>
        <w:t xml:space="preserve">la </w:t>
      </w:r>
      <w:r w:rsidR="00CA59C6" w:rsidRPr="00153074">
        <w:rPr>
          <w:spacing w:val="-2"/>
          <w:lang w:val="es-ES_tradnl"/>
        </w:rPr>
        <w:t>falta de</w:t>
      </w:r>
      <w:r w:rsidR="00D47237" w:rsidRPr="00153074">
        <w:rPr>
          <w:spacing w:val="-2"/>
          <w:lang w:val="es-ES_tradnl"/>
        </w:rPr>
        <w:t xml:space="preserve"> atención</w:t>
      </w:r>
      <w:r w:rsidR="00271294" w:rsidRPr="00153074">
        <w:rPr>
          <w:spacing w:val="-2"/>
          <w:lang w:val="es-ES_tradnl"/>
        </w:rPr>
        <w:t xml:space="preserve"> prestada</w:t>
      </w:r>
      <w:r w:rsidR="00D47237" w:rsidRPr="00153074">
        <w:rPr>
          <w:spacing w:val="-2"/>
          <w:lang w:val="es-ES_tradnl"/>
        </w:rPr>
        <w:t xml:space="preserve"> </w:t>
      </w:r>
      <w:r w:rsidR="00CA59C6" w:rsidRPr="00153074">
        <w:rPr>
          <w:spacing w:val="-2"/>
          <w:lang w:val="es-ES_tradnl"/>
        </w:rPr>
        <w:t>a</w:t>
      </w:r>
      <w:r w:rsidR="00D47237" w:rsidRPr="00153074">
        <w:rPr>
          <w:spacing w:val="-2"/>
          <w:lang w:val="es-ES_tradnl"/>
        </w:rPr>
        <w:t xml:space="preserve"> los </w:t>
      </w:r>
      <w:r w:rsidR="00864464" w:rsidRPr="00153074">
        <w:rPr>
          <w:spacing w:val="-2"/>
          <w:lang w:val="es-ES_tradnl"/>
        </w:rPr>
        <w:t>Gobierno</w:t>
      </w:r>
      <w:r w:rsidR="00D47237" w:rsidRPr="00153074">
        <w:rPr>
          <w:spacing w:val="-2"/>
          <w:lang w:val="es-ES_tradnl"/>
        </w:rPr>
        <w:t xml:space="preserve">s de </w:t>
      </w:r>
      <w:r w:rsidR="0066183D" w:rsidRPr="00153074">
        <w:rPr>
          <w:spacing w:val="-2"/>
          <w:lang w:val="es-ES_tradnl"/>
        </w:rPr>
        <w:t xml:space="preserve">los </w:t>
      </w:r>
      <w:r w:rsidR="00D47237" w:rsidRPr="00153074">
        <w:rPr>
          <w:spacing w:val="-2"/>
          <w:lang w:val="es-ES_tradnl"/>
        </w:rPr>
        <w:t xml:space="preserve">países en desarrollo </w:t>
      </w:r>
      <w:r w:rsidR="00271294" w:rsidRPr="00153074">
        <w:rPr>
          <w:i/>
          <w:spacing w:val="-2"/>
          <w:lang w:val="es-ES_tradnl"/>
        </w:rPr>
        <w:t>en tanto que</w:t>
      </w:r>
      <w:r w:rsidR="003E1D97" w:rsidRPr="00153074">
        <w:rPr>
          <w:i/>
          <w:spacing w:val="-2"/>
          <w:lang w:val="es-ES_tradnl"/>
        </w:rPr>
        <w:t xml:space="preserve"> </w:t>
      </w:r>
      <w:r w:rsidR="00D47237" w:rsidRPr="00153074">
        <w:rPr>
          <w:i/>
          <w:spacing w:val="-2"/>
          <w:lang w:val="es-ES_tradnl"/>
        </w:rPr>
        <w:t>partes interesadas</w:t>
      </w:r>
      <w:r w:rsidR="002A7792" w:rsidRPr="00153074">
        <w:rPr>
          <w:i/>
          <w:spacing w:val="-2"/>
          <w:lang w:val="es-ES_tradnl"/>
        </w:rPr>
        <w:t>”</w:t>
      </w:r>
      <w:r w:rsidR="00D47237" w:rsidRPr="00153074">
        <w:rPr>
          <w:i/>
          <w:spacing w:val="-2"/>
          <w:lang w:val="es-ES_tradnl"/>
        </w:rPr>
        <w:t xml:space="preserve"> </w:t>
      </w:r>
      <w:r w:rsidR="00D47237" w:rsidRPr="00153074">
        <w:rPr>
          <w:spacing w:val="-2"/>
          <w:lang w:val="es-ES_tradnl"/>
        </w:rPr>
        <w:t>en iniciativas en la</w:t>
      </w:r>
      <w:r w:rsidR="00CA59C6" w:rsidRPr="00153074">
        <w:rPr>
          <w:spacing w:val="-2"/>
          <w:lang w:val="es-ES_tradnl"/>
        </w:rPr>
        <w:t>s</w:t>
      </w:r>
      <w:r w:rsidR="00D47237" w:rsidRPr="00153074">
        <w:rPr>
          <w:spacing w:val="-2"/>
          <w:lang w:val="es-ES_tradnl"/>
        </w:rPr>
        <w:t xml:space="preserve"> que participa el secto</w:t>
      </w:r>
      <w:r w:rsidR="00F051F0" w:rsidRPr="00153074">
        <w:rPr>
          <w:spacing w:val="-2"/>
          <w:lang w:val="es-ES_tradnl"/>
        </w:rPr>
        <w:t>r privado, y plantea:</w:t>
      </w:r>
      <w:r w:rsidR="00D47237" w:rsidRPr="00153074">
        <w:rPr>
          <w:spacing w:val="-2"/>
          <w:lang w:val="es-ES_tradnl"/>
        </w:rPr>
        <w:t xml:space="preserve"> </w:t>
      </w:r>
      <w:r w:rsidR="002A7792" w:rsidRPr="00153074">
        <w:rPr>
          <w:spacing w:val="-2"/>
          <w:lang w:val="es-ES_tradnl"/>
        </w:rPr>
        <w:t>“</w:t>
      </w:r>
      <w:r w:rsidR="00F051F0" w:rsidRPr="00153074">
        <w:rPr>
          <w:spacing w:val="-2"/>
          <w:lang w:val="es-ES_tradnl"/>
        </w:rPr>
        <w:t>¿H</w:t>
      </w:r>
      <w:r w:rsidR="00D47237" w:rsidRPr="00153074">
        <w:rPr>
          <w:spacing w:val="-2"/>
          <w:lang w:val="es-ES_tradnl"/>
        </w:rPr>
        <w:t xml:space="preserve">asta qué punto </w:t>
      </w:r>
      <w:r w:rsidR="003E1D97" w:rsidRPr="00153074">
        <w:rPr>
          <w:spacing w:val="-2"/>
          <w:lang w:val="es-ES_tradnl"/>
        </w:rPr>
        <w:t>se</w:t>
      </w:r>
      <w:r w:rsidR="00C4016D" w:rsidRPr="00153074">
        <w:rPr>
          <w:spacing w:val="-2"/>
          <w:lang w:val="es-ES_tradnl"/>
        </w:rPr>
        <w:t xml:space="preserve"> </w:t>
      </w:r>
      <w:r w:rsidR="00D47237" w:rsidRPr="00153074">
        <w:rPr>
          <w:spacing w:val="-2"/>
          <w:lang w:val="es-ES_tradnl"/>
        </w:rPr>
        <w:t>consulta</w:t>
      </w:r>
      <w:r w:rsidR="003E1D97" w:rsidRPr="00153074">
        <w:rPr>
          <w:spacing w:val="-2"/>
          <w:lang w:val="es-ES_tradnl"/>
        </w:rPr>
        <w:t xml:space="preserve"> a</w:t>
      </w:r>
      <w:r w:rsidR="00D47237" w:rsidRPr="00153074">
        <w:rPr>
          <w:spacing w:val="-2"/>
          <w:lang w:val="es-ES_tradnl"/>
        </w:rPr>
        <w:t xml:space="preserve"> los </w:t>
      </w:r>
      <w:r w:rsidR="00864464" w:rsidRPr="00153074">
        <w:rPr>
          <w:spacing w:val="-2"/>
          <w:lang w:val="es-ES_tradnl"/>
        </w:rPr>
        <w:t>Gobierno</w:t>
      </w:r>
      <w:r w:rsidR="00D47237" w:rsidRPr="00153074">
        <w:rPr>
          <w:spacing w:val="-2"/>
          <w:lang w:val="es-ES_tradnl"/>
        </w:rPr>
        <w:t xml:space="preserve">s </w:t>
      </w:r>
      <w:r w:rsidR="00271294" w:rsidRPr="00153074">
        <w:rPr>
          <w:spacing w:val="-2"/>
          <w:lang w:val="es-ES_tradnl"/>
        </w:rPr>
        <w:t>sobre las</w:t>
      </w:r>
      <w:r w:rsidR="00D47237" w:rsidRPr="00153074">
        <w:rPr>
          <w:spacing w:val="-2"/>
          <w:lang w:val="es-ES_tradnl"/>
        </w:rPr>
        <w:t xml:space="preserve"> áreas específicas dentro de las </w:t>
      </w:r>
      <w:r w:rsidR="00096772" w:rsidRPr="00153074">
        <w:rPr>
          <w:spacing w:val="-2"/>
          <w:lang w:val="es-ES_tradnl"/>
        </w:rPr>
        <w:t>cuales querrían ver algún flujo</w:t>
      </w:r>
      <w:r w:rsidR="00D47237" w:rsidRPr="00153074">
        <w:rPr>
          <w:spacing w:val="-2"/>
          <w:lang w:val="es-ES_tradnl"/>
        </w:rPr>
        <w:t xml:space="preserve"> de inversión subvencionada</w:t>
      </w:r>
      <w:r w:rsidR="00F051F0" w:rsidRPr="00153074">
        <w:rPr>
          <w:spacing w:val="-2"/>
          <w:lang w:val="es-ES_tradnl"/>
        </w:rPr>
        <w:t>?</w:t>
      </w:r>
      <w:r w:rsidR="002A7792" w:rsidRPr="00153074">
        <w:rPr>
          <w:spacing w:val="-2"/>
          <w:lang w:val="es-ES_tradnl"/>
        </w:rPr>
        <w:t>”</w:t>
      </w:r>
      <w:r w:rsidR="00D47237" w:rsidRPr="00153074">
        <w:rPr>
          <w:spacing w:val="-2"/>
          <w:lang w:val="es-ES_tradnl"/>
        </w:rPr>
        <w:t xml:space="preserve">. El ECDPM </w:t>
      </w:r>
      <w:r w:rsidR="00950066" w:rsidRPr="00153074">
        <w:rPr>
          <w:spacing w:val="-2"/>
          <w:lang w:val="es-ES_tradnl"/>
        </w:rPr>
        <w:t>destaca el caso de las APP que</w:t>
      </w:r>
      <w:r w:rsidR="00F051F0" w:rsidRPr="00153074">
        <w:rPr>
          <w:spacing w:val="-2"/>
          <w:lang w:val="es-ES_tradnl"/>
        </w:rPr>
        <w:t>,</w:t>
      </w:r>
      <w:r w:rsidR="00950066" w:rsidRPr="00153074">
        <w:rPr>
          <w:spacing w:val="-2"/>
          <w:lang w:val="es-ES_tradnl"/>
        </w:rPr>
        <w:t xml:space="preserve"> </w:t>
      </w:r>
      <w:r w:rsidR="00026723" w:rsidRPr="00153074">
        <w:rPr>
          <w:spacing w:val="-2"/>
          <w:lang w:val="es-ES_tradnl"/>
        </w:rPr>
        <w:t>según</w:t>
      </w:r>
      <w:r w:rsidR="00950066" w:rsidRPr="00153074">
        <w:rPr>
          <w:spacing w:val="-2"/>
          <w:lang w:val="es-ES_tradnl"/>
        </w:rPr>
        <w:t xml:space="preserve"> </w:t>
      </w:r>
      <w:r w:rsidR="002A7792" w:rsidRPr="00153074">
        <w:rPr>
          <w:spacing w:val="-2"/>
          <w:lang w:val="es-ES_tradnl"/>
        </w:rPr>
        <w:t>“</w:t>
      </w:r>
      <w:r w:rsidR="00950066" w:rsidRPr="00153074">
        <w:rPr>
          <w:spacing w:val="-2"/>
          <w:lang w:val="es-ES_tradnl"/>
        </w:rPr>
        <w:t>sugieren algunos</w:t>
      </w:r>
      <w:r w:rsidR="002A7792" w:rsidRPr="00153074">
        <w:rPr>
          <w:spacing w:val="-2"/>
          <w:lang w:val="es-ES_tradnl"/>
        </w:rPr>
        <w:t>”</w:t>
      </w:r>
      <w:r w:rsidR="00F051F0" w:rsidRPr="00153074">
        <w:rPr>
          <w:spacing w:val="-2"/>
          <w:lang w:val="es-ES_tradnl"/>
        </w:rPr>
        <w:t>,</w:t>
      </w:r>
      <w:r w:rsidR="00950066" w:rsidRPr="00153074">
        <w:rPr>
          <w:spacing w:val="-2"/>
          <w:lang w:val="es-ES_tradnl"/>
        </w:rPr>
        <w:t xml:space="preserve"> están principalmente dirigidas por el sector privado y los donantes, con un </w:t>
      </w:r>
      <w:r w:rsidR="002A7792" w:rsidRPr="00153074">
        <w:rPr>
          <w:spacing w:val="-2"/>
          <w:lang w:val="es-ES_tradnl"/>
        </w:rPr>
        <w:t>“</w:t>
      </w:r>
      <w:r w:rsidR="00950066" w:rsidRPr="00153074">
        <w:rPr>
          <w:spacing w:val="-2"/>
          <w:lang w:val="es-ES_tradnl"/>
        </w:rPr>
        <w:t xml:space="preserve">nivel de apropiación </w:t>
      </w:r>
      <w:r w:rsidR="00F051F0" w:rsidRPr="00153074">
        <w:rPr>
          <w:spacing w:val="-2"/>
          <w:lang w:val="es-ES_tradnl"/>
        </w:rPr>
        <w:t xml:space="preserve">cuestionable </w:t>
      </w:r>
      <w:r w:rsidR="00950066" w:rsidRPr="00153074">
        <w:rPr>
          <w:spacing w:val="-2"/>
          <w:lang w:val="es-ES_tradnl"/>
        </w:rPr>
        <w:t>por parte del país asociado</w:t>
      </w:r>
      <w:r w:rsidR="002A7792" w:rsidRPr="00153074">
        <w:rPr>
          <w:spacing w:val="-2"/>
          <w:lang w:val="es-ES_tradnl"/>
        </w:rPr>
        <w:t>”</w:t>
      </w:r>
      <w:r w:rsidR="00950066" w:rsidRPr="00153074">
        <w:rPr>
          <w:spacing w:val="-2"/>
          <w:lang w:val="es-ES_tradnl"/>
        </w:rPr>
        <w:t>.</w:t>
      </w:r>
    </w:p>
    <w:p w:rsidR="00B1268C" w:rsidRPr="00153074" w:rsidRDefault="00B1268C" w:rsidP="007462FA">
      <w:pPr>
        <w:jc w:val="both"/>
        <w:rPr>
          <w:lang w:val="es-ES_tradnl"/>
        </w:rPr>
      </w:pPr>
      <w:bookmarkStart w:id="78" w:name="_Toc346297622"/>
      <w:bookmarkEnd w:id="32"/>
      <w:bookmarkEnd w:id="77"/>
    </w:p>
    <w:p w:rsidR="00B1268C" w:rsidRPr="00153074" w:rsidRDefault="00950066" w:rsidP="007462FA">
      <w:pPr>
        <w:pStyle w:val="Heading3"/>
        <w:rPr>
          <w:lang w:val="es-ES_tradnl"/>
        </w:rPr>
      </w:pPr>
      <w:bookmarkStart w:id="79" w:name="_Toc359331995"/>
      <w:bookmarkStart w:id="80" w:name="_Toc369604930"/>
      <w:r w:rsidRPr="00153074">
        <w:rPr>
          <w:lang w:val="es-ES_tradnl"/>
        </w:rPr>
        <w:t>¿Luchar contra la pobreza</w:t>
      </w:r>
      <w:r w:rsidR="00B1268C" w:rsidRPr="00153074">
        <w:rPr>
          <w:lang w:val="es-ES_tradnl"/>
        </w:rPr>
        <w:t>?</w:t>
      </w:r>
      <w:bookmarkEnd w:id="79"/>
      <w:bookmarkEnd w:id="80"/>
    </w:p>
    <w:p w:rsidR="00B1268C" w:rsidRPr="00153074" w:rsidRDefault="00950066" w:rsidP="007462FA">
      <w:pPr>
        <w:jc w:val="both"/>
        <w:rPr>
          <w:lang w:val="es-ES_tradnl"/>
        </w:rPr>
      </w:pPr>
      <w:r w:rsidRPr="00153074">
        <w:rPr>
          <w:lang w:val="es-ES_tradnl"/>
        </w:rPr>
        <w:t>A nivel macroeconómico, las estadísticas</w:t>
      </w:r>
      <w:r w:rsidR="007F54C5" w:rsidRPr="00153074">
        <w:rPr>
          <w:lang w:val="es-ES_tradnl"/>
        </w:rPr>
        <w:t xml:space="preserve"> pueden demostrar </w:t>
      </w:r>
      <w:r w:rsidR="0042457E" w:rsidRPr="00153074">
        <w:rPr>
          <w:lang w:val="es-ES_tradnl"/>
        </w:rPr>
        <w:t xml:space="preserve">que </w:t>
      </w:r>
      <w:r w:rsidR="00096772" w:rsidRPr="00153074">
        <w:rPr>
          <w:lang w:val="es-ES_tradnl"/>
        </w:rPr>
        <w:t>a lo largo de los últimos años se ha</w:t>
      </w:r>
      <w:r w:rsidR="00577B85" w:rsidRPr="00153074">
        <w:rPr>
          <w:lang w:val="es-ES_tradnl"/>
        </w:rPr>
        <w:t xml:space="preserve"> </w:t>
      </w:r>
      <w:r w:rsidR="000634F7" w:rsidRPr="00153074">
        <w:rPr>
          <w:lang w:val="es-ES_tradnl"/>
        </w:rPr>
        <w:t>logrado sacar</w:t>
      </w:r>
      <w:r w:rsidR="00577B85" w:rsidRPr="00153074">
        <w:rPr>
          <w:lang w:val="es-ES_tradnl"/>
        </w:rPr>
        <w:t xml:space="preserve"> </w:t>
      </w:r>
      <w:r w:rsidR="0042457E" w:rsidRPr="00153074">
        <w:rPr>
          <w:lang w:val="es-ES_tradnl"/>
        </w:rPr>
        <w:t xml:space="preserve">a muchas personas </w:t>
      </w:r>
      <w:r w:rsidR="00096772" w:rsidRPr="00153074">
        <w:rPr>
          <w:lang w:val="es-ES_tradnl"/>
        </w:rPr>
        <w:t>de la pobreza</w:t>
      </w:r>
      <w:r w:rsidR="007F54C5" w:rsidRPr="00153074">
        <w:rPr>
          <w:lang w:val="es-ES_tradnl"/>
        </w:rPr>
        <w:t>, principalmente como resultado del rendimiento</w:t>
      </w:r>
      <w:r w:rsidR="000634F7" w:rsidRPr="00153074">
        <w:rPr>
          <w:lang w:val="es-ES_tradnl"/>
        </w:rPr>
        <w:t xml:space="preserve"> satisfactorio</w:t>
      </w:r>
      <w:r w:rsidR="007F54C5" w:rsidRPr="00153074">
        <w:rPr>
          <w:lang w:val="es-ES_tradnl"/>
        </w:rPr>
        <w:t xml:space="preserve"> de </w:t>
      </w:r>
      <w:r w:rsidR="000634F7" w:rsidRPr="00153074">
        <w:rPr>
          <w:lang w:val="es-ES_tradnl"/>
        </w:rPr>
        <w:t>varios</w:t>
      </w:r>
      <w:r w:rsidR="007F54C5" w:rsidRPr="00153074">
        <w:rPr>
          <w:lang w:val="es-ES_tradnl"/>
        </w:rPr>
        <w:t xml:space="preserve"> </w:t>
      </w:r>
      <w:r w:rsidR="000634F7" w:rsidRPr="00153074">
        <w:rPr>
          <w:lang w:val="es-ES_tradnl"/>
        </w:rPr>
        <w:t xml:space="preserve">países, </w:t>
      </w:r>
      <w:r w:rsidR="007F54C5" w:rsidRPr="00153074">
        <w:rPr>
          <w:lang w:val="es-ES_tradnl"/>
        </w:rPr>
        <w:t xml:space="preserve">como China y Brasil. Pero la evidencia también demuestra que la desigualdad ha aumentado de manera pronunciada, en particular </w:t>
      </w:r>
      <w:r w:rsidR="00577B85" w:rsidRPr="00153074">
        <w:rPr>
          <w:lang w:val="es-ES_tradnl"/>
        </w:rPr>
        <w:t>estos</w:t>
      </w:r>
      <w:r w:rsidR="007F54C5" w:rsidRPr="00153074">
        <w:rPr>
          <w:lang w:val="es-ES_tradnl"/>
        </w:rPr>
        <w:t xml:space="preserve"> últimos años. </w:t>
      </w:r>
      <w:r w:rsidR="00577B85" w:rsidRPr="00153074">
        <w:rPr>
          <w:lang w:val="es-ES_tradnl"/>
        </w:rPr>
        <w:t>El hecho de que se hayan dado u</w:t>
      </w:r>
      <w:r w:rsidR="007F54C5" w:rsidRPr="00153074">
        <w:rPr>
          <w:lang w:val="es-ES_tradnl"/>
        </w:rPr>
        <w:t>nos logros modestos y frágiles en la reducción de la pobreza</w:t>
      </w:r>
      <w:r w:rsidR="00577B85" w:rsidRPr="00153074">
        <w:rPr>
          <w:lang w:val="es-ES_tradnl"/>
        </w:rPr>
        <w:t xml:space="preserve"> </w:t>
      </w:r>
      <w:r w:rsidR="007F54C5" w:rsidRPr="00153074">
        <w:rPr>
          <w:lang w:val="es-ES_tradnl"/>
        </w:rPr>
        <w:t>no</w:t>
      </w:r>
      <w:r w:rsidR="00283BD6" w:rsidRPr="00153074">
        <w:rPr>
          <w:lang w:val="es-ES_tradnl"/>
        </w:rPr>
        <w:t xml:space="preserve"> </w:t>
      </w:r>
      <w:r w:rsidR="00577B85" w:rsidRPr="00153074">
        <w:rPr>
          <w:lang w:val="es-ES_tradnl"/>
        </w:rPr>
        <w:t>puede</w:t>
      </w:r>
      <w:r w:rsidR="007F54C5" w:rsidRPr="00153074">
        <w:rPr>
          <w:lang w:val="es-ES_tradnl"/>
        </w:rPr>
        <w:t xml:space="preserve"> acepta</w:t>
      </w:r>
      <w:r w:rsidR="00096772" w:rsidRPr="00153074">
        <w:rPr>
          <w:lang w:val="es-ES_tradnl"/>
        </w:rPr>
        <w:t>rse</w:t>
      </w:r>
      <w:r w:rsidR="007F54C5" w:rsidRPr="00153074">
        <w:rPr>
          <w:lang w:val="es-ES_tradnl"/>
        </w:rPr>
        <w:t xml:space="preserve"> como una respuesta internacional sería al reto compartido de, </w:t>
      </w:r>
      <w:r w:rsidR="00096772" w:rsidRPr="00153074">
        <w:rPr>
          <w:lang w:val="es-ES_tradnl"/>
        </w:rPr>
        <w:t xml:space="preserve">y </w:t>
      </w:r>
      <w:r w:rsidR="00577B85" w:rsidRPr="00153074">
        <w:rPr>
          <w:lang w:val="es-ES_tradnl"/>
        </w:rPr>
        <w:t xml:space="preserve">a la </w:t>
      </w:r>
      <w:r w:rsidR="007F54C5" w:rsidRPr="00153074">
        <w:rPr>
          <w:lang w:val="es-ES_tradnl"/>
        </w:rPr>
        <w:t>responsabilidad por, el desarrollo mundial</w:t>
      </w:r>
      <w:r w:rsidR="00096772" w:rsidRPr="00153074">
        <w:rPr>
          <w:lang w:val="es-ES_tradnl"/>
        </w:rPr>
        <w:t>. T</w:t>
      </w:r>
      <w:r w:rsidR="00E43C81" w:rsidRPr="00153074">
        <w:rPr>
          <w:lang w:val="es-ES_tradnl"/>
        </w:rPr>
        <w:t xml:space="preserve">ampoco representan un factor importante contra el </w:t>
      </w:r>
      <w:r w:rsidR="000634F7" w:rsidRPr="00153074">
        <w:rPr>
          <w:lang w:val="es-ES_tradnl"/>
        </w:rPr>
        <w:t>aumento</w:t>
      </w:r>
      <w:r w:rsidR="00E43C81" w:rsidRPr="00153074">
        <w:rPr>
          <w:lang w:val="es-ES_tradnl"/>
        </w:rPr>
        <w:t xml:space="preserve"> de la desigualdad, la aceleración de la degradación medioambiental ni el impacto brutal de la crisis en las vidas de millones de familias trabajadoras. La confianza ciega </w:t>
      </w:r>
      <w:r w:rsidR="00096772" w:rsidRPr="00153074">
        <w:rPr>
          <w:lang w:val="es-ES_tradnl"/>
        </w:rPr>
        <w:t xml:space="preserve">en la </w:t>
      </w:r>
      <w:r w:rsidR="00E43C81" w:rsidRPr="00153074">
        <w:rPr>
          <w:lang w:val="es-ES_tradnl"/>
        </w:rPr>
        <w:t xml:space="preserve">eficiencia de los mercados </w:t>
      </w:r>
      <w:r w:rsidR="00096772" w:rsidRPr="00153074">
        <w:rPr>
          <w:lang w:val="es-ES_tradnl"/>
        </w:rPr>
        <w:t>no ha</w:t>
      </w:r>
      <w:r w:rsidR="00E43C81" w:rsidRPr="00153074">
        <w:rPr>
          <w:lang w:val="es-ES_tradnl"/>
        </w:rPr>
        <w:t xml:space="preserve"> </w:t>
      </w:r>
      <w:r w:rsidR="00096772" w:rsidRPr="00153074">
        <w:rPr>
          <w:lang w:val="es-ES_tradnl"/>
        </w:rPr>
        <w:t>generado</w:t>
      </w:r>
      <w:r w:rsidR="00E43C81" w:rsidRPr="00153074">
        <w:rPr>
          <w:lang w:val="es-ES_tradnl"/>
        </w:rPr>
        <w:t xml:space="preserve"> progreso, sino que má</w:t>
      </w:r>
      <w:r w:rsidR="00FE7668" w:rsidRPr="00153074">
        <w:rPr>
          <w:lang w:val="es-ES_tradnl"/>
        </w:rPr>
        <w:t>s bien ha provocado una informal</w:t>
      </w:r>
      <w:r w:rsidR="00E43C81" w:rsidRPr="00153074">
        <w:rPr>
          <w:lang w:val="es-ES_tradnl"/>
        </w:rPr>
        <w:t xml:space="preserve">ización desenfrenada y condiciones precarias para las poblaciones trabajadoras, lo cual ha oscurecido seriamente las perspectivas </w:t>
      </w:r>
      <w:r w:rsidR="008C64A5" w:rsidRPr="00153074">
        <w:rPr>
          <w:lang w:val="es-ES_tradnl"/>
        </w:rPr>
        <w:t xml:space="preserve">de futuro </w:t>
      </w:r>
      <w:r w:rsidR="00FE7668" w:rsidRPr="00153074">
        <w:rPr>
          <w:lang w:val="es-ES_tradnl"/>
        </w:rPr>
        <w:t>para</w:t>
      </w:r>
      <w:r w:rsidR="008C64A5" w:rsidRPr="00153074">
        <w:rPr>
          <w:lang w:val="es-ES_tradnl"/>
        </w:rPr>
        <w:t xml:space="preserve"> las nuevas generaciones. Las tendencias de crecimiento del desempleo y la externalización de los beneficios</w:t>
      </w:r>
      <w:r w:rsidR="00C742B2" w:rsidRPr="00153074">
        <w:rPr>
          <w:lang w:val="es-ES_tradnl"/>
        </w:rPr>
        <w:t xml:space="preserve"> a</w:t>
      </w:r>
      <w:r w:rsidR="008C64A5" w:rsidRPr="00153074">
        <w:rPr>
          <w:lang w:val="es-ES_tradnl"/>
        </w:rPr>
        <w:t xml:space="preserve"> paraísos fiscales han privado a muchos países e</w:t>
      </w:r>
      <w:r w:rsidR="00C742B2" w:rsidRPr="00153074">
        <w:rPr>
          <w:lang w:val="es-ES_tradnl"/>
        </w:rPr>
        <w:t xml:space="preserve">n desarrollo de los beneficios que representa </w:t>
      </w:r>
      <w:r w:rsidR="008C64A5" w:rsidRPr="00153074">
        <w:rPr>
          <w:lang w:val="es-ES_tradnl"/>
        </w:rPr>
        <w:t xml:space="preserve">el crecimiento económico para el desarrollo. </w:t>
      </w:r>
    </w:p>
    <w:p w:rsidR="00B1268C" w:rsidRPr="00153074" w:rsidRDefault="00B1268C" w:rsidP="007462FA">
      <w:pPr>
        <w:autoSpaceDE w:val="0"/>
        <w:autoSpaceDN w:val="0"/>
        <w:adjustRightInd w:val="0"/>
        <w:jc w:val="both"/>
        <w:rPr>
          <w:rFonts w:ascii="Arial" w:hAnsi="Arial" w:cs="Arial"/>
          <w:sz w:val="20"/>
          <w:szCs w:val="20"/>
          <w:lang w:val="es-ES_tradnl"/>
        </w:rPr>
      </w:pPr>
    </w:p>
    <w:p w:rsidR="00B1268C" w:rsidRPr="00153074" w:rsidRDefault="008C64A5" w:rsidP="007462FA">
      <w:pPr>
        <w:jc w:val="both"/>
        <w:rPr>
          <w:lang w:val="es-ES_tradnl"/>
        </w:rPr>
      </w:pPr>
      <w:r w:rsidRPr="00153074">
        <w:rPr>
          <w:lang w:val="es-ES_tradnl"/>
        </w:rPr>
        <w:t xml:space="preserve">La </w:t>
      </w:r>
      <w:r w:rsidR="003A4EDB" w:rsidRPr="00153074">
        <w:rPr>
          <w:lang w:val="es-ES_tradnl"/>
        </w:rPr>
        <w:t>OIT</w:t>
      </w:r>
      <w:r w:rsidR="00B1268C" w:rsidRPr="00153074">
        <w:rPr>
          <w:lang w:val="es-ES_tradnl"/>
        </w:rPr>
        <w:t xml:space="preserve"> </w:t>
      </w:r>
      <w:r w:rsidRPr="00153074">
        <w:rPr>
          <w:lang w:val="es-ES_tradnl"/>
        </w:rPr>
        <w:t>informa sobre la creciente desigualdad</w:t>
      </w:r>
      <w:r w:rsidR="00B1268C" w:rsidRPr="00153074">
        <w:rPr>
          <w:lang w:val="es-ES_tradnl"/>
        </w:rPr>
        <w:t xml:space="preserve"> (</w:t>
      </w:r>
      <w:r w:rsidR="003A4EDB" w:rsidRPr="00153074">
        <w:rPr>
          <w:lang w:val="es-ES_tradnl"/>
        </w:rPr>
        <w:t>OIT</w:t>
      </w:r>
      <w:r w:rsidR="00B1268C" w:rsidRPr="00153074">
        <w:rPr>
          <w:lang w:val="es-ES_tradnl"/>
        </w:rPr>
        <w:t xml:space="preserve"> 2012)</w:t>
      </w:r>
      <w:r w:rsidR="005102B4" w:rsidRPr="00153074">
        <w:rPr>
          <w:lang w:val="es-ES_tradnl"/>
        </w:rPr>
        <w:t>,</w:t>
      </w:r>
      <w:r w:rsidRPr="00153074">
        <w:rPr>
          <w:lang w:val="es-ES_tradnl"/>
        </w:rPr>
        <w:t xml:space="preserve"> la</w:t>
      </w:r>
      <w:r w:rsidR="005102B4" w:rsidRPr="00153074">
        <w:rPr>
          <w:lang w:val="es-ES_tradnl"/>
        </w:rPr>
        <w:t xml:space="preserve"> UNCTAD</w:t>
      </w:r>
      <w:r w:rsidR="00B1268C" w:rsidRPr="00153074">
        <w:rPr>
          <w:lang w:val="es-ES_tradnl"/>
        </w:rPr>
        <w:t xml:space="preserve"> </w:t>
      </w:r>
      <w:r w:rsidRPr="00153074">
        <w:rPr>
          <w:lang w:val="es-ES_tradnl"/>
        </w:rPr>
        <w:t>sobre la globalización dirigida por el desarrollo</w:t>
      </w:r>
      <w:r w:rsidR="00B1268C" w:rsidRPr="00153074">
        <w:rPr>
          <w:lang w:val="es-ES_tradnl"/>
        </w:rPr>
        <w:t xml:space="preserve"> (UNCTAD 2012)</w:t>
      </w:r>
      <w:r w:rsidR="00525E63" w:rsidRPr="00153074">
        <w:rPr>
          <w:lang w:val="es-ES_tradnl"/>
        </w:rPr>
        <w:t xml:space="preserve"> </w:t>
      </w:r>
      <w:r w:rsidRPr="00153074">
        <w:rPr>
          <w:lang w:val="es-ES_tradnl"/>
        </w:rPr>
        <w:t xml:space="preserve">y muchos otros indicadores preocupantes deberían revelar a la comunidad del desarrollo </w:t>
      </w:r>
      <w:r w:rsidR="0098705D" w:rsidRPr="00153074">
        <w:rPr>
          <w:lang w:val="es-ES_tradnl"/>
        </w:rPr>
        <w:t>y a</w:t>
      </w:r>
      <w:r w:rsidRPr="00153074">
        <w:rPr>
          <w:lang w:val="es-ES_tradnl"/>
        </w:rPr>
        <w:t xml:space="preserve"> los responsables políticos que la ayuda al desarrollo no ha aportado desarrollo </w:t>
      </w:r>
      <w:r w:rsidR="0098705D" w:rsidRPr="00153074">
        <w:rPr>
          <w:lang w:val="es-ES_tradnl"/>
        </w:rPr>
        <w:t>a causa de</w:t>
      </w:r>
      <w:r w:rsidRPr="00153074">
        <w:rPr>
          <w:lang w:val="es-ES_tradnl"/>
        </w:rPr>
        <w:t xml:space="preserve"> la incoherencia política. Existe sin embargo una mayor </w:t>
      </w:r>
      <w:r w:rsidR="000634F7" w:rsidRPr="00153074">
        <w:rPr>
          <w:lang w:val="es-ES_tradnl"/>
        </w:rPr>
        <w:t>concienciación en cuanto a</w:t>
      </w:r>
      <w:r w:rsidR="009B19AC" w:rsidRPr="00153074">
        <w:rPr>
          <w:lang w:val="es-ES_tradnl"/>
        </w:rPr>
        <w:t xml:space="preserve"> la necesidad de </w:t>
      </w:r>
      <w:r w:rsidR="000634F7" w:rsidRPr="00153074">
        <w:rPr>
          <w:lang w:val="es-ES_tradnl"/>
        </w:rPr>
        <w:t>más</w:t>
      </w:r>
      <w:r w:rsidR="009B19AC" w:rsidRPr="00153074">
        <w:rPr>
          <w:lang w:val="es-ES_tradnl"/>
        </w:rPr>
        <w:t xml:space="preserve"> coherencia política, como </w:t>
      </w:r>
      <w:r w:rsidR="007F13BA" w:rsidRPr="00153074">
        <w:rPr>
          <w:lang w:val="es-ES_tradnl"/>
        </w:rPr>
        <w:t xml:space="preserve">por ejemplo </w:t>
      </w:r>
      <w:r w:rsidR="009B19AC" w:rsidRPr="00153074">
        <w:rPr>
          <w:lang w:val="es-ES_tradnl"/>
        </w:rPr>
        <w:t>en la recién adoptada Estrategia de Desarrollo de la OCDE</w:t>
      </w:r>
      <w:r w:rsidR="00B1268C" w:rsidRPr="00153074">
        <w:rPr>
          <w:rStyle w:val="FootnoteReference"/>
          <w:lang w:val="es-ES_tradnl"/>
        </w:rPr>
        <w:footnoteReference w:id="15"/>
      </w:r>
      <w:r w:rsidR="00B1268C" w:rsidRPr="00153074">
        <w:rPr>
          <w:lang w:val="es-ES_tradnl"/>
        </w:rPr>
        <w:t xml:space="preserve"> o</w:t>
      </w:r>
      <w:r w:rsidR="009B19AC" w:rsidRPr="00153074">
        <w:rPr>
          <w:lang w:val="es-ES_tradnl"/>
        </w:rPr>
        <w:t xml:space="preserve"> en el </w:t>
      </w:r>
      <w:r w:rsidR="002A7792" w:rsidRPr="00153074">
        <w:rPr>
          <w:lang w:val="es-ES_tradnl"/>
        </w:rPr>
        <w:t>“</w:t>
      </w:r>
      <w:r w:rsidR="009B19AC" w:rsidRPr="00153074">
        <w:rPr>
          <w:lang w:val="es-ES_tradnl"/>
        </w:rPr>
        <w:t>Programa para el Cambio</w:t>
      </w:r>
      <w:r w:rsidR="002A7792" w:rsidRPr="00153074">
        <w:rPr>
          <w:lang w:val="es-ES_tradnl"/>
        </w:rPr>
        <w:t>”</w:t>
      </w:r>
      <w:r w:rsidR="009B19AC" w:rsidRPr="00153074">
        <w:rPr>
          <w:lang w:val="es-ES_tradnl"/>
        </w:rPr>
        <w:t xml:space="preserve"> de la UE</w:t>
      </w:r>
      <w:r w:rsidR="00B1268C" w:rsidRPr="00153074">
        <w:rPr>
          <w:rStyle w:val="FootnoteReference"/>
          <w:rFonts w:ascii="Arial" w:hAnsi="Arial" w:cs="Arial"/>
          <w:sz w:val="20"/>
          <w:szCs w:val="20"/>
          <w:lang w:val="es-ES_tradnl"/>
        </w:rPr>
        <w:footnoteReference w:id="16"/>
      </w:r>
      <w:r w:rsidR="00B1268C" w:rsidRPr="00153074">
        <w:rPr>
          <w:lang w:val="es-ES_tradnl"/>
        </w:rPr>
        <w:t>.</w:t>
      </w:r>
    </w:p>
    <w:p w:rsidR="008D3287" w:rsidRPr="00153074" w:rsidRDefault="008D3287" w:rsidP="007462FA">
      <w:pPr>
        <w:pStyle w:val="Heading3"/>
        <w:rPr>
          <w:lang w:val="es-ES_tradnl"/>
        </w:rPr>
      </w:pPr>
      <w:bookmarkStart w:id="81" w:name="_Toc359331996"/>
    </w:p>
    <w:p w:rsidR="00B1268C" w:rsidRPr="00153074" w:rsidRDefault="00D51919" w:rsidP="007462FA">
      <w:pPr>
        <w:pStyle w:val="Heading3"/>
        <w:rPr>
          <w:lang w:val="es-ES_tradnl"/>
        </w:rPr>
      </w:pPr>
      <w:bookmarkStart w:id="82" w:name="_Toc369604931"/>
      <w:r w:rsidRPr="00153074">
        <w:rPr>
          <w:lang w:val="es-ES_tradnl"/>
        </w:rPr>
        <w:t>¿Un enfoque para el desarrollo basado en los derechos</w:t>
      </w:r>
      <w:r w:rsidR="00B1268C" w:rsidRPr="00153074">
        <w:rPr>
          <w:lang w:val="es-ES_tradnl"/>
        </w:rPr>
        <w:t>?</w:t>
      </w:r>
      <w:bookmarkEnd w:id="81"/>
      <w:bookmarkEnd w:id="82"/>
    </w:p>
    <w:p w:rsidR="00B1268C" w:rsidRPr="00153074" w:rsidRDefault="008D0E34" w:rsidP="007462FA">
      <w:pPr>
        <w:jc w:val="both"/>
        <w:rPr>
          <w:lang w:val="es-ES_tradnl"/>
        </w:rPr>
      </w:pPr>
      <w:r w:rsidRPr="00153074">
        <w:rPr>
          <w:lang w:val="es-ES_tradnl"/>
        </w:rPr>
        <w:t xml:space="preserve">Se </w:t>
      </w:r>
      <w:r w:rsidR="00FE658B" w:rsidRPr="00153074">
        <w:rPr>
          <w:lang w:val="es-ES_tradnl"/>
        </w:rPr>
        <w:t>puede consultar la</w:t>
      </w:r>
      <w:r w:rsidR="00D911E7" w:rsidRPr="00153074">
        <w:rPr>
          <w:lang w:val="es-ES_tradnl"/>
        </w:rPr>
        <w:t xml:space="preserve"> extensa bibliografía que confirma la necesidad de un enfoque para el desarrollo basado en los derechos, empezando por la idea básica de que la reducción de la pobreza y el desarrollo económico </w:t>
      </w:r>
      <w:r w:rsidRPr="00153074">
        <w:rPr>
          <w:lang w:val="es-ES_tradnl"/>
        </w:rPr>
        <w:t>comienzan</w:t>
      </w:r>
      <w:r w:rsidR="00F01102" w:rsidRPr="00153074">
        <w:rPr>
          <w:lang w:val="es-ES_tradnl"/>
        </w:rPr>
        <w:t xml:space="preserve"> por</w:t>
      </w:r>
      <w:r w:rsidR="00D911E7" w:rsidRPr="00153074">
        <w:rPr>
          <w:lang w:val="es-ES_tradnl"/>
        </w:rPr>
        <w:t>, y está</w:t>
      </w:r>
      <w:r w:rsidR="009806C1" w:rsidRPr="00153074">
        <w:rPr>
          <w:lang w:val="es-ES_tradnl"/>
        </w:rPr>
        <w:t>n</w:t>
      </w:r>
      <w:r w:rsidR="00D911E7" w:rsidRPr="00153074">
        <w:rPr>
          <w:lang w:val="es-ES_tradnl"/>
        </w:rPr>
        <w:t xml:space="preserve"> co</w:t>
      </w:r>
      <w:r w:rsidR="00921141" w:rsidRPr="00153074">
        <w:rPr>
          <w:lang w:val="es-ES_tradnl"/>
        </w:rPr>
        <w:t>ndicionado</w:t>
      </w:r>
      <w:r w:rsidR="009806C1" w:rsidRPr="00153074">
        <w:rPr>
          <w:lang w:val="es-ES_tradnl"/>
        </w:rPr>
        <w:t>s</w:t>
      </w:r>
      <w:r w:rsidR="00921141" w:rsidRPr="00153074">
        <w:rPr>
          <w:lang w:val="es-ES_tradnl"/>
        </w:rPr>
        <w:t xml:space="preserve"> a, el respeto </w:t>
      </w:r>
      <w:r w:rsidR="009806C1" w:rsidRPr="00153074">
        <w:rPr>
          <w:lang w:val="es-ES_tradnl"/>
        </w:rPr>
        <w:t>de</w:t>
      </w:r>
      <w:r w:rsidR="00921141" w:rsidRPr="00153074">
        <w:rPr>
          <w:lang w:val="es-ES_tradnl"/>
        </w:rPr>
        <w:t xml:space="preserve"> un</w:t>
      </w:r>
      <w:r w:rsidR="00D911E7" w:rsidRPr="00153074">
        <w:rPr>
          <w:lang w:val="es-ES_tradnl"/>
        </w:rPr>
        <w:t xml:space="preserve"> ejercicio</w:t>
      </w:r>
      <w:r w:rsidR="00921141" w:rsidRPr="00153074">
        <w:rPr>
          <w:lang w:val="es-ES_tradnl"/>
        </w:rPr>
        <w:t xml:space="preserve"> efectivo d</w:t>
      </w:r>
      <w:r w:rsidR="00D911E7" w:rsidRPr="00153074">
        <w:rPr>
          <w:lang w:val="es-ES_tradnl"/>
        </w:rPr>
        <w:t xml:space="preserve">e </w:t>
      </w:r>
      <w:r w:rsidR="00921141" w:rsidRPr="00153074">
        <w:rPr>
          <w:lang w:val="es-ES_tradnl"/>
        </w:rPr>
        <w:t xml:space="preserve">los </w:t>
      </w:r>
      <w:r w:rsidR="00D911E7" w:rsidRPr="00153074">
        <w:rPr>
          <w:lang w:val="es-ES_tradnl"/>
        </w:rPr>
        <w:t xml:space="preserve">principios democráticos y </w:t>
      </w:r>
      <w:r w:rsidR="00921141" w:rsidRPr="00153074">
        <w:rPr>
          <w:lang w:val="es-ES_tradnl"/>
        </w:rPr>
        <w:t xml:space="preserve">los </w:t>
      </w:r>
      <w:r w:rsidR="00D911E7" w:rsidRPr="00153074">
        <w:rPr>
          <w:lang w:val="es-ES_tradnl"/>
        </w:rPr>
        <w:t xml:space="preserve">derechos humanos fundamentales. </w:t>
      </w:r>
      <w:r w:rsidR="00F01102" w:rsidRPr="00153074">
        <w:rPr>
          <w:lang w:val="es-ES_tradnl"/>
        </w:rPr>
        <w:t>Según lo expresa</w:t>
      </w:r>
      <w:r w:rsidR="00D911E7" w:rsidRPr="00153074">
        <w:rPr>
          <w:lang w:val="es-ES_tradnl"/>
        </w:rPr>
        <w:t xml:space="preserve"> </w:t>
      </w:r>
      <w:r w:rsidR="00B1268C" w:rsidRPr="00153074">
        <w:rPr>
          <w:lang w:val="es-ES_tradnl"/>
        </w:rPr>
        <w:t>Amartya Sen (1999)</w:t>
      </w:r>
      <w:r w:rsidR="00D911E7" w:rsidRPr="00153074">
        <w:rPr>
          <w:lang w:val="es-ES_tradnl"/>
        </w:rPr>
        <w:t xml:space="preserve">: </w:t>
      </w:r>
      <w:r w:rsidR="002A7792" w:rsidRPr="00153074">
        <w:rPr>
          <w:lang w:val="es-ES_tradnl"/>
        </w:rPr>
        <w:t>“</w:t>
      </w:r>
      <w:r w:rsidR="00D911E7" w:rsidRPr="00153074">
        <w:rPr>
          <w:lang w:val="es-ES_tradnl"/>
        </w:rPr>
        <w:t>Al juzgar el desarrollo económico, no resulta adecuado examinar únicamente el crecimiento del PNB o algún otro indicador de la expansión económica global. Tenemos que examinar también el impacto de la democracia y las libertades políticas en las vidas y capacidades de los ciudadanos</w:t>
      </w:r>
      <w:r w:rsidR="00B1268C" w:rsidRPr="00153074">
        <w:rPr>
          <w:lang w:val="es-ES_tradnl"/>
        </w:rPr>
        <w:t>.</w:t>
      </w:r>
      <w:r w:rsidR="002A7792" w:rsidRPr="00153074">
        <w:rPr>
          <w:lang w:val="es-ES_tradnl"/>
        </w:rPr>
        <w:t>”</w:t>
      </w:r>
      <w:r w:rsidR="00B1268C" w:rsidRPr="00153074">
        <w:rPr>
          <w:lang w:val="es-ES_tradnl"/>
        </w:rPr>
        <w:t xml:space="preserve"> </w:t>
      </w:r>
      <w:r w:rsidR="009806C1" w:rsidRPr="00153074">
        <w:rPr>
          <w:lang w:val="es-ES_tradnl"/>
        </w:rPr>
        <w:t>Estudiando</w:t>
      </w:r>
      <w:r w:rsidR="00D911E7" w:rsidRPr="00153074">
        <w:rPr>
          <w:lang w:val="es-ES_tradnl"/>
        </w:rPr>
        <w:t xml:space="preserve"> más concretamente la política de la ayuda,</w:t>
      </w:r>
      <w:r w:rsidR="009806C1" w:rsidRPr="00153074">
        <w:rPr>
          <w:lang w:val="es-ES_tradnl"/>
        </w:rPr>
        <w:t xml:space="preserve"> a veces</w:t>
      </w:r>
      <w:r w:rsidR="00D911E7" w:rsidRPr="00153074">
        <w:rPr>
          <w:lang w:val="es-ES_tradnl"/>
        </w:rPr>
        <w:t xml:space="preserve"> el debate se ha centrado </w:t>
      </w:r>
      <w:r w:rsidR="00914A6B" w:rsidRPr="00153074">
        <w:rPr>
          <w:lang w:val="es-ES_tradnl"/>
        </w:rPr>
        <w:t xml:space="preserve">en cómo determinados grupos afectados por la pobreza se </w:t>
      </w:r>
      <w:r w:rsidR="00914A6B" w:rsidRPr="00153074">
        <w:rPr>
          <w:i/>
          <w:lang w:val="es-ES_tradnl"/>
        </w:rPr>
        <w:t xml:space="preserve">fortalecen </w:t>
      </w:r>
      <w:r w:rsidR="00914A6B" w:rsidRPr="00153074">
        <w:rPr>
          <w:lang w:val="es-ES_tradnl"/>
        </w:rPr>
        <w:t>política, económica y socialmente</w:t>
      </w:r>
      <w:r w:rsidR="00B1268C" w:rsidRPr="00153074">
        <w:rPr>
          <w:rStyle w:val="FootnoteReference"/>
          <w:rFonts w:ascii="Arial" w:hAnsi="Arial" w:cs="Arial"/>
          <w:sz w:val="20"/>
          <w:szCs w:val="20"/>
          <w:lang w:val="es-ES_tradnl"/>
        </w:rPr>
        <w:footnoteReference w:id="17"/>
      </w:r>
      <w:r w:rsidR="00B1268C" w:rsidRPr="00153074">
        <w:rPr>
          <w:lang w:val="es-ES_tradnl"/>
        </w:rPr>
        <w:t xml:space="preserve">. </w:t>
      </w:r>
      <w:r w:rsidR="00914A6B" w:rsidRPr="00153074">
        <w:rPr>
          <w:lang w:val="es-ES_tradnl"/>
        </w:rPr>
        <w:t xml:space="preserve">Un enfoque basado en los derechos intentaría identificar </w:t>
      </w:r>
      <w:r w:rsidR="00F01102" w:rsidRPr="00153074">
        <w:rPr>
          <w:lang w:val="es-ES_tradnl"/>
        </w:rPr>
        <w:t>en qué</w:t>
      </w:r>
      <w:r w:rsidR="00914A6B" w:rsidRPr="00153074">
        <w:rPr>
          <w:lang w:val="es-ES_tradnl"/>
        </w:rPr>
        <w:t xml:space="preserve"> medida las iniciativas del sector privado </w:t>
      </w:r>
      <w:r w:rsidR="00F01102" w:rsidRPr="00153074">
        <w:rPr>
          <w:lang w:val="es-ES_tradnl"/>
        </w:rPr>
        <w:t>repercuten en</w:t>
      </w:r>
      <w:r w:rsidR="009806C1" w:rsidRPr="00153074">
        <w:rPr>
          <w:lang w:val="es-ES_tradnl"/>
        </w:rPr>
        <w:t xml:space="preserve">, </w:t>
      </w:r>
      <w:r w:rsidR="00814354" w:rsidRPr="00153074">
        <w:rPr>
          <w:lang w:val="es-ES_tradnl"/>
        </w:rPr>
        <w:t>e incorpora</w:t>
      </w:r>
      <w:r w:rsidR="00F01102" w:rsidRPr="00153074">
        <w:rPr>
          <w:lang w:val="es-ES_tradnl"/>
        </w:rPr>
        <w:t>n</w:t>
      </w:r>
      <w:r w:rsidR="00814354" w:rsidRPr="00153074">
        <w:rPr>
          <w:lang w:val="es-ES_tradnl"/>
        </w:rPr>
        <w:t xml:space="preserve"> factores </w:t>
      </w:r>
      <w:r w:rsidR="00FE658B" w:rsidRPr="00153074">
        <w:rPr>
          <w:lang w:val="es-ES_tradnl"/>
        </w:rPr>
        <w:t>relativos a</w:t>
      </w:r>
      <w:r w:rsidR="00E403B4" w:rsidRPr="00153074">
        <w:rPr>
          <w:lang w:val="es-ES_tradnl"/>
        </w:rPr>
        <w:t>,</w:t>
      </w:r>
      <w:r w:rsidR="00814354" w:rsidRPr="00153074">
        <w:rPr>
          <w:lang w:val="es-ES_tradnl"/>
        </w:rPr>
        <w:t xml:space="preserve"> los derechos de las poblaciones en </w:t>
      </w:r>
      <w:r w:rsidR="00921141" w:rsidRPr="00153074">
        <w:rPr>
          <w:lang w:val="es-ES_tradnl"/>
        </w:rPr>
        <w:t>situación de riesgo</w:t>
      </w:r>
      <w:r w:rsidR="00814354" w:rsidRPr="00153074">
        <w:rPr>
          <w:lang w:val="es-ES_tradnl"/>
        </w:rPr>
        <w:t xml:space="preserve">, </w:t>
      </w:r>
      <w:r w:rsidR="00B1268C" w:rsidRPr="00153074">
        <w:rPr>
          <w:lang w:val="es-ES_tradnl"/>
        </w:rPr>
        <w:t xml:space="preserve">inter alia </w:t>
      </w:r>
      <w:r w:rsidR="00814354" w:rsidRPr="00153074">
        <w:rPr>
          <w:lang w:val="es-ES_tradnl"/>
        </w:rPr>
        <w:t xml:space="preserve">los trabajadores de la economía </w:t>
      </w:r>
      <w:r w:rsidR="00B1268C" w:rsidRPr="00153074">
        <w:rPr>
          <w:lang w:val="es-ES_tradnl"/>
        </w:rPr>
        <w:t xml:space="preserve">informal </w:t>
      </w:r>
      <w:r w:rsidR="00814354" w:rsidRPr="00153074">
        <w:rPr>
          <w:lang w:val="es-ES_tradnl"/>
        </w:rPr>
        <w:t>en zonas urbanas, los pequeños campesinos y comunidades indígenas en zonas rurales</w:t>
      </w:r>
      <w:r w:rsidR="00B1268C" w:rsidRPr="00153074">
        <w:rPr>
          <w:lang w:val="es-ES_tradnl"/>
        </w:rPr>
        <w:t xml:space="preserve">, etc. </w:t>
      </w:r>
    </w:p>
    <w:p w:rsidR="00B1268C" w:rsidRPr="00153074" w:rsidRDefault="00B1268C" w:rsidP="007462FA">
      <w:pPr>
        <w:jc w:val="both"/>
        <w:rPr>
          <w:lang w:val="es-ES_tradnl"/>
        </w:rPr>
      </w:pPr>
    </w:p>
    <w:p w:rsidR="00B1268C" w:rsidRPr="00153074" w:rsidRDefault="000C59EA" w:rsidP="007462FA">
      <w:pPr>
        <w:jc w:val="both"/>
        <w:rPr>
          <w:lang w:val="es-ES_tradnl"/>
        </w:rPr>
      </w:pPr>
      <w:r w:rsidRPr="00153074">
        <w:rPr>
          <w:lang w:val="es-ES_tradnl"/>
        </w:rPr>
        <w:t>Afortunadamente, la mayoría de los procesos internacionales citan normas internacionales claves</w:t>
      </w:r>
      <w:r w:rsidR="00241770" w:rsidRPr="00153074">
        <w:rPr>
          <w:lang w:val="es-ES_tradnl"/>
        </w:rPr>
        <w:t xml:space="preserve"> relacionadas con </w:t>
      </w:r>
      <w:r w:rsidRPr="00153074">
        <w:rPr>
          <w:lang w:val="es-ES_tradnl"/>
        </w:rPr>
        <w:t xml:space="preserve">los derechos humanos, incluyendo la promoción del trabajo decente y los derechos a la negociación colectiva. </w:t>
      </w:r>
      <w:r w:rsidR="00EE7019" w:rsidRPr="00153074">
        <w:rPr>
          <w:lang w:val="es-ES_tradnl"/>
        </w:rPr>
        <w:t>La Alianza de Busan</w:t>
      </w:r>
      <w:r w:rsidR="00B1268C" w:rsidRPr="00153074">
        <w:rPr>
          <w:lang w:val="es-ES_tradnl"/>
        </w:rPr>
        <w:t xml:space="preserve">, </w:t>
      </w:r>
      <w:r w:rsidR="002F0F28" w:rsidRPr="00153074">
        <w:rPr>
          <w:lang w:val="es-ES_tradnl"/>
        </w:rPr>
        <w:t>por ejemplo, reconoce la necesidad de coherencia con</w:t>
      </w:r>
      <w:r w:rsidR="008F09F5" w:rsidRPr="00153074">
        <w:rPr>
          <w:lang w:val="es-ES_tradnl"/>
        </w:rPr>
        <w:t xml:space="preserve"> los “</w:t>
      </w:r>
      <w:r w:rsidR="002F0F28" w:rsidRPr="00153074">
        <w:rPr>
          <w:lang w:val="es-ES_tradnl"/>
        </w:rPr>
        <w:t>compromisos internacionales acordados en materia de derechos humanos, trabajo decente, igualdad de género, sostenibilidad ambiental y discapacidad</w:t>
      </w:r>
      <w:r w:rsidR="002A7792" w:rsidRPr="00153074">
        <w:rPr>
          <w:lang w:val="es-ES_tradnl"/>
        </w:rPr>
        <w:t>”</w:t>
      </w:r>
      <w:r w:rsidR="002F0F28" w:rsidRPr="00153074">
        <w:rPr>
          <w:lang w:val="es-ES_tradnl"/>
        </w:rPr>
        <w:t xml:space="preserve"> así como el </w:t>
      </w:r>
      <w:r w:rsidR="002A7792" w:rsidRPr="00153074">
        <w:rPr>
          <w:lang w:val="es-ES_tradnl"/>
        </w:rPr>
        <w:t>“</w:t>
      </w:r>
      <w:r w:rsidR="002F0F28" w:rsidRPr="00153074">
        <w:rPr>
          <w:lang w:val="es-ES_tradnl"/>
        </w:rPr>
        <w:t>papel fundamental</w:t>
      </w:r>
      <w:r w:rsidR="002A7792" w:rsidRPr="00153074">
        <w:rPr>
          <w:lang w:val="es-ES_tradnl"/>
        </w:rPr>
        <w:t>”</w:t>
      </w:r>
      <w:r w:rsidR="002F0F28" w:rsidRPr="00153074">
        <w:rPr>
          <w:lang w:val="es-ES_tradnl"/>
        </w:rPr>
        <w:t xml:space="preserve"> de las ONG en </w:t>
      </w:r>
      <w:r w:rsidR="002A7792" w:rsidRPr="00153074">
        <w:rPr>
          <w:lang w:val="es-ES_tradnl"/>
        </w:rPr>
        <w:t>“</w:t>
      </w:r>
      <w:r w:rsidR="002F0F28" w:rsidRPr="00153074">
        <w:rPr>
          <w:lang w:val="es-ES_tradnl"/>
        </w:rPr>
        <w:t>la promoción de enfoques basados en los derechos</w:t>
      </w:r>
      <w:r w:rsidR="002A7792" w:rsidRPr="00153074">
        <w:rPr>
          <w:lang w:val="es-ES_tradnl"/>
        </w:rPr>
        <w:t>”</w:t>
      </w:r>
      <w:r w:rsidR="002F0F28" w:rsidRPr="00153074">
        <w:rPr>
          <w:lang w:val="es-ES_tradnl"/>
        </w:rPr>
        <w:t xml:space="preserve">. El GT del G20 sobre desarrollo apoya un llamamiento para que </w:t>
      </w:r>
      <w:r w:rsidR="002A7792" w:rsidRPr="00153074">
        <w:rPr>
          <w:lang w:val="es-ES_tradnl"/>
        </w:rPr>
        <w:t>“</w:t>
      </w:r>
      <w:r w:rsidR="002F0F28" w:rsidRPr="00153074">
        <w:rPr>
          <w:lang w:val="es-ES_tradnl"/>
        </w:rPr>
        <w:t>todos los países</w:t>
      </w:r>
      <w:r w:rsidR="002A7792" w:rsidRPr="00153074">
        <w:rPr>
          <w:lang w:val="es-ES_tradnl"/>
        </w:rPr>
        <w:t>”</w:t>
      </w:r>
      <w:r w:rsidR="002F0F28" w:rsidRPr="00153074">
        <w:rPr>
          <w:lang w:val="es-ES_tradnl"/>
        </w:rPr>
        <w:t xml:space="preserve"> </w:t>
      </w:r>
      <w:r w:rsidR="002A7792" w:rsidRPr="00153074">
        <w:rPr>
          <w:lang w:val="es-ES_tradnl"/>
        </w:rPr>
        <w:t>“</w:t>
      </w:r>
      <w:r w:rsidR="002F0F28" w:rsidRPr="00153074">
        <w:rPr>
          <w:lang w:val="es-ES_tradnl"/>
        </w:rPr>
        <w:t>fomenten</w:t>
      </w:r>
      <w:r w:rsidR="002A7792" w:rsidRPr="00153074">
        <w:rPr>
          <w:lang w:val="es-ES_tradnl"/>
        </w:rPr>
        <w:t>”</w:t>
      </w:r>
      <w:r w:rsidR="002F0F28" w:rsidRPr="00153074">
        <w:rPr>
          <w:lang w:val="es-ES_tradnl"/>
        </w:rPr>
        <w:t xml:space="preserve"> los Principios Rectores de las Naciones</w:t>
      </w:r>
      <w:r w:rsidR="00C4016D" w:rsidRPr="00153074">
        <w:rPr>
          <w:lang w:val="es-ES_tradnl"/>
        </w:rPr>
        <w:t xml:space="preserve"> </w:t>
      </w:r>
      <w:r w:rsidR="008F09F5" w:rsidRPr="00153074">
        <w:rPr>
          <w:lang w:val="es-ES_tradnl"/>
        </w:rPr>
        <w:t xml:space="preserve">Unidas </w:t>
      </w:r>
      <w:r w:rsidR="002F0F28" w:rsidRPr="00153074">
        <w:rPr>
          <w:lang w:val="es-ES_tradnl"/>
        </w:rPr>
        <w:t xml:space="preserve">sobre Empresas y Derechos Humanos, la Declaración Tripartita sobre EMN de la OIT </w:t>
      </w:r>
      <w:r w:rsidR="007D07BF" w:rsidRPr="00153074">
        <w:rPr>
          <w:lang w:val="es-ES_tradnl"/>
        </w:rPr>
        <w:t xml:space="preserve">y las </w:t>
      </w:r>
      <w:r w:rsidR="007D07BF" w:rsidRPr="00153074">
        <w:rPr>
          <w:lang w:val="es-ES_tradnl"/>
        </w:rPr>
        <w:lastRenderedPageBreak/>
        <w:t xml:space="preserve">Directrices de la OCDE para Empresas Multinacionales. Por su parte, el </w:t>
      </w:r>
      <w:r w:rsidR="002A7792" w:rsidRPr="00153074">
        <w:rPr>
          <w:lang w:val="es-ES_tradnl"/>
        </w:rPr>
        <w:t>“</w:t>
      </w:r>
      <w:r w:rsidR="007D07BF" w:rsidRPr="00153074">
        <w:rPr>
          <w:lang w:val="es-ES_tradnl"/>
        </w:rPr>
        <w:t>Programa para el Cambio</w:t>
      </w:r>
      <w:r w:rsidR="002A7792" w:rsidRPr="00153074">
        <w:rPr>
          <w:lang w:val="es-ES_tradnl"/>
        </w:rPr>
        <w:t>”</w:t>
      </w:r>
      <w:r w:rsidR="007D07BF" w:rsidRPr="00153074">
        <w:rPr>
          <w:lang w:val="es-ES_tradnl"/>
        </w:rPr>
        <w:t xml:space="preserve"> de la Comisión Europea solicita a las empresas </w:t>
      </w:r>
      <w:r w:rsidR="002A7792" w:rsidRPr="00153074">
        <w:rPr>
          <w:lang w:val="es-ES_tradnl"/>
        </w:rPr>
        <w:t>“</w:t>
      </w:r>
      <w:r w:rsidR="007033E7" w:rsidRPr="00153074">
        <w:rPr>
          <w:lang w:val="es-ES_tradnl"/>
        </w:rPr>
        <w:t>ceñirse voluntariamente a directrices internacionalmente reconocidas para la responsabilidad social corporativa (RSC)</w:t>
      </w:r>
      <w:r w:rsidR="002A7792" w:rsidRPr="00153074">
        <w:rPr>
          <w:lang w:val="es-ES_tradnl"/>
        </w:rPr>
        <w:t>”</w:t>
      </w:r>
      <w:r w:rsidR="00B1268C" w:rsidRPr="00153074">
        <w:rPr>
          <w:lang w:val="es-ES_tradnl"/>
        </w:rPr>
        <w:t xml:space="preserve"> </w:t>
      </w:r>
      <w:r w:rsidR="00A95731" w:rsidRPr="00153074">
        <w:rPr>
          <w:lang w:val="es-ES_tradnl"/>
        </w:rPr>
        <w:t>que, se</w:t>
      </w:r>
      <w:r w:rsidR="008F09F5" w:rsidRPr="00153074">
        <w:rPr>
          <w:lang w:val="es-ES_tradnl"/>
        </w:rPr>
        <w:t>gún dice</w:t>
      </w:r>
      <w:r w:rsidR="00A95731" w:rsidRPr="00153074">
        <w:rPr>
          <w:lang w:val="es-ES_tradnl"/>
        </w:rPr>
        <w:t xml:space="preserve">, </w:t>
      </w:r>
      <w:r w:rsidR="002A7792" w:rsidRPr="00153074">
        <w:rPr>
          <w:lang w:val="es-ES_tradnl"/>
        </w:rPr>
        <w:t>“</w:t>
      </w:r>
      <w:r w:rsidR="005E0D87" w:rsidRPr="00153074">
        <w:rPr>
          <w:lang w:val="es-ES_tradnl"/>
        </w:rPr>
        <w:t xml:space="preserve">puede ayudar a evitar una </w:t>
      </w:r>
      <w:r w:rsidR="005E0D87" w:rsidRPr="00153074">
        <w:rPr>
          <w:i/>
          <w:lang w:val="es-ES_tradnl"/>
        </w:rPr>
        <w:t>puja a la baja</w:t>
      </w:r>
      <w:r w:rsidR="002A7792" w:rsidRPr="00153074">
        <w:rPr>
          <w:lang w:val="es-ES_tradnl"/>
        </w:rPr>
        <w:t>”</w:t>
      </w:r>
      <w:r w:rsidR="00B1268C" w:rsidRPr="00153074">
        <w:rPr>
          <w:lang w:val="es-ES_tradnl"/>
        </w:rPr>
        <w:t xml:space="preserve">. </w:t>
      </w:r>
    </w:p>
    <w:p w:rsidR="00B1268C" w:rsidRPr="00153074" w:rsidRDefault="00B1268C" w:rsidP="007462FA">
      <w:pPr>
        <w:jc w:val="both"/>
        <w:rPr>
          <w:lang w:val="es-ES_tradnl"/>
        </w:rPr>
      </w:pPr>
    </w:p>
    <w:p w:rsidR="00B1268C" w:rsidRPr="00153074" w:rsidRDefault="002A11CE" w:rsidP="007462FA">
      <w:pPr>
        <w:jc w:val="both"/>
        <w:rPr>
          <w:lang w:val="es-ES_tradnl"/>
        </w:rPr>
      </w:pPr>
      <w:r w:rsidRPr="00153074">
        <w:rPr>
          <w:lang w:val="es-ES_tradnl"/>
        </w:rPr>
        <w:t xml:space="preserve">No obstante, la verdad es que estas referencias y afirmaciones generales </w:t>
      </w:r>
      <w:r w:rsidR="003D61C8" w:rsidRPr="00153074">
        <w:rPr>
          <w:lang w:val="es-ES_tradnl"/>
        </w:rPr>
        <w:t xml:space="preserve">rara vez son puestas en práctica o aplicadas con el mismo nivel de compromiso que otros componentes. Para ilustrar esta idea, </w:t>
      </w:r>
      <w:r w:rsidR="00EE7019" w:rsidRPr="00153074">
        <w:rPr>
          <w:lang w:val="es-ES_tradnl"/>
        </w:rPr>
        <w:t>la Alianza de Busan</w:t>
      </w:r>
      <w:r w:rsidR="00B1268C" w:rsidRPr="00153074">
        <w:rPr>
          <w:lang w:val="es-ES_tradnl"/>
        </w:rPr>
        <w:t xml:space="preserve"> </w:t>
      </w:r>
      <w:r w:rsidR="003D61C8" w:rsidRPr="00153074">
        <w:rPr>
          <w:lang w:val="es-ES_tradnl"/>
        </w:rPr>
        <w:t>hace referencia a las normas fundamentales del trabajo y al trabajo decente</w:t>
      </w:r>
      <w:r w:rsidR="00B1268C" w:rsidRPr="00153074">
        <w:rPr>
          <w:lang w:val="es-ES_tradnl"/>
        </w:rPr>
        <w:t xml:space="preserve">, </w:t>
      </w:r>
      <w:r w:rsidR="003D61C8" w:rsidRPr="00153074">
        <w:rPr>
          <w:lang w:val="es-ES_tradnl"/>
        </w:rPr>
        <w:t xml:space="preserve">pero </w:t>
      </w:r>
      <w:r w:rsidR="000E25F1" w:rsidRPr="00153074">
        <w:rPr>
          <w:lang w:val="es-ES_tradnl"/>
        </w:rPr>
        <w:t xml:space="preserve">el Bloque temático sobre cooperación público-privada omite cuidadosamente la cuestión </w:t>
      </w:r>
      <w:r w:rsidR="00E97055" w:rsidRPr="00153074">
        <w:rPr>
          <w:lang w:val="es-ES_tradnl"/>
        </w:rPr>
        <w:t>referente al</w:t>
      </w:r>
      <w:r w:rsidR="000E25F1" w:rsidRPr="00153074">
        <w:rPr>
          <w:lang w:val="es-ES_tradnl"/>
        </w:rPr>
        <w:t xml:space="preserve"> plan de acción en sí</w:t>
      </w:r>
      <w:r w:rsidR="00F27464" w:rsidRPr="00153074">
        <w:rPr>
          <w:lang w:val="es-ES_tradnl"/>
        </w:rPr>
        <w:t xml:space="preserve">. El GT sobre </w:t>
      </w:r>
      <w:r w:rsidR="000E25F1" w:rsidRPr="00153074">
        <w:rPr>
          <w:lang w:val="es-ES_tradnl"/>
        </w:rPr>
        <w:t>desarrollo</w:t>
      </w:r>
      <w:r w:rsidR="00F27464" w:rsidRPr="00153074">
        <w:rPr>
          <w:lang w:val="es-ES_tradnl"/>
        </w:rPr>
        <w:t xml:space="preserve"> aprobó el informe interinstitucional sobre inversión responsable, incluyendo la inquietud con respecto al riesgo </w:t>
      </w:r>
      <w:r w:rsidR="000E25F1" w:rsidRPr="00153074">
        <w:rPr>
          <w:lang w:val="es-ES_tradnl"/>
        </w:rPr>
        <w:t>que representa</w:t>
      </w:r>
      <w:r w:rsidR="00F27464" w:rsidRPr="00153074">
        <w:rPr>
          <w:lang w:val="es-ES_tradnl"/>
        </w:rPr>
        <w:t xml:space="preserve"> el </w:t>
      </w:r>
      <w:r w:rsidR="002E3D5C" w:rsidRPr="00153074">
        <w:rPr>
          <w:lang w:val="es-ES_tradnl"/>
        </w:rPr>
        <w:t>aumento del</w:t>
      </w:r>
      <w:r w:rsidR="00F27464" w:rsidRPr="00153074">
        <w:rPr>
          <w:lang w:val="es-ES_tradnl"/>
        </w:rPr>
        <w:t xml:space="preserve"> proteccionismo. No obstante, más que </w:t>
      </w:r>
      <w:r w:rsidR="006B3EB1" w:rsidRPr="00153074">
        <w:rPr>
          <w:lang w:val="es-ES_tradnl"/>
        </w:rPr>
        <w:t>la</w:t>
      </w:r>
      <w:r w:rsidR="00F27464" w:rsidRPr="00153074">
        <w:rPr>
          <w:lang w:val="es-ES_tradnl"/>
        </w:rPr>
        <w:t xml:space="preserve"> aprobación</w:t>
      </w:r>
      <w:r w:rsidR="006B3EB1" w:rsidRPr="00153074">
        <w:rPr>
          <w:lang w:val="es-ES_tradnl"/>
        </w:rPr>
        <w:t xml:space="preserve"> en sí, lo sorprendente </w:t>
      </w:r>
      <w:r w:rsidR="00F27464" w:rsidRPr="00153074">
        <w:rPr>
          <w:lang w:val="es-ES_tradnl"/>
        </w:rPr>
        <w:t>es que en el plan de trabajo no hay</w:t>
      </w:r>
      <w:r w:rsidR="000E25F1" w:rsidRPr="00153074">
        <w:rPr>
          <w:lang w:val="es-ES_tradnl"/>
        </w:rPr>
        <w:t>a</w:t>
      </w:r>
      <w:r w:rsidR="00F27464" w:rsidRPr="00153074">
        <w:rPr>
          <w:lang w:val="es-ES_tradnl"/>
        </w:rPr>
        <w:t xml:space="preserve"> nada que sugiera que se vaya a tomar algún tipo de </w:t>
      </w:r>
      <w:r w:rsidR="002E3D5C" w:rsidRPr="00153074">
        <w:rPr>
          <w:lang w:val="es-ES_tradnl"/>
        </w:rPr>
        <w:t>medida con relación a</w:t>
      </w:r>
      <w:r w:rsidR="00F27464" w:rsidRPr="00153074">
        <w:rPr>
          <w:lang w:val="es-ES_tradnl"/>
        </w:rPr>
        <w:t xml:space="preserve"> este tema, </w:t>
      </w:r>
      <w:r w:rsidR="00E00060" w:rsidRPr="00153074">
        <w:rPr>
          <w:lang w:val="es-ES_tradnl"/>
        </w:rPr>
        <w:t xml:space="preserve">a diferencia de los numerosos esfuerzos </w:t>
      </w:r>
      <w:r w:rsidR="000E25F1" w:rsidRPr="00153074">
        <w:rPr>
          <w:lang w:val="es-ES_tradnl"/>
        </w:rPr>
        <w:t>relativos a</w:t>
      </w:r>
      <w:r w:rsidR="00E00060" w:rsidRPr="00153074">
        <w:rPr>
          <w:lang w:val="es-ES_tradnl"/>
        </w:rPr>
        <w:t xml:space="preserve"> la promoción de l</w:t>
      </w:r>
      <w:r w:rsidR="001306E9" w:rsidRPr="00153074">
        <w:rPr>
          <w:lang w:val="es-ES_tradnl"/>
        </w:rPr>
        <w:t xml:space="preserve">as </w:t>
      </w:r>
      <w:r w:rsidR="00E54F55" w:rsidRPr="00153074">
        <w:rPr>
          <w:lang w:val="es-ES_tradnl"/>
        </w:rPr>
        <w:t>APP</w:t>
      </w:r>
      <w:r w:rsidR="00B1268C" w:rsidRPr="00153074">
        <w:rPr>
          <w:lang w:val="es-ES_tradnl"/>
        </w:rPr>
        <w:t>.</w:t>
      </w:r>
    </w:p>
    <w:p w:rsidR="00B1268C" w:rsidRPr="00153074" w:rsidRDefault="00B1268C" w:rsidP="007462FA">
      <w:pPr>
        <w:jc w:val="both"/>
        <w:rPr>
          <w:rFonts w:ascii="Arial" w:hAnsi="Arial" w:cs="Arial"/>
          <w:sz w:val="20"/>
          <w:szCs w:val="20"/>
          <w:lang w:val="es-ES_tradnl"/>
        </w:rPr>
      </w:pPr>
    </w:p>
    <w:p w:rsidR="00B1268C" w:rsidRPr="00153074" w:rsidRDefault="009952C5" w:rsidP="007462FA">
      <w:pPr>
        <w:jc w:val="both"/>
        <w:rPr>
          <w:lang w:val="es-ES_tradnl"/>
        </w:rPr>
      </w:pPr>
      <w:r w:rsidRPr="00153074">
        <w:rPr>
          <w:lang w:val="es-ES_tradnl"/>
        </w:rPr>
        <w:t xml:space="preserve">La situación parece más complicada a nivel nacional y en los acuerdos bilaterales, dado que las referencias a las normas – </w:t>
      </w:r>
      <w:r w:rsidR="006B3EB1" w:rsidRPr="00153074">
        <w:rPr>
          <w:lang w:val="es-ES_tradnl"/>
        </w:rPr>
        <w:t>por no hablar de los intentos por</w:t>
      </w:r>
      <w:r w:rsidRPr="00153074">
        <w:rPr>
          <w:lang w:val="es-ES_tradnl"/>
        </w:rPr>
        <w:t xml:space="preserve"> ponerlas en práctica </w:t>
      </w:r>
      <w:r w:rsidR="002E3D5C" w:rsidRPr="00153074">
        <w:rPr>
          <w:lang w:val="es-ES_tradnl"/>
        </w:rPr>
        <w:t xml:space="preserve">o </w:t>
      </w:r>
      <w:r w:rsidRPr="00153074">
        <w:rPr>
          <w:lang w:val="es-ES_tradnl"/>
        </w:rPr>
        <w:t xml:space="preserve">aplicarlas – </w:t>
      </w:r>
      <w:r w:rsidR="006B3EB1" w:rsidRPr="00153074">
        <w:rPr>
          <w:lang w:val="es-ES_tradnl"/>
        </w:rPr>
        <w:t>son</w:t>
      </w:r>
      <w:r w:rsidR="000E25F1" w:rsidRPr="00153074">
        <w:rPr>
          <w:lang w:val="es-ES_tradnl"/>
        </w:rPr>
        <w:t xml:space="preserve"> problemáticas</w:t>
      </w:r>
      <w:r w:rsidRPr="00153074">
        <w:rPr>
          <w:lang w:val="es-ES_tradnl"/>
        </w:rPr>
        <w:t xml:space="preserve"> para las relaciones bilaterales. Según una encuesta preparada por el </w:t>
      </w:r>
      <w:r w:rsidR="00B1268C" w:rsidRPr="00153074">
        <w:rPr>
          <w:lang w:val="es-ES_tradnl"/>
        </w:rPr>
        <w:t>North South Institute</w:t>
      </w:r>
      <w:r w:rsidR="00DD7649" w:rsidRPr="00153074">
        <w:rPr>
          <w:lang w:val="es-ES_tradnl"/>
        </w:rPr>
        <w:t xml:space="preserve"> y el Consejo Canadiense para la Cooperación Internacional, 7 de los 22 donantes examinados</w:t>
      </w:r>
      <w:r w:rsidR="00B1268C" w:rsidRPr="00153074">
        <w:rPr>
          <w:lang w:val="es-ES_tradnl"/>
        </w:rPr>
        <w:t xml:space="preserve"> </w:t>
      </w:r>
      <w:r w:rsidR="002E3D5C" w:rsidRPr="00153074">
        <w:rPr>
          <w:lang w:val="es-ES_tradnl"/>
        </w:rPr>
        <w:t xml:space="preserve">no </w:t>
      </w:r>
      <w:r w:rsidR="006B3EB1" w:rsidRPr="00153074">
        <w:rPr>
          <w:lang w:val="es-ES_tradnl"/>
        </w:rPr>
        <w:t>incluían</w:t>
      </w:r>
      <w:r w:rsidR="00DD7649" w:rsidRPr="00153074">
        <w:rPr>
          <w:lang w:val="es-ES_tradnl"/>
        </w:rPr>
        <w:t xml:space="preserve"> ninguna referencia, mientras que la mitad hizo referencia explícita a dos o más de los estándares o normas voluntarias comunes</w:t>
      </w:r>
      <w:r w:rsidR="00B1268C" w:rsidRPr="00153074">
        <w:rPr>
          <w:lang w:val="es-ES_tradnl"/>
        </w:rPr>
        <w:t xml:space="preserve"> (Kindornay &amp; Reilly-King 2012). </w:t>
      </w:r>
    </w:p>
    <w:p w:rsidR="00B1268C" w:rsidRPr="00153074" w:rsidRDefault="00B1268C" w:rsidP="007462FA">
      <w:pPr>
        <w:jc w:val="both"/>
        <w:rPr>
          <w:rFonts w:ascii="Arial" w:hAnsi="Arial" w:cs="Arial"/>
          <w:sz w:val="20"/>
          <w:szCs w:val="20"/>
          <w:lang w:val="es-ES_tradnl"/>
        </w:rPr>
      </w:pPr>
    </w:p>
    <w:p w:rsidR="00B1268C" w:rsidRPr="00153074" w:rsidRDefault="00DD7649" w:rsidP="007462FA">
      <w:pPr>
        <w:jc w:val="both"/>
        <w:rPr>
          <w:lang w:val="es-ES_tradnl"/>
        </w:rPr>
      </w:pPr>
      <w:r w:rsidRPr="00153074">
        <w:rPr>
          <w:lang w:val="es-ES_tradnl"/>
        </w:rPr>
        <w:t>Por supuesto,</w:t>
      </w:r>
      <w:r w:rsidR="000E25F1" w:rsidRPr="00153074">
        <w:rPr>
          <w:lang w:val="es-ES_tradnl"/>
        </w:rPr>
        <w:t xml:space="preserve"> hay excepciones. Por ejemplo,</w:t>
      </w:r>
      <w:r w:rsidRPr="00153074">
        <w:rPr>
          <w:lang w:val="es-ES_tradnl"/>
        </w:rPr>
        <w:t xml:space="preserve"> como se menciona en el informe R</w:t>
      </w:r>
      <w:r w:rsidR="00B1268C" w:rsidRPr="00153074">
        <w:rPr>
          <w:lang w:val="es-ES_tradnl"/>
        </w:rPr>
        <w:t>eality of Aid 2012,</w:t>
      </w:r>
      <w:r w:rsidRPr="00153074">
        <w:rPr>
          <w:lang w:val="es-ES_tradnl"/>
        </w:rPr>
        <w:t xml:space="preserve"> el </w:t>
      </w:r>
      <w:r w:rsidR="00864464" w:rsidRPr="00153074">
        <w:rPr>
          <w:lang w:val="es-ES_tradnl"/>
        </w:rPr>
        <w:t>Gobierno</w:t>
      </w:r>
      <w:r w:rsidRPr="00153074">
        <w:rPr>
          <w:lang w:val="es-ES_tradnl"/>
        </w:rPr>
        <w:t xml:space="preserve"> holandés </w:t>
      </w:r>
      <w:r w:rsidR="006B3EB1" w:rsidRPr="00153074">
        <w:rPr>
          <w:lang w:val="es-ES_tradnl"/>
        </w:rPr>
        <w:t>ha hecho</w:t>
      </w:r>
      <w:r w:rsidR="006A515F" w:rsidRPr="00153074">
        <w:rPr>
          <w:lang w:val="es-ES_tradnl"/>
        </w:rPr>
        <w:t xml:space="preserve"> obligatorio </w:t>
      </w:r>
      <w:r w:rsidR="00865284" w:rsidRPr="00153074">
        <w:rPr>
          <w:lang w:val="es-ES_tradnl"/>
        </w:rPr>
        <w:t xml:space="preserve">que </w:t>
      </w:r>
      <w:r w:rsidR="002E3D5C" w:rsidRPr="00153074">
        <w:rPr>
          <w:lang w:val="es-ES_tradnl"/>
        </w:rPr>
        <w:t>toda</w:t>
      </w:r>
      <w:r w:rsidR="006A515F" w:rsidRPr="00153074">
        <w:rPr>
          <w:lang w:val="es-ES_tradnl"/>
        </w:rPr>
        <w:t xml:space="preserve"> empresa </w:t>
      </w:r>
      <w:r w:rsidR="00865284" w:rsidRPr="00153074">
        <w:rPr>
          <w:lang w:val="es-ES_tradnl"/>
        </w:rPr>
        <w:t xml:space="preserve">que </w:t>
      </w:r>
      <w:r w:rsidR="006A515F" w:rsidRPr="00153074">
        <w:rPr>
          <w:lang w:val="es-ES_tradnl"/>
        </w:rPr>
        <w:t>recib</w:t>
      </w:r>
      <w:r w:rsidR="002E3D5C" w:rsidRPr="00153074">
        <w:rPr>
          <w:lang w:val="es-ES_tradnl"/>
        </w:rPr>
        <w:t>a</w:t>
      </w:r>
      <w:r w:rsidR="006A515F" w:rsidRPr="00153074">
        <w:rPr>
          <w:lang w:val="es-ES_tradnl"/>
        </w:rPr>
        <w:t xml:space="preserve"> financiación de la AOD</w:t>
      </w:r>
      <w:r w:rsidR="00865284" w:rsidRPr="00153074">
        <w:rPr>
          <w:lang w:val="es-ES_tradnl"/>
        </w:rPr>
        <w:t xml:space="preserve"> cumpla</w:t>
      </w:r>
      <w:r w:rsidR="006A515F" w:rsidRPr="00153074">
        <w:rPr>
          <w:lang w:val="es-ES_tradnl"/>
        </w:rPr>
        <w:t xml:space="preserve"> </w:t>
      </w:r>
      <w:r w:rsidR="002E3D5C" w:rsidRPr="00153074">
        <w:rPr>
          <w:lang w:val="es-ES_tradnl"/>
        </w:rPr>
        <w:t xml:space="preserve">con </w:t>
      </w:r>
      <w:r w:rsidR="006A515F" w:rsidRPr="00153074">
        <w:rPr>
          <w:lang w:val="es-ES_tradnl"/>
        </w:rPr>
        <w:t>las Directrices de la OCDE para Empresas Multinacionales</w:t>
      </w:r>
      <w:r w:rsidR="00865284" w:rsidRPr="00153074">
        <w:rPr>
          <w:lang w:val="es-ES_tradnl"/>
        </w:rPr>
        <w:t xml:space="preserve">. Queda por ver si esto es resultado de un enfoque a la ayuda </w:t>
      </w:r>
      <w:r w:rsidR="00A6246F" w:rsidRPr="00153074">
        <w:rPr>
          <w:lang w:val="es-ES_tradnl"/>
        </w:rPr>
        <w:t xml:space="preserve">efectivamente renovado y </w:t>
      </w:r>
      <w:r w:rsidR="00865284" w:rsidRPr="00153074">
        <w:rPr>
          <w:lang w:val="es-ES_tradnl"/>
        </w:rPr>
        <w:t xml:space="preserve">basado en los derechos </w:t>
      </w:r>
      <w:r w:rsidR="00A6246F" w:rsidRPr="00153074">
        <w:rPr>
          <w:lang w:val="es-ES_tradnl"/>
        </w:rPr>
        <w:t>por parte d</w:t>
      </w:r>
      <w:r w:rsidR="00865284" w:rsidRPr="00153074">
        <w:rPr>
          <w:lang w:val="es-ES_tradnl"/>
        </w:rPr>
        <w:t xml:space="preserve">e los Países Bajos o si se trata más bien </w:t>
      </w:r>
      <w:r w:rsidR="006B3EB1" w:rsidRPr="00153074">
        <w:rPr>
          <w:lang w:val="es-ES_tradnl"/>
        </w:rPr>
        <w:t xml:space="preserve">de </w:t>
      </w:r>
      <w:r w:rsidR="00865284" w:rsidRPr="00153074">
        <w:rPr>
          <w:lang w:val="es-ES_tradnl"/>
        </w:rPr>
        <w:t>(y entonces bienvenida) una mayor visibilidad de las Directrices de la OCDE en dicho país.</w:t>
      </w:r>
    </w:p>
    <w:p w:rsidR="00B1268C" w:rsidRPr="00153074" w:rsidRDefault="00B1268C" w:rsidP="007462FA">
      <w:pPr>
        <w:jc w:val="both"/>
        <w:rPr>
          <w:lang w:val="es-ES_tradnl"/>
        </w:rPr>
      </w:pPr>
    </w:p>
    <w:p w:rsidR="007462FA" w:rsidRPr="00153074" w:rsidRDefault="004B1292" w:rsidP="008D3287">
      <w:pPr>
        <w:rPr>
          <w:sz w:val="8"/>
          <w:lang w:val="es-ES_tradnl"/>
        </w:rPr>
      </w:pPr>
      <w:r w:rsidRPr="00153074">
        <w:rPr>
          <w:lang w:val="es-ES_tradnl"/>
        </w:rPr>
        <w:br w:type="page"/>
      </w:r>
    </w:p>
    <w:p w:rsidR="00B1268C" w:rsidRPr="00153074" w:rsidRDefault="00865284" w:rsidP="00015345">
      <w:pPr>
        <w:pStyle w:val="Heading1"/>
        <w:shd w:val="clear" w:color="auto" w:fill="C2D69B"/>
        <w:spacing w:before="0"/>
        <w:rPr>
          <w:b/>
          <w:sz w:val="36"/>
          <w:u w:val="single"/>
          <w:lang w:val="es-ES_tradnl"/>
        </w:rPr>
      </w:pPr>
      <w:bookmarkStart w:id="83" w:name="_Toc359331997"/>
      <w:bookmarkStart w:id="84" w:name="_Toc369604932"/>
      <w:r w:rsidRPr="00153074">
        <w:rPr>
          <w:b/>
          <w:sz w:val="36"/>
          <w:u w:val="single"/>
          <w:lang w:val="es-ES_tradnl"/>
        </w:rPr>
        <w:lastRenderedPageBreak/>
        <w:t xml:space="preserve">Una </w:t>
      </w:r>
      <w:r w:rsidR="00455C5F" w:rsidRPr="00153074">
        <w:rPr>
          <w:b/>
          <w:sz w:val="36"/>
          <w:u w:val="single"/>
          <w:lang w:val="es-ES_tradnl"/>
        </w:rPr>
        <w:t>P</w:t>
      </w:r>
      <w:r w:rsidRPr="00153074">
        <w:rPr>
          <w:b/>
          <w:sz w:val="36"/>
          <w:u w:val="single"/>
          <w:lang w:val="es-ES_tradnl"/>
        </w:rPr>
        <w:t xml:space="preserve">erspectiva </w:t>
      </w:r>
      <w:r w:rsidR="00455C5F" w:rsidRPr="00153074">
        <w:rPr>
          <w:b/>
          <w:sz w:val="36"/>
          <w:u w:val="single"/>
          <w:lang w:val="es-ES_tradnl"/>
        </w:rPr>
        <w:t>S</w:t>
      </w:r>
      <w:r w:rsidRPr="00153074">
        <w:rPr>
          <w:b/>
          <w:sz w:val="36"/>
          <w:u w:val="single"/>
          <w:lang w:val="es-ES_tradnl"/>
        </w:rPr>
        <w:t>indical</w:t>
      </w:r>
      <w:bookmarkEnd w:id="83"/>
      <w:bookmarkEnd w:id="84"/>
    </w:p>
    <w:p w:rsidR="00B1268C" w:rsidRPr="00153074" w:rsidRDefault="00B1268C" w:rsidP="007462FA">
      <w:pPr>
        <w:jc w:val="both"/>
        <w:rPr>
          <w:rFonts w:ascii="Arial" w:hAnsi="Arial" w:cs="Arial"/>
          <w:sz w:val="20"/>
          <w:szCs w:val="20"/>
          <w:lang w:val="es-ES_tradnl"/>
        </w:rPr>
      </w:pPr>
    </w:p>
    <w:p w:rsidR="00B1268C" w:rsidRPr="00153074" w:rsidRDefault="00A508F5" w:rsidP="007462FA">
      <w:pPr>
        <w:jc w:val="both"/>
        <w:rPr>
          <w:lang w:val="es-ES_tradnl"/>
        </w:rPr>
      </w:pPr>
      <w:r w:rsidRPr="00153074">
        <w:rPr>
          <w:lang w:val="es-ES_tradnl"/>
        </w:rPr>
        <w:t>La comunidad del desarrollo se ha convertido progr</w:t>
      </w:r>
      <w:r w:rsidR="001957B3" w:rsidRPr="00153074">
        <w:rPr>
          <w:lang w:val="es-ES_tradnl"/>
        </w:rPr>
        <w:t>esivamente en un terreno con un número cada vez mayor de</w:t>
      </w:r>
      <w:r w:rsidRPr="00153074">
        <w:rPr>
          <w:lang w:val="es-ES_tradnl"/>
        </w:rPr>
        <w:t xml:space="preserve"> actores e intereses, </w:t>
      </w:r>
      <w:r w:rsidR="001957B3" w:rsidRPr="00153074">
        <w:rPr>
          <w:lang w:val="es-ES_tradnl"/>
        </w:rPr>
        <w:t xml:space="preserve">y </w:t>
      </w:r>
      <w:r w:rsidRPr="00153074">
        <w:rPr>
          <w:lang w:val="es-ES_tradnl"/>
        </w:rPr>
        <w:t>la Alianza Mundial de Bus</w:t>
      </w:r>
      <w:r w:rsidR="00893E83" w:rsidRPr="00153074">
        <w:rPr>
          <w:lang w:val="es-ES_tradnl"/>
        </w:rPr>
        <w:t>á</w:t>
      </w:r>
      <w:r w:rsidRPr="00153074">
        <w:rPr>
          <w:lang w:val="es-ES_tradnl"/>
        </w:rPr>
        <w:t xml:space="preserve">n para una </w:t>
      </w:r>
      <w:r w:rsidR="001957B3" w:rsidRPr="00153074">
        <w:rPr>
          <w:lang w:val="es-ES_tradnl"/>
        </w:rPr>
        <w:t>Cooperación</w:t>
      </w:r>
      <w:r w:rsidRPr="00153074">
        <w:rPr>
          <w:lang w:val="es-ES_tradnl"/>
        </w:rPr>
        <w:t xml:space="preserve"> al Desarrollo Ef</w:t>
      </w:r>
      <w:r w:rsidR="00423DD7" w:rsidRPr="00153074">
        <w:rPr>
          <w:lang w:val="es-ES_tradnl"/>
        </w:rPr>
        <w:t xml:space="preserve">icaz es la mejor </w:t>
      </w:r>
      <w:r w:rsidR="004612B7" w:rsidRPr="00153074">
        <w:rPr>
          <w:lang w:val="es-ES_tradnl"/>
        </w:rPr>
        <w:t xml:space="preserve">ilustración </w:t>
      </w:r>
      <w:r w:rsidR="00423DD7" w:rsidRPr="00153074">
        <w:rPr>
          <w:lang w:val="es-ES_tradnl"/>
        </w:rPr>
        <w:t>del marco de desarrollo más avanzado</w:t>
      </w:r>
      <w:r w:rsidR="00BF2EBE" w:rsidRPr="00153074">
        <w:rPr>
          <w:lang w:val="es-ES_tradnl"/>
        </w:rPr>
        <w:t xml:space="preserve"> e integral </w:t>
      </w:r>
      <w:r w:rsidR="00282E05" w:rsidRPr="00153074">
        <w:rPr>
          <w:lang w:val="es-ES_tradnl"/>
        </w:rPr>
        <w:t xml:space="preserve">que existe </w:t>
      </w:r>
      <w:r w:rsidR="00BF2EBE" w:rsidRPr="00153074">
        <w:rPr>
          <w:lang w:val="es-ES_tradnl"/>
        </w:rPr>
        <w:t xml:space="preserve">hasta la fecha. Es también, como se </w:t>
      </w:r>
      <w:r w:rsidR="001957B3" w:rsidRPr="00153074">
        <w:rPr>
          <w:lang w:val="es-ES_tradnl"/>
        </w:rPr>
        <w:t>explicó</w:t>
      </w:r>
      <w:r w:rsidR="00BF2EBE" w:rsidRPr="00153074">
        <w:rPr>
          <w:lang w:val="es-ES_tradnl"/>
        </w:rPr>
        <w:t xml:space="preserve"> anteriormente, la encrucijada política del programa de desarrollo dirigido por la ayuda y</w:t>
      </w:r>
      <w:r w:rsidR="00282E05" w:rsidRPr="00153074">
        <w:rPr>
          <w:lang w:val="es-ES_tradnl"/>
        </w:rPr>
        <w:t xml:space="preserve"> de</w:t>
      </w:r>
      <w:r w:rsidR="00BF2EBE" w:rsidRPr="00153074">
        <w:rPr>
          <w:lang w:val="es-ES_tradnl"/>
        </w:rPr>
        <w:t xml:space="preserve"> los demás programas de desarrollo económico. Ha </w:t>
      </w:r>
      <w:r w:rsidR="00282E05" w:rsidRPr="00153074">
        <w:rPr>
          <w:lang w:val="es-ES_tradnl"/>
        </w:rPr>
        <w:t>llevado a</w:t>
      </w:r>
      <w:r w:rsidR="00BF2EBE" w:rsidRPr="00153074">
        <w:rPr>
          <w:lang w:val="es-ES_tradnl"/>
        </w:rPr>
        <w:t xml:space="preserve"> primera fila una serie de cuestiones cruciales, sobre todo en países donantes afectados por la crisis.</w:t>
      </w:r>
    </w:p>
    <w:p w:rsidR="00D932E8" w:rsidRPr="00153074" w:rsidRDefault="00D932E8" w:rsidP="007462FA">
      <w:pPr>
        <w:jc w:val="both"/>
        <w:rPr>
          <w:lang w:val="es-ES_tradnl"/>
        </w:rPr>
      </w:pPr>
    </w:p>
    <w:p w:rsidR="00A00F40" w:rsidRPr="00153074" w:rsidRDefault="00BF2EBE" w:rsidP="007462FA">
      <w:pPr>
        <w:jc w:val="both"/>
        <w:rPr>
          <w:lang w:val="es-ES_tradnl"/>
        </w:rPr>
      </w:pPr>
      <w:r w:rsidRPr="00153074">
        <w:rPr>
          <w:lang w:val="es-ES_tradnl"/>
        </w:rPr>
        <w:t>El compromiso relativamente reciente por parte del movimiento sindical internacional</w:t>
      </w:r>
      <w:r w:rsidR="00E65A8F" w:rsidRPr="00153074">
        <w:rPr>
          <w:lang w:val="es-ES_tradnl"/>
        </w:rPr>
        <w:t xml:space="preserve"> con el programa de la ayuda también demuestra que</w:t>
      </w:r>
      <w:r w:rsidR="004612B7" w:rsidRPr="00153074">
        <w:rPr>
          <w:lang w:val="es-ES_tradnl"/>
        </w:rPr>
        <w:t>,</w:t>
      </w:r>
      <w:r w:rsidR="00E65A8F" w:rsidRPr="00153074">
        <w:rPr>
          <w:lang w:val="es-ES_tradnl"/>
        </w:rPr>
        <w:t xml:space="preserve"> desde la perspectiva de los interlocutores sociales, la participación en cuestiones </w:t>
      </w:r>
      <w:r w:rsidR="009A4548" w:rsidRPr="00153074">
        <w:rPr>
          <w:lang w:val="es-ES_tradnl"/>
        </w:rPr>
        <w:t>sobre la ayuda</w:t>
      </w:r>
      <w:r w:rsidR="00E65A8F" w:rsidRPr="00153074">
        <w:rPr>
          <w:lang w:val="es-ES_tradnl"/>
        </w:rPr>
        <w:t xml:space="preserve"> al desarrollo a escala mundial no ha sido una de las </w:t>
      </w:r>
      <w:r w:rsidR="009A4548" w:rsidRPr="00153074">
        <w:rPr>
          <w:lang w:val="es-ES_tradnl"/>
        </w:rPr>
        <w:t xml:space="preserve">máximas </w:t>
      </w:r>
      <w:r w:rsidR="00E65A8F" w:rsidRPr="00153074">
        <w:rPr>
          <w:lang w:val="es-ES_tradnl"/>
        </w:rPr>
        <w:t>prioridades</w:t>
      </w:r>
      <w:r w:rsidR="00764B4F" w:rsidRPr="00153074">
        <w:rPr>
          <w:lang w:val="es-ES_tradnl"/>
        </w:rPr>
        <w:t xml:space="preserve"> </w:t>
      </w:r>
      <w:r w:rsidR="00E65A8F" w:rsidRPr="00153074">
        <w:rPr>
          <w:lang w:val="es-ES_tradnl"/>
        </w:rPr>
        <w:t>de su programa. La Red Sindical de Cooperación al Desarrollo</w:t>
      </w:r>
      <w:r w:rsidR="00721735" w:rsidRPr="00153074">
        <w:rPr>
          <w:rStyle w:val="FootnoteReference"/>
          <w:lang w:val="es-ES_tradnl"/>
        </w:rPr>
        <w:footnoteReference w:id="18"/>
      </w:r>
      <w:r w:rsidR="00A00F40" w:rsidRPr="00153074">
        <w:rPr>
          <w:lang w:val="es-ES_tradnl"/>
        </w:rPr>
        <w:t xml:space="preserve"> </w:t>
      </w:r>
      <w:r w:rsidR="00E65A8F" w:rsidRPr="00153074">
        <w:rPr>
          <w:lang w:val="es-ES_tradnl"/>
        </w:rPr>
        <w:t xml:space="preserve">se </w:t>
      </w:r>
      <w:r w:rsidR="009A4548" w:rsidRPr="00153074">
        <w:rPr>
          <w:lang w:val="es-ES_tradnl"/>
        </w:rPr>
        <w:t>puso en marcha</w:t>
      </w:r>
      <w:r w:rsidR="00E65A8F" w:rsidRPr="00153074">
        <w:rPr>
          <w:lang w:val="es-ES_tradnl"/>
        </w:rPr>
        <w:t xml:space="preserve"> en 2007 después de la resolución del primer Congreso de la CSI en Viena en noviembre de 2006, y el compromiso formal con las plataformas de OSC dio com</w:t>
      </w:r>
      <w:r w:rsidR="009A4548" w:rsidRPr="00153074">
        <w:rPr>
          <w:lang w:val="es-ES_tradnl"/>
        </w:rPr>
        <w:t>ienzo con la creación del Foro d</w:t>
      </w:r>
      <w:r w:rsidR="00E65A8F" w:rsidRPr="00153074">
        <w:rPr>
          <w:lang w:val="es-ES_tradnl"/>
        </w:rPr>
        <w:t xml:space="preserve">e la Sociedad Civil de </w:t>
      </w:r>
      <w:r w:rsidR="00A00F40" w:rsidRPr="00153074">
        <w:rPr>
          <w:lang w:val="es-ES_tradnl"/>
        </w:rPr>
        <w:t xml:space="preserve">Ottawa </w:t>
      </w:r>
      <w:r w:rsidR="00E65A8F" w:rsidRPr="00153074">
        <w:rPr>
          <w:lang w:val="es-ES_tradnl"/>
        </w:rPr>
        <w:t>e</w:t>
      </w:r>
      <w:r w:rsidR="00A00F40" w:rsidRPr="00153074">
        <w:rPr>
          <w:lang w:val="es-ES_tradnl"/>
        </w:rPr>
        <w:t>n 2008.</w:t>
      </w:r>
      <w:r w:rsidR="00455C5F" w:rsidRPr="00153074">
        <w:rPr>
          <w:lang w:val="es-ES_tradnl"/>
        </w:rPr>
        <w:t xml:space="preserve"> Esto contrasta con la experiencia ya establecida de numerosas afiliadas de la CSI a la hora de establecer sus propios proyectos de cooperación al desarrollo y de solidaridad en países en desarrollo.</w:t>
      </w:r>
    </w:p>
    <w:p w:rsidR="00455C5F" w:rsidRPr="00153074" w:rsidRDefault="00455C5F" w:rsidP="007462FA">
      <w:pPr>
        <w:jc w:val="both"/>
        <w:rPr>
          <w:lang w:val="es-ES_tradnl"/>
        </w:rPr>
      </w:pPr>
    </w:p>
    <w:p w:rsidR="00455C5F" w:rsidRPr="00153074" w:rsidRDefault="00455C5F" w:rsidP="007462FA">
      <w:pPr>
        <w:jc w:val="both"/>
        <w:rPr>
          <w:lang w:val="es-ES_tradnl"/>
        </w:rPr>
      </w:pPr>
      <w:r w:rsidRPr="00153074">
        <w:rPr>
          <w:lang w:val="es-ES_tradnl"/>
        </w:rPr>
        <w:t>Para seguir adelante, es importante concienciar, y por tanto aportar una perspectiva sindical, dentro del movimiento sindical, desde los miembros de la base a las directivas sindicales, respecto a la creciente importancia del SPD y su impacto en la cooperación al desarrollo y las políticas de ayuda, pero también sobre la internacionalización de las compañías y el mercado laboral mundial.</w:t>
      </w:r>
    </w:p>
    <w:p w:rsidR="00A00F40" w:rsidRPr="00153074" w:rsidRDefault="00A00F40" w:rsidP="007462FA">
      <w:pPr>
        <w:jc w:val="both"/>
        <w:rPr>
          <w:lang w:val="es-ES_tradnl"/>
        </w:rPr>
      </w:pPr>
    </w:p>
    <w:p w:rsidR="00455C5F" w:rsidRPr="00153074" w:rsidRDefault="00455C5F" w:rsidP="00455C5F">
      <w:pPr>
        <w:rPr>
          <w:lang w:val="es-ES_tradnl"/>
        </w:rPr>
      </w:pPr>
      <w:r w:rsidRPr="00153074">
        <w:rPr>
          <w:lang w:val="es-ES_tradnl"/>
        </w:rPr>
        <w:t>A continuación se sugieren dos prioridades globales de políticas respecto a una perspectiva sindical respecto al sector privado para el desarrollo:</w:t>
      </w:r>
    </w:p>
    <w:p w:rsidR="00DD4A16" w:rsidRPr="00153074" w:rsidRDefault="00DD4A16" w:rsidP="00DD4A16">
      <w:pPr>
        <w:numPr>
          <w:ilvl w:val="0"/>
          <w:numId w:val="37"/>
        </w:numPr>
        <w:rPr>
          <w:lang w:val="es-ES_tradnl"/>
        </w:rPr>
      </w:pPr>
      <w:r w:rsidRPr="00153074">
        <w:rPr>
          <w:lang w:val="es-ES_tradnl"/>
        </w:rPr>
        <w:t>Establecer unos límites claros en cuanto a la financiación pública de iniciativas de SPD, y asegurarse de que los objetivos de desarrollo sostenible relativos a la protección social y los servicios públicos así como los principios de apropiación por parte de los países receptores no se vean debilitados o amenazados</w:t>
      </w:r>
    </w:p>
    <w:p w:rsidR="00455C5F" w:rsidRPr="00153074" w:rsidRDefault="00455C5F" w:rsidP="00455C5F">
      <w:pPr>
        <w:numPr>
          <w:ilvl w:val="0"/>
          <w:numId w:val="37"/>
        </w:numPr>
        <w:rPr>
          <w:lang w:val="es-ES_tradnl"/>
        </w:rPr>
      </w:pPr>
      <w:r w:rsidRPr="00153074">
        <w:rPr>
          <w:lang w:val="es-ES_tradnl"/>
        </w:rPr>
        <w:t>Establecer estrictas condicionalidades – derechos laborales, diálogo social, responsabilidad corporativa – para la utilización de dinero público en el SPD</w:t>
      </w:r>
    </w:p>
    <w:p w:rsidR="00455C5F" w:rsidRPr="00153074" w:rsidRDefault="00455C5F" w:rsidP="007462FA">
      <w:pPr>
        <w:jc w:val="both"/>
        <w:rPr>
          <w:lang w:val="es-ES_tradnl"/>
        </w:rPr>
      </w:pPr>
    </w:p>
    <w:p w:rsidR="00D5292A" w:rsidRPr="00153074" w:rsidRDefault="00D5292A" w:rsidP="007462FA">
      <w:pPr>
        <w:jc w:val="both"/>
        <w:rPr>
          <w:lang w:val="es-ES_tradnl" w:eastAsia="ar-SA"/>
        </w:rPr>
      </w:pPr>
      <w:r w:rsidRPr="00153074">
        <w:rPr>
          <w:lang w:val="es-ES_tradnl" w:eastAsia="ar-SA"/>
        </w:rPr>
        <w:t xml:space="preserve">El progreso en estas áreas debería proporcionar al sector privado las oportunidades que necesita y </w:t>
      </w:r>
      <w:r w:rsidR="00F30640" w:rsidRPr="00153074">
        <w:rPr>
          <w:lang w:val="es-ES_tradnl" w:eastAsia="ar-SA"/>
        </w:rPr>
        <w:t>desata</w:t>
      </w:r>
      <w:r w:rsidR="00721DEB" w:rsidRPr="00153074">
        <w:rPr>
          <w:lang w:val="es-ES_tradnl" w:eastAsia="ar-SA"/>
        </w:rPr>
        <w:t>r</w:t>
      </w:r>
      <w:r w:rsidRPr="00153074">
        <w:rPr>
          <w:lang w:val="es-ES_tradnl" w:eastAsia="ar-SA"/>
        </w:rPr>
        <w:t xml:space="preserve"> el potencial que tiene para contribuir al desarrollo. Sin embargo, es esencial no caer en el enfoque de los </w:t>
      </w:r>
      <w:r w:rsidR="002A7792" w:rsidRPr="00153074">
        <w:rPr>
          <w:lang w:val="es-ES_tradnl" w:eastAsia="ar-SA"/>
        </w:rPr>
        <w:t>“</w:t>
      </w:r>
      <w:r w:rsidRPr="00153074">
        <w:rPr>
          <w:lang w:val="es-ES_tradnl" w:eastAsia="ar-SA"/>
        </w:rPr>
        <w:t>creyentes</w:t>
      </w:r>
      <w:r w:rsidR="002A7792" w:rsidRPr="00153074">
        <w:rPr>
          <w:lang w:val="es-ES_tradnl" w:eastAsia="ar-SA"/>
        </w:rPr>
        <w:t>”</w:t>
      </w:r>
      <w:r w:rsidRPr="00153074">
        <w:rPr>
          <w:lang w:val="es-ES_tradnl" w:eastAsia="ar-SA"/>
        </w:rPr>
        <w:t xml:space="preserve"> predicado por </w:t>
      </w:r>
      <w:r w:rsidR="00721DEB" w:rsidRPr="00153074">
        <w:rPr>
          <w:lang w:val="es-ES_tradnl" w:eastAsia="ar-SA"/>
        </w:rPr>
        <w:t>ciertas personas</w:t>
      </w:r>
      <w:r w:rsidRPr="00153074">
        <w:rPr>
          <w:lang w:val="es-ES_tradnl" w:eastAsia="ar-SA"/>
        </w:rPr>
        <w:t xml:space="preserve"> en los recientes </w:t>
      </w:r>
      <w:r w:rsidR="00EE2342" w:rsidRPr="00153074">
        <w:rPr>
          <w:lang w:val="es-ES_tradnl" w:eastAsia="ar-SA"/>
        </w:rPr>
        <w:t xml:space="preserve">debates preparatorios </w:t>
      </w:r>
      <w:r w:rsidRPr="00153074">
        <w:rPr>
          <w:lang w:val="es-ES_tradnl" w:eastAsia="ar-SA"/>
        </w:rPr>
        <w:t>para el marco del desarrollo</w:t>
      </w:r>
      <w:r w:rsidR="00EE2342" w:rsidRPr="00153074">
        <w:rPr>
          <w:lang w:val="es-ES_tradnl" w:eastAsia="ar-SA"/>
        </w:rPr>
        <w:t xml:space="preserve"> post-2015</w:t>
      </w:r>
      <w:r w:rsidR="00D97281" w:rsidRPr="00153074">
        <w:rPr>
          <w:lang w:val="es-ES_tradnl" w:eastAsia="ar-SA"/>
        </w:rPr>
        <w:t>,</w:t>
      </w:r>
      <w:r w:rsidR="00EE2342" w:rsidRPr="00153074">
        <w:rPr>
          <w:lang w:val="es-ES_tradnl" w:eastAsia="ar-SA"/>
        </w:rPr>
        <w:t xml:space="preserve"> </w:t>
      </w:r>
      <w:r w:rsidR="00721DEB" w:rsidRPr="00153074">
        <w:rPr>
          <w:lang w:val="es-ES_tradnl" w:eastAsia="ar-SA"/>
        </w:rPr>
        <w:t>según el cual</w:t>
      </w:r>
      <w:r w:rsidR="00EE2342" w:rsidRPr="00153074">
        <w:rPr>
          <w:lang w:val="es-ES_tradnl" w:eastAsia="ar-SA"/>
        </w:rPr>
        <w:t xml:space="preserve"> la ayuda será reemplazada por los beneficios de la </w:t>
      </w:r>
      <w:r w:rsidR="002A7792" w:rsidRPr="00153074">
        <w:rPr>
          <w:lang w:val="es-ES_tradnl" w:eastAsia="ar-SA"/>
        </w:rPr>
        <w:t>“</w:t>
      </w:r>
      <w:r w:rsidR="00EE2342" w:rsidRPr="00153074">
        <w:rPr>
          <w:lang w:val="es-ES_tradnl" w:eastAsia="ar-SA"/>
        </w:rPr>
        <w:t>mano invisible</w:t>
      </w:r>
      <w:r w:rsidR="002A7792" w:rsidRPr="00153074">
        <w:rPr>
          <w:lang w:val="es-ES_tradnl" w:eastAsia="ar-SA"/>
        </w:rPr>
        <w:t>”</w:t>
      </w:r>
      <w:r w:rsidR="00EE2342" w:rsidRPr="00153074">
        <w:rPr>
          <w:lang w:val="es-ES_tradnl" w:eastAsia="ar-SA"/>
        </w:rPr>
        <w:t>.</w:t>
      </w:r>
    </w:p>
    <w:p w:rsidR="00175A65" w:rsidRPr="00153074" w:rsidRDefault="00175A65" w:rsidP="007462FA">
      <w:pPr>
        <w:jc w:val="both"/>
        <w:rPr>
          <w:lang w:val="es-ES_tradnl" w:eastAsia="ar-SA"/>
        </w:rPr>
      </w:pPr>
    </w:p>
    <w:p w:rsidR="00175A65" w:rsidRPr="00153074" w:rsidRDefault="00004D64" w:rsidP="00A57C27">
      <w:pPr>
        <w:pStyle w:val="Heading2"/>
        <w:rPr>
          <w:lang w:val="es-ES_tradnl"/>
        </w:rPr>
      </w:pPr>
      <w:bookmarkStart w:id="85" w:name="_Toc368408205"/>
      <w:bookmarkStart w:id="86" w:name="_Toc369604933"/>
      <w:r w:rsidRPr="00153074">
        <w:rPr>
          <w:lang w:val="es-ES_tradnl"/>
        </w:rPr>
        <w:t>Dar prioridad a la protección social y a los servicios públicos</w:t>
      </w:r>
      <w:bookmarkEnd w:id="85"/>
      <w:bookmarkEnd w:id="86"/>
    </w:p>
    <w:p w:rsidR="00175A65" w:rsidRPr="00153074" w:rsidRDefault="00004D64" w:rsidP="00175A65">
      <w:pPr>
        <w:numPr>
          <w:ilvl w:val="0"/>
          <w:numId w:val="29"/>
        </w:numPr>
        <w:jc w:val="both"/>
        <w:rPr>
          <w:lang w:val="es-ES_tradnl" w:eastAsia="ar-SA"/>
        </w:rPr>
      </w:pPr>
      <w:r w:rsidRPr="00153074">
        <w:rPr>
          <w:lang w:val="es-ES_tradnl" w:eastAsia="ar-SA"/>
        </w:rPr>
        <w:t>La financiación pública de SPD no ha de sustituir los objetivos de protección social de la AOD</w:t>
      </w:r>
    </w:p>
    <w:p w:rsidR="00004D64" w:rsidRPr="00153074" w:rsidRDefault="00004D64" w:rsidP="00004D64">
      <w:pPr>
        <w:numPr>
          <w:ilvl w:val="0"/>
          <w:numId w:val="29"/>
        </w:numPr>
        <w:jc w:val="both"/>
        <w:rPr>
          <w:lang w:val="es-ES_tradnl" w:eastAsia="ar-SA"/>
        </w:rPr>
      </w:pPr>
      <w:r w:rsidRPr="00153074">
        <w:rPr>
          <w:lang w:val="es-ES_tradnl" w:eastAsia="ar-SA"/>
        </w:rPr>
        <w:t>Garantizar la apropiación de programas e iniciativas por parte de los países en desarrollo y proteger los derechos de éstos a desarrollar servicios públicos;</w:t>
      </w:r>
    </w:p>
    <w:p w:rsidR="00004D64" w:rsidRPr="00153074" w:rsidRDefault="00004D64" w:rsidP="00004D64">
      <w:pPr>
        <w:numPr>
          <w:ilvl w:val="0"/>
          <w:numId w:val="29"/>
        </w:numPr>
        <w:jc w:val="both"/>
        <w:rPr>
          <w:lang w:val="es-ES_tradnl" w:eastAsia="ar-SA"/>
        </w:rPr>
      </w:pPr>
      <w:r w:rsidRPr="00153074">
        <w:rPr>
          <w:lang w:val="es-ES_tradnl" w:eastAsia="ar-SA"/>
        </w:rPr>
        <w:t>Garantizar la coherencia política con otras agendas políticas mundiales.</w:t>
      </w:r>
    </w:p>
    <w:p w:rsidR="00175A65" w:rsidRPr="00153074" w:rsidRDefault="00175A65" w:rsidP="00175A65">
      <w:pPr>
        <w:jc w:val="both"/>
        <w:rPr>
          <w:lang w:val="es-ES_tradnl" w:eastAsia="ar-SA"/>
        </w:rPr>
      </w:pPr>
    </w:p>
    <w:p w:rsidR="00175A65" w:rsidRPr="00153074" w:rsidRDefault="003C710B" w:rsidP="00A57C27">
      <w:pPr>
        <w:pStyle w:val="Heading3"/>
        <w:rPr>
          <w:lang w:val="es-ES_tradnl"/>
        </w:rPr>
      </w:pPr>
      <w:bookmarkStart w:id="87" w:name="_Toc369604934"/>
      <w:r w:rsidRPr="00153074">
        <w:rPr>
          <w:lang w:val="es-ES_tradnl"/>
        </w:rPr>
        <w:t xml:space="preserve">Amparar </w:t>
      </w:r>
      <w:r w:rsidR="00893E83" w:rsidRPr="00153074">
        <w:rPr>
          <w:lang w:val="es-ES_tradnl"/>
        </w:rPr>
        <w:t xml:space="preserve">la protección social y </w:t>
      </w:r>
      <w:r w:rsidRPr="00153074">
        <w:rPr>
          <w:lang w:val="es-ES_tradnl"/>
        </w:rPr>
        <w:t>el objetivo de reducción de la pobreza en la ayuda al desarrollo</w:t>
      </w:r>
      <w:bookmarkEnd w:id="87"/>
    </w:p>
    <w:p w:rsidR="00175A65" w:rsidRDefault="008E3FCC" w:rsidP="007462FA">
      <w:pPr>
        <w:jc w:val="both"/>
        <w:rPr>
          <w:lang w:val="es-ES_tradnl" w:eastAsia="ar-SA"/>
        </w:rPr>
      </w:pPr>
      <w:r>
        <w:rPr>
          <w:lang w:val="es-ES_tradnl" w:eastAsia="ar-SA"/>
        </w:rPr>
        <w:t xml:space="preserve">Aunque haya motivos válidos para incrementar las asignaciones de AOD hacia proyectos orientados al sector privado, persiste la preocupación de que cualquier canalización de la AOD en ese sentido pudiera tener un impacto negativo en las prioridades centrales de la AOD, como son la financiación y el apoyo de las redes de seguridad social y de proyectos relacionados con la pobreza. En tiempos de </w:t>
      </w:r>
      <w:r>
        <w:rPr>
          <w:lang w:val="es-ES_tradnl" w:eastAsia="ar-SA"/>
        </w:rPr>
        <w:lastRenderedPageBreak/>
        <w:t xml:space="preserve">déficits del presupuesto público y teniendo en cuenta los recortes en la AOD relacionados con las medidas de austeridad en el pasado, se corre el riesgo de que cualquier incremento de financiación de SPD se produzca en un contexto </w:t>
      </w:r>
      <w:r w:rsidR="00571177">
        <w:rPr>
          <w:lang w:val="es-ES_tradnl" w:eastAsia="ar-SA"/>
        </w:rPr>
        <w:t>en que unos ganen y otros pierdan,</w:t>
      </w:r>
      <w:r>
        <w:rPr>
          <w:lang w:val="es-ES_tradnl" w:eastAsia="ar-SA"/>
        </w:rPr>
        <w:t xml:space="preserve"> privando a otra AOD ‘tradicional’ de </w:t>
      </w:r>
      <w:r w:rsidR="00571177">
        <w:rPr>
          <w:lang w:val="es-ES_tradnl" w:eastAsia="ar-SA"/>
        </w:rPr>
        <w:t>sus recursos</w:t>
      </w:r>
      <w:r w:rsidRPr="008E3FCC">
        <w:rPr>
          <w:lang w:val="es-ES_tradnl" w:eastAsia="ar-SA"/>
        </w:rPr>
        <w:t>.</w:t>
      </w:r>
    </w:p>
    <w:p w:rsidR="008E3FCC" w:rsidRPr="00153074" w:rsidRDefault="008E3FCC" w:rsidP="007462FA">
      <w:pPr>
        <w:jc w:val="both"/>
        <w:rPr>
          <w:lang w:val="es-ES_tradnl" w:eastAsia="ar-SA"/>
        </w:rPr>
      </w:pPr>
    </w:p>
    <w:p w:rsidR="00956B85" w:rsidRPr="00153074" w:rsidRDefault="00956B85" w:rsidP="00956B85">
      <w:pPr>
        <w:pStyle w:val="Heading3"/>
        <w:rPr>
          <w:lang w:val="es-ES_tradnl"/>
        </w:rPr>
      </w:pPr>
      <w:bookmarkStart w:id="88" w:name="_Toc359332000"/>
      <w:bookmarkStart w:id="89" w:name="_Toc369604935"/>
      <w:r w:rsidRPr="00153074">
        <w:rPr>
          <w:lang w:val="es-ES_tradnl"/>
        </w:rPr>
        <w:t>Apropiación nacional y servicios pú</w:t>
      </w:r>
      <w:bookmarkEnd w:id="88"/>
      <w:r w:rsidRPr="00153074">
        <w:rPr>
          <w:lang w:val="es-ES_tradnl"/>
        </w:rPr>
        <w:t>blicos</w:t>
      </w:r>
      <w:bookmarkEnd w:id="89"/>
    </w:p>
    <w:p w:rsidR="00956B85" w:rsidRPr="00153074" w:rsidRDefault="00956B85" w:rsidP="00956B85">
      <w:pPr>
        <w:jc w:val="both"/>
        <w:rPr>
          <w:lang w:val="es-ES_tradnl" w:eastAsia="ar-SA"/>
        </w:rPr>
      </w:pPr>
      <w:r w:rsidRPr="00153074">
        <w:rPr>
          <w:lang w:val="es-ES_tradnl" w:eastAsia="ar-SA"/>
        </w:rPr>
        <w:t>La apropiación nacional de la ayuda al desarrollo es un pilar central del marco de la eficacia de la ayuda. La apropiación nacional debería apoyarse y fomentarse mediante el uso y el respeto de los sistemas de cada país por defecto (incluida la contratación pública local). Debería apoyarse la apropiación democrática e inclusiva del desarrollo mediante la participación e integración social. Las funciones de los interlocutores sociales y del diálogo social son esenciales para garantizar la apropiación y la eficacia en la elaboración y aplicación de estrategias sobre desarrollo económico y social.</w:t>
      </w:r>
    </w:p>
    <w:p w:rsidR="00956B85" w:rsidRPr="00153074" w:rsidRDefault="00956B85" w:rsidP="00956B85">
      <w:pPr>
        <w:jc w:val="both"/>
        <w:rPr>
          <w:lang w:val="es-ES_tradnl" w:eastAsia="ar-SA"/>
        </w:rPr>
      </w:pPr>
    </w:p>
    <w:p w:rsidR="00956B85" w:rsidRPr="00153074" w:rsidRDefault="00956B85" w:rsidP="00956B85">
      <w:pPr>
        <w:jc w:val="both"/>
        <w:rPr>
          <w:lang w:val="es-ES_tradnl" w:eastAsia="ar-SA"/>
        </w:rPr>
      </w:pPr>
      <w:r w:rsidRPr="00153074">
        <w:rPr>
          <w:lang w:val="es-ES_tradnl" w:eastAsia="ar-SA"/>
        </w:rPr>
        <w:t xml:space="preserve">La movilización de la inversión del sector privado destinada a empleos decentes y crecimiento en los países en desarrollo no debería en ningún </w:t>
      </w:r>
      <w:r w:rsidR="003C710B" w:rsidRPr="00153074">
        <w:rPr>
          <w:lang w:val="es-ES_tradnl" w:eastAsia="ar-SA"/>
        </w:rPr>
        <w:t>caso reem</w:t>
      </w:r>
      <w:r w:rsidRPr="00153074">
        <w:rPr>
          <w:lang w:val="es-ES_tradnl" w:eastAsia="ar-SA"/>
        </w:rPr>
        <w:t>plazar ni representar una amenaza para el crecimiento indispensable de las inversiones financiadas por el Estado y de la promoción de servicios públicos en países en desarrollo. En nuestra opinión, la propuesta de que las Asociaciones Público-Privadas se consideren como una opción preferida para la financiación de infraestructura a favor de la contratación pública tradicional, carece de fundamento. Las APP han demostrado ser en la práctica un modelo defectuoso que puede dar lugar a unos servicios públicos demasiado caros así como a situaciones donde las ganancias se vuelven privadas pero las pérdidas son públicas. En contraste con la contratación pública tradicional, las APP tienen muchos costes ocultos y constituyen unos contratos excesivamente complejos de gestionar para los Gobiernos.</w:t>
      </w:r>
    </w:p>
    <w:p w:rsidR="00956B85" w:rsidRPr="00153074" w:rsidRDefault="00956B85" w:rsidP="00956B85">
      <w:pPr>
        <w:jc w:val="both"/>
        <w:rPr>
          <w:b/>
          <w:bCs/>
          <w:lang w:val="es-ES_tradnl" w:eastAsia="ar-SA"/>
        </w:rPr>
      </w:pPr>
    </w:p>
    <w:p w:rsidR="00956B85" w:rsidRPr="00153074" w:rsidRDefault="00956B85" w:rsidP="00956B85">
      <w:pPr>
        <w:jc w:val="both"/>
        <w:rPr>
          <w:lang w:val="es-ES_tradnl" w:eastAsia="ar-SA"/>
        </w:rPr>
      </w:pPr>
      <w:r w:rsidRPr="00153074">
        <w:rPr>
          <w:lang w:val="es-ES_tradnl" w:eastAsia="ar-SA"/>
        </w:rPr>
        <w:t>Y en los casos en que efectivamente debieran considerarse las APP, los proyectos deberían basarse en un análisis minucioso de las necesidades reales, la pertinencia a largo plazo, un reparto equitativo de los riesgos para la comunidad, y la accesibilidad y asequibilidad de los servicios y bienes producidos. Debería realmente respetarse un enfoque de múltiples partes interesadas.</w:t>
      </w:r>
    </w:p>
    <w:p w:rsidR="00956B85" w:rsidRPr="00153074" w:rsidRDefault="00956B85" w:rsidP="00956B85">
      <w:pPr>
        <w:jc w:val="both"/>
        <w:rPr>
          <w:lang w:val="es-ES_tradnl" w:eastAsia="ar-SA"/>
        </w:rPr>
      </w:pPr>
    </w:p>
    <w:p w:rsidR="00956B85" w:rsidRPr="00153074" w:rsidRDefault="00956B85" w:rsidP="00956B85">
      <w:pPr>
        <w:pStyle w:val="Heading3"/>
        <w:rPr>
          <w:lang w:val="es-ES_tradnl"/>
        </w:rPr>
      </w:pPr>
      <w:bookmarkStart w:id="90" w:name="_Toc359332002"/>
      <w:bookmarkStart w:id="91" w:name="_Toc369604936"/>
      <w:r w:rsidRPr="00153074">
        <w:rPr>
          <w:lang w:val="es-ES_tradnl"/>
        </w:rPr>
        <w:t>Coherencia política</w:t>
      </w:r>
      <w:bookmarkEnd w:id="90"/>
      <w:bookmarkEnd w:id="91"/>
    </w:p>
    <w:p w:rsidR="00956B85" w:rsidRPr="00153074" w:rsidRDefault="00956B85" w:rsidP="00956B85">
      <w:pPr>
        <w:jc w:val="both"/>
        <w:rPr>
          <w:lang w:val="es-ES_tradnl" w:eastAsia="ar-SA"/>
        </w:rPr>
      </w:pPr>
      <w:r w:rsidRPr="00153074">
        <w:rPr>
          <w:lang w:val="es-ES_tradnl" w:eastAsia="ar-SA"/>
        </w:rPr>
        <w:t xml:space="preserve">Por último, la coherencia política para el desarrollo debería convertirse en un requisito indispensable para unas estrategias de desarrollo auténticas. Gran parte de los esfuerzos de la ayuda al desarrollo se han visto anulados por los costes de la incoherencia de una forma tan dramática que es </w:t>
      </w:r>
      <w:proofErr w:type="gramStart"/>
      <w:r w:rsidRPr="00153074">
        <w:rPr>
          <w:lang w:val="es-ES_tradnl" w:eastAsia="ar-SA"/>
        </w:rPr>
        <w:t>preciso</w:t>
      </w:r>
      <w:proofErr w:type="gramEnd"/>
      <w:r w:rsidRPr="00153074">
        <w:rPr>
          <w:lang w:val="es-ES_tradnl" w:eastAsia="ar-SA"/>
        </w:rPr>
        <w:t xml:space="preserve"> que la cuestión de la coherencia política sea reconocida como la cuestión clave para lograr mejoras en la cooperación internacional. Los progresos que se consiga hacer en el ámbito de la coherencia política serán fundamentales para las posibilidades de unas estrategias de desarrollo efectivas, basadas en los derechos y propiedad de los países y de sus poblaciones. Para ello hace falta un nuevo sistema de gobernanza internacional que pueda dirigirse no sólo a los actores estatales nacionales sino también a la diversidad de actores transnacionales. Esta nueva gobernanza del desarrollo debería aprender del fracaso del enfoque basado únicamente en los Gobiernos y optar radicalmente por un enfoque de múltiples partes interesadas que pueda tener en cuenta a todos los actores implicados. </w:t>
      </w:r>
    </w:p>
    <w:p w:rsidR="00956B85" w:rsidRPr="00153074" w:rsidRDefault="00956B85" w:rsidP="00956B85">
      <w:pPr>
        <w:jc w:val="both"/>
        <w:rPr>
          <w:lang w:val="es-ES_tradnl" w:eastAsia="ar-SA"/>
        </w:rPr>
      </w:pPr>
    </w:p>
    <w:p w:rsidR="00516340" w:rsidRPr="00516340" w:rsidRDefault="00516340" w:rsidP="00516340">
      <w:pPr>
        <w:jc w:val="both"/>
        <w:rPr>
          <w:lang w:val="es-ES_tradnl" w:eastAsia="ar-SA"/>
        </w:rPr>
      </w:pPr>
      <w:r w:rsidRPr="00516340">
        <w:rPr>
          <w:lang w:val="es-ES_tradnl" w:eastAsia="ar-SA"/>
        </w:rPr>
        <w:t>La coherencia política es esencial para un desarrollo equitativo: las políticas sociales, de empleo, económicas, comerciales, financieras y medioambientales deber ir de la mano para contribuir al logro de los Objetivos de Desarrollo Convenidos Internacionalmente (ODCI).</w:t>
      </w:r>
    </w:p>
    <w:p w:rsidR="00956B85" w:rsidRPr="00153074" w:rsidRDefault="00956B85" w:rsidP="00956B85">
      <w:pPr>
        <w:jc w:val="both"/>
        <w:rPr>
          <w:lang w:val="es-ES_tradnl" w:eastAsia="ar-SA"/>
        </w:rPr>
      </w:pPr>
    </w:p>
    <w:p w:rsidR="00004D64" w:rsidRPr="00153074" w:rsidRDefault="00CE09AE" w:rsidP="00004D64">
      <w:pPr>
        <w:pStyle w:val="Heading2"/>
        <w:rPr>
          <w:lang w:val="es-ES_tradnl"/>
        </w:rPr>
      </w:pPr>
      <w:bookmarkStart w:id="92" w:name="_Toc368408208"/>
      <w:bookmarkStart w:id="93" w:name="_Toc369604937"/>
      <w:r w:rsidRPr="00153074">
        <w:rPr>
          <w:lang w:val="es-ES_tradnl"/>
        </w:rPr>
        <w:t>Establecer condicionalidad al SPD</w:t>
      </w:r>
      <w:bookmarkEnd w:id="92"/>
      <w:bookmarkEnd w:id="93"/>
    </w:p>
    <w:p w:rsidR="00004D64" w:rsidRPr="00153074" w:rsidRDefault="00CE09AE" w:rsidP="00CE09AE">
      <w:pPr>
        <w:jc w:val="both"/>
        <w:rPr>
          <w:lang w:val="es-ES_tradnl"/>
        </w:rPr>
      </w:pPr>
      <w:r w:rsidRPr="00153074">
        <w:rPr>
          <w:lang w:val="es-ES_tradnl"/>
        </w:rPr>
        <w:t xml:space="preserve">Como mínimo, nuestras prioridades tendrían que incluir una serie de condiciones para el SPD y cualquier forma de apoyo por parte de los Estados para actividades en el extranjero, y es necesario que el no respeto de estas condiciones entrañe consecuencias. Quizás podríamos pedir además, en </w:t>
      </w:r>
      <w:r w:rsidRPr="00153074">
        <w:rPr>
          <w:lang w:val="es-ES_tradnl"/>
        </w:rPr>
        <w:lastRenderedPageBreak/>
        <w:t xml:space="preserve">los proyectos de SPD, contrapartes en términos de apoyo concreto a las organizaciones locales a fin de garantizar su plena participación en el diálogo social y la supervisión y defensa de los derechos. </w:t>
      </w:r>
    </w:p>
    <w:p w:rsidR="00004D64" w:rsidRPr="00153074" w:rsidRDefault="00004D64" w:rsidP="00004D64">
      <w:pPr>
        <w:numPr>
          <w:ilvl w:val="0"/>
          <w:numId w:val="29"/>
        </w:numPr>
        <w:jc w:val="both"/>
        <w:rPr>
          <w:lang w:val="es-ES_tradnl"/>
        </w:rPr>
      </w:pPr>
      <w:r w:rsidRPr="00153074">
        <w:rPr>
          <w:lang w:val="es-ES_tradnl"/>
        </w:rPr>
        <w:t>Implementar de manera efectiva las normas y el Programa de trabajo decente de la OIT con arreglo a un enfoque basado en los derechos;</w:t>
      </w:r>
    </w:p>
    <w:p w:rsidR="00004D64" w:rsidRPr="00153074" w:rsidRDefault="00CE09AE" w:rsidP="00004D64">
      <w:pPr>
        <w:numPr>
          <w:ilvl w:val="0"/>
          <w:numId w:val="29"/>
        </w:numPr>
        <w:jc w:val="both"/>
        <w:rPr>
          <w:lang w:val="es-ES_tradnl"/>
        </w:rPr>
      </w:pPr>
      <w:r w:rsidRPr="00153074">
        <w:rPr>
          <w:lang w:val="es-ES_tradnl"/>
        </w:rPr>
        <w:t xml:space="preserve">Integrar los </w:t>
      </w:r>
      <w:r w:rsidR="00004D64" w:rsidRPr="00153074">
        <w:rPr>
          <w:lang w:val="es-ES_tradnl"/>
        </w:rPr>
        <w:t>mecanismo</w:t>
      </w:r>
      <w:r w:rsidRPr="00153074">
        <w:rPr>
          <w:lang w:val="es-ES_tradnl"/>
        </w:rPr>
        <w:t>s</w:t>
      </w:r>
      <w:r w:rsidR="00004D64" w:rsidRPr="00153074">
        <w:rPr>
          <w:lang w:val="es-ES_tradnl"/>
        </w:rPr>
        <w:t xml:space="preserve"> de diálogo social como base para la </w:t>
      </w:r>
      <w:r w:rsidRPr="00153074">
        <w:rPr>
          <w:lang w:val="es-ES_tradnl"/>
        </w:rPr>
        <w:t xml:space="preserve">inclusividad, la </w:t>
      </w:r>
      <w:r w:rsidR="00004D64" w:rsidRPr="00153074">
        <w:rPr>
          <w:lang w:val="es-ES_tradnl"/>
        </w:rPr>
        <w:t>eficacia y la rendición de cuentas del sector privado;</w:t>
      </w:r>
      <w:r w:rsidRPr="00153074">
        <w:rPr>
          <w:lang w:val="es-ES_tradnl"/>
        </w:rPr>
        <w:t xml:space="preserve"> y</w:t>
      </w:r>
    </w:p>
    <w:p w:rsidR="00CE09AE" w:rsidRPr="00153074" w:rsidRDefault="00004D64" w:rsidP="00CE09AE">
      <w:pPr>
        <w:numPr>
          <w:ilvl w:val="0"/>
          <w:numId w:val="29"/>
        </w:numPr>
        <w:jc w:val="both"/>
        <w:rPr>
          <w:lang w:val="es-ES_tradnl"/>
        </w:rPr>
      </w:pPr>
      <w:r w:rsidRPr="00153074">
        <w:rPr>
          <w:lang w:val="es-ES_tradnl"/>
        </w:rPr>
        <w:t>Pedir cuentas a las grandes y poderosas empresas multinacionales por medio de mecanismos efectivos de responsabilidad corporativa y transparencia</w:t>
      </w:r>
      <w:r w:rsidR="00CE09AE" w:rsidRPr="00153074">
        <w:rPr>
          <w:lang w:val="es-ES_tradnl"/>
        </w:rPr>
        <w:t>.</w:t>
      </w:r>
    </w:p>
    <w:p w:rsidR="00004D64" w:rsidRPr="00153074" w:rsidRDefault="00004D64" w:rsidP="00956B85">
      <w:pPr>
        <w:jc w:val="both"/>
        <w:rPr>
          <w:lang w:val="es-ES_tradnl" w:eastAsia="ar-SA"/>
        </w:rPr>
      </w:pPr>
    </w:p>
    <w:p w:rsidR="00B1268C" w:rsidRPr="00153074" w:rsidRDefault="00EE2342" w:rsidP="00004D64">
      <w:pPr>
        <w:pStyle w:val="Heading3"/>
        <w:rPr>
          <w:lang w:val="es-ES_tradnl"/>
        </w:rPr>
      </w:pPr>
      <w:bookmarkStart w:id="94" w:name="_Toc359331998"/>
      <w:bookmarkStart w:id="95" w:name="_Toc369604938"/>
      <w:r w:rsidRPr="00153074">
        <w:rPr>
          <w:lang w:val="es-ES_tradnl"/>
        </w:rPr>
        <w:t xml:space="preserve">Normas de la </w:t>
      </w:r>
      <w:r w:rsidR="003A4EDB" w:rsidRPr="00153074">
        <w:rPr>
          <w:lang w:val="es-ES_tradnl"/>
        </w:rPr>
        <w:t>OIT</w:t>
      </w:r>
      <w:r w:rsidR="00B1268C" w:rsidRPr="00153074">
        <w:rPr>
          <w:lang w:val="es-ES_tradnl"/>
        </w:rPr>
        <w:t xml:space="preserve"> </w:t>
      </w:r>
      <w:r w:rsidRPr="00153074">
        <w:rPr>
          <w:lang w:val="es-ES_tradnl"/>
        </w:rPr>
        <w:t>y Programa de trabajo decente</w:t>
      </w:r>
      <w:bookmarkEnd w:id="94"/>
      <w:bookmarkEnd w:id="95"/>
    </w:p>
    <w:p w:rsidR="00004D64" w:rsidRPr="00153074" w:rsidRDefault="00004D64" w:rsidP="00004D64">
      <w:pPr>
        <w:jc w:val="both"/>
        <w:rPr>
          <w:lang w:val="es-ES_tradnl"/>
        </w:rPr>
      </w:pPr>
      <w:r w:rsidRPr="00153074">
        <w:rPr>
          <w:lang w:val="es-ES_tradnl"/>
        </w:rPr>
        <w:t>Como ya se ha expuesto en el presente documento, la referencia a las normas y al Programa de Trabajo Decente de la OIT en los foros internacionales relativos al desarrollo del sector privado, o bien brilla por su ausencia o, efectivamente, se menciona pero sólo como pura formalidad. De hecho, tal y como se demuestra en el caso del trabajo del G20, el argumento falaz del riesgo que supondría un aumento de la protección – si se respetaran las normas de la OIT y los derechos humanos – sigue estando de moda.</w:t>
      </w:r>
    </w:p>
    <w:p w:rsidR="00004D64" w:rsidRPr="00153074" w:rsidRDefault="00004D64" w:rsidP="007462FA">
      <w:pPr>
        <w:jc w:val="both"/>
        <w:rPr>
          <w:lang w:val="es-ES_tradnl"/>
        </w:rPr>
      </w:pPr>
    </w:p>
    <w:p w:rsidR="00D932E8" w:rsidRPr="00153074" w:rsidRDefault="00EE2342" w:rsidP="007462FA">
      <w:pPr>
        <w:jc w:val="both"/>
        <w:rPr>
          <w:lang w:val="es-ES_tradnl"/>
        </w:rPr>
      </w:pPr>
      <w:r w:rsidRPr="00153074">
        <w:rPr>
          <w:lang w:val="es-ES_tradnl"/>
        </w:rPr>
        <w:t xml:space="preserve">Los sindicatos creen firmemente que </w:t>
      </w:r>
      <w:r w:rsidR="00D324EA" w:rsidRPr="00153074">
        <w:rPr>
          <w:lang w:val="es-ES_tradnl"/>
        </w:rPr>
        <w:t>todas las</w:t>
      </w:r>
      <w:r w:rsidRPr="00153074">
        <w:rPr>
          <w:lang w:val="es-ES_tradnl"/>
        </w:rPr>
        <w:t xml:space="preserve"> iniciativa</w:t>
      </w:r>
      <w:r w:rsidR="00D324EA" w:rsidRPr="00153074">
        <w:rPr>
          <w:lang w:val="es-ES_tradnl"/>
        </w:rPr>
        <w:t>s</w:t>
      </w:r>
      <w:r w:rsidRPr="00153074">
        <w:rPr>
          <w:lang w:val="es-ES_tradnl"/>
        </w:rPr>
        <w:t xml:space="preserve"> del SPD debería</w:t>
      </w:r>
      <w:r w:rsidR="00D324EA" w:rsidRPr="00153074">
        <w:rPr>
          <w:lang w:val="es-ES_tradnl"/>
        </w:rPr>
        <w:t>n</w:t>
      </w:r>
      <w:r w:rsidRPr="00153074">
        <w:rPr>
          <w:lang w:val="es-ES_tradnl"/>
        </w:rPr>
        <w:t xml:space="preserve"> enmarcarse dentro del respeto efectivo hacia compromisos acordados internacionalmente, como son los Convenios y normas de la OIT, las resoluciones basadas en la ONU sobre derechos humanos, los derechos de la mujer</w:t>
      </w:r>
      <w:r w:rsidR="00D932E8" w:rsidRPr="00153074">
        <w:rPr>
          <w:lang w:val="es-ES_tradnl"/>
        </w:rPr>
        <w:t xml:space="preserve"> (CEDAW)</w:t>
      </w:r>
      <w:r w:rsidRPr="00153074">
        <w:rPr>
          <w:lang w:val="es-ES_tradnl"/>
        </w:rPr>
        <w:t xml:space="preserve"> y </w:t>
      </w:r>
      <w:r w:rsidR="0072429F" w:rsidRPr="00153074">
        <w:rPr>
          <w:lang w:val="es-ES_tradnl"/>
        </w:rPr>
        <w:t>el Pacto Internacional de la ONU sobre Derechos Económicos, Sociales y Culturales.</w:t>
      </w:r>
    </w:p>
    <w:p w:rsidR="00B1268C" w:rsidRPr="00153074" w:rsidRDefault="00B1268C" w:rsidP="007462FA">
      <w:pPr>
        <w:jc w:val="both"/>
        <w:rPr>
          <w:rFonts w:ascii="Arial" w:hAnsi="Arial" w:cs="Arial"/>
          <w:b/>
          <w:sz w:val="20"/>
          <w:szCs w:val="20"/>
          <w:u w:val="single"/>
          <w:lang w:val="es-ES_tradnl"/>
        </w:rPr>
      </w:pPr>
    </w:p>
    <w:p w:rsidR="00B1268C" w:rsidRPr="00153074" w:rsidRDefault="0072429F" w:rsidP="007462FA">
      <w:pPr>
        <w:jc w:val="both"/>
        <w:rPr>
          <w:lang w:val="es-ES_tradnl"/>
        </w:rPr>
      </w:pPr>
      <w:r w:rsidRPr="00153074">
        <w:rPr>
          <w:lang w:val="es-ES_tradnl"/>
        </w:rPr>
        <w:t>El Programa de Trabajo Decente</w:t>
      </w:r>
      <w:r w:rsidR="00B1268C" w:rsidRPr="00153074">
        <w:rPr>
          <w:rStyle w:val="FootnoteReference"/>
          <w:rFonts w:ascii="Arial" w:hAnsi="Arial" w:cs="Arial"/>
          <w:sz w:val="20"/>
          <w:szCs w:val="20"/>
          <w:lang w:val="es-ES_tradnl"/>
        </w:rPr>
        <w:footnoteReference w:id="19"/>
      </w:r>
      <w:r w:rsidR="00A00F40" w:rsidRPr="00153074">
        <w:rPr>
          <w:lang w:val="es-ES_tradnl"/>
        </w:rPr>
        <w:t>,</w:t>
      </w:r>
      <w:r w:rsidR="00B1268C" w:rsidRPr="00153074">
        <w:rPr>
          <w:lang w:val="es-ES_tradnl"/>
        </w:rPr>
        <w:t xml:space="preserve"> </w:t>
      </w:r>
      <w:r w:rsidRPr="00153074">
        <w:rPr>
          <w:lang w:val="es-ES_tradnl"/>
        </w:rPr>
        <w:t>promovido por la OIT desde</w:t>
      </w:r>
      <w:r w:rsidR="00B1268C" w:rsidRPr="00153074">
        <w:rPr>
          <w:lang w:val="es-ES_tradnl"/>
        </w:rPr>
        <w:t xml:space="preserve"> 1999, </w:t>
      </w:r>
      <w:r w:rsidRPr="00153074">
        <w:rPr>
          <w:lang w:val="es-ES_tradnl"/>
        </w:rPr>
        <w:t xml:space="preserve">y el Pacto Mundial </w:t>
      </w:r>
      <w:r w:rsidR="009A4548" w:rsidRPr="00153074">
        <w:rPr>
          <w:lang w:val="es-ES_tradnl"/>
        </w:rPr>
        <w:t xml:space="preserve">para </w:t>
      </w:r>
      <w:r w:rsidRPr="00153074">
        <w:rPr>
          <w:lang w:val="es-ES_tradnl"/>
        </w:rPr>
        <w:t>el Empleo</w:t>
      </w:r>
      <w:r w:rsidR="00B1268C" w:rsidRPr="00153074">
        <w:rPr>
          <w:rStyle w:val="FootnoteReference"/>
          <w:lang w:val="es-ES_tradnl"/>
        </w:rPr>
        <w:footnoteReference w:id="20"/>
      </w:r>
      <w:r w:rsidR="00110ED0" w:rsidRPr="00153074">
        <w:rPr>
          <w:lang w:val="es-ES_tradnl"/>
        </w:rPr>
        <w:t xml:space="preserve"> se han desarrollado a su vez sobre estas normas, traduciendo estrategias sociales y políticas para abordar los retos de la globalización. Están pensados para abordar vías políticas hacia un desarrollo </w:t>
      </w:r>
      <w:r w:rsidR="00F60B95" w:rsidRPr="00153074">
        <w:rPr>
          <w:lang w:val="es-ES_tradnl"/>
        </w:rPr>
        <w:t xml:space="preserve">inclusivo y sostenible </w:t>
      </w:r>
      <w:r w:rsidR="00110ED0" w:rsidRPr="00153074">
        <w:rPr>
          <w:lang w:val="es-ES_tradnl"/>
        </w:rPr>
        <w:t>basado en los derechos, centrándose en:</w:t>
      </w:r>
    </w:p>
    <w:p w:rsidR="00B1268C" w:rsidRPr="00153074" w:rsidRDefault="00AD6F10" w:rsidP="007462FA">
      <w:pPr>
        <w:pStyle w:val="ListParagraph"/>
        <w:numPr>
          <w:ilvl w:val="0"/>
          <w:numId w:val="28"/>
        </w:numPr>
        <w:jc w:val="both"/>
        <w:rPr>
          <w:lang w:val="es-ES_tradnl"/>
        </w:rPr>
      </w:pPr>
      <w:hyperlink r:id="rId19" w:history="1">
        <w:r w:rsidR="00110ED0" w:rsidRPr="00153074">
          <w:rPr>
            <w:lang w:val="es-ES_tradnl"/>
          </w:rPr>
          <w:t>La creación de empleo</w:t>
        </w:r>
      </w:hyperlink>
      <w:r w:rsidR="00B1268C" w:rsidRPr="00153074">
        <w:rPr>
          <w:lang w:val="es-ES_tradnl"/>
        </w:rPr>
        <w:t xml:space="preserve"> – </w:t>
      </w:r>
      <w:r w:rsidR="00F60B95" w:rsidRPr="00153074">
        <w:rPr>
          <w:lang w:val="es-ES_tradnl"/>
        </w:rPr>
        <w:t>una economía que genere</w:t>
      </w:r>
      <w:r w:rsidR="003A3386" w:rsidRPr="00153074">
        <w:rPr>
          <w:lang w:val="es-ES_tradnl"/>
        </w:rPr>
        <w:t xml:space="preserve"> oportunidades para la inversión, el espíritu empresarial, el desarrollo de capacidades, la creación de empleo y formas de sustento sostenibles.</w:t>
      </w:r>
    </w:p>
    <w:p w:rsidR="00B1268C" w:rsidRPr="00153074" w:rsidRDefault="00AD6F10" w:rsidP="007462FA">
      <w:pPr>
        <w:pStyle w:val="ListParagraph"/>
        <w:numPr>
          <w:ilvl w:val="0"/>
          <w:numId w:val="28"/>
        </w:numPr>
        <w:jc w:val="both"/>
        <w:rPr>
          <w:lang w:val="es-ES_tradnl"/>
        </w:rPr>
      </w:pPr>
      <w:hyperlink r:id="rId20" w:history="1">
        <w:r w:rsidR="003A3386" w:rsidRPr="00153074">
          <w:rPr>
            <w:lang w:val="es-ES_tradnl"/>
          </w:rPr>
          <w:t>Garantizar los derechos en el trabajo</w:t>
        </w:r>
      </w:hyperlink>
      <w:r w:rsidR="00B1268C" w:rsidRPr="00153074">
        <w:rPr>
          <w:lang w:val="es-ES_tradnl"/>
        </w:rPr>
        <w:t xml:space="preserve"> – </w:t>
      </w:r>
      <w:r w:rsidR="003A3386" w:rsidRPr="00153074">
        <w:rPr>
          <w:lang w:val="es-ES_tradnl"/>
        </w:rPr>
        <w:t xml:space="preserve">para </w:t>
      </w:r>
      <w:r w:rsidR="00FA4076" w:rsidRPr="00153074">
        <w:rPr>
          <w:lang w:val="es-ES_tradnl"/>
        </w:rPr>
        <w:t>conseguir el</w:t>
      </w:r>
      <w:r w:rsidR="003A3386" w:rsidRPr="00153074">
        <w:rPr>
          <w:lang w:val="es-ES_tradnl"/>
        </w:rPr>
        <w:t xml:space="preserve"> reconocimiento y respeto </w:t>
      </w:r>
      <w:r w:rsidR="00F60B95" w:rsidRPr="00153074">
        <w:rPr>
          <w:lang w:val="es-ES_tradnl"/>
        </w:rPr>
        <w:t>de</w:t>
      </w:r>
      <w:r w:rsidR="003A3386" w:rsidRPr="00153074">
        <w:rPr>
          <w:lang w:val="es-ES_tradnl"/>
        </w:rPr>
        <w:t xml:space="preserve"> los derechos de los trabajadores y trabajadoras. Todos los trabajadores, y en particular los </w:t>
      </w:r>
      <w:r w:rsidR="00FA4076" w:rsidRPr="00153074">
        <w:rPr>
          <w:lang w:val="es-ES_tradnl"/>
        </w:rPr>
        <w:t>desfavorecidos</w:t>
      </w:r>
      <w:r w:rsidR="003A3386" w:rsidRPr="00153074">
        <w:rPr>
          <w:lang w:val="es-ES_tradnl"/>
        </w:rPr>
        <w:t xml:space="preserve"> y los pobres,</w:t>
      </w:r>
      <w:r w:rsidR="00D94BD3" w:rsidRPr="00153074">
        <w:rPr>
          <w:lang w:val="es-ES_tradnl"/>
        </w:rPr>
        <w:t xml:space="preserve"> necesitan representación, </w:t>
      </w:r>
      <w:r w:rsidR="009E0FD5" w:rsidRPr="00153074">
        <w:rPr>
          <w:lang w:val="es-ES_tradnl"/>
        </w:rPr>
        <w:t xml:space="preserve">posibilidades de </w:t>
      </w:r>
      <w:r w:rsidR="00D94BD3" w:rsidRPr="00153074">
        <w:rPr>
          <w:lang w:val="es-ES_tradnl"/>
        </w:rPr>
        <w:t>participación y leyes que funcionen a favor de sus intereses.</w:t>
      </w:r>
    </w:p>
    <w:p w:rsidR="00B1268C" w:rsidRPr="00153074" w:rsidRDefault="00AD6F10" w:rsidP="007462FA">
      <w:pPr>
        <w:pStyle w:val="ListParagraph"/>
        <w:numPr>
          <w:ilvl w:val="0"/>
          <w:numId w:val="28"/>
        </w:numPr>
        <w:jc w:val="both"/>
        <w:rPr>
          <w:lang w:val="es-ES_tradnl"/>
        </w:rPr>
      </w:pPr>
      <w:hyperlink r:id="rId21" w:history="1">
        <w:r w:rsidR="003A3386" w:rsidRPr="00153074">
          <w:rPr>
            <w:lang w:val="es-ES_tradnl"/>
          </w:rPr>
          <w:t>Ampliar la protección social</w:t>
        </w:r>
      </w:hyperlink>
      <w:r w:rsidR="00B1268C" w:rsidRPr="00153074">
        <w:rPr>
          <w:lang w:val="es-ES_tradnl"/>
        </w:rPr>
        <w:t xml:space="preserve"> – </w:t>
      </w:r>
      <w:r w:rsidR="00D94BD3" w:rsidRPr="00153074">
        <w:rPr>
          <w:lang w:val="es-ES_tradnl"/>
        </w:rPr>
        <w:t>para promover la inclusión y la productividad garantizando que las mujeres y los hombres gocen de unas condicio</w:t>
      </w:r>
      <w:r w:rsidR="00FA4076" w:rsidRPr="00153074">
        <w:rPr>
          <w:lang w:val="es-ES_tradnl"/>
        </w:rPr>
        <w:t>nes de trabajo que sean iguales y</w:t>
      </w:r>
      <w:r w:rsidR="00D94BD3" w:rsidRPr="00153074">
        <w:rPr>
          <w:lang w:val="es-ES_tradnl"/>
        </w:rPr>
        <w:t xml:space="preserve"> seguras, </w:t>
      </w:r>
      <w:r w:rsidR="00FA4076" w:rsidRPr="00153074">
        <w:rPr>
          <w:lang w:val="es-ES_tradnl"/>
        </w:rPr>
        <w:t>que permitan disponer de</w:t>
      </w:r>
      <w:r w:rsidR="00D94BD3" w:rsidRPr="00153074">
        <w:rPr>
          <w:lang w:val="es-ES_tradnl"/>
        </w:rPr>
        <w:t xml:space="preserve"> tiempo libre y de descanso adecuado, </w:t>
      </w:r>
      <w:r w:rsidR="00FA4076" w:rsidRPr="00153074">
        <w:rPr>
          <w:lang w:val="es-ES_tradnl"/>
        </w:rPr>
        <w:t xml:space="preserve">que </w:t>
      </w:r>
      <w:r w:rsidR="00D94BD3" w:rsidRPr="00153074">
        <w:rPr>
          <w:lang w:val="es-ES_tradnl"/>
        </w:rPr>
        <w:t xml:space="preserve">tengan en cuenta los valores familiares y sociales, </w:t>
      </w:r>
      <w:r w:rsidR="00FA4076" w:rsidRPr="00153074">
        <w:rPr>
          <w:lang w:val="es-ES_tradnl"/>
        </w:rPr>
        <w:t>que ofrezcan</w:t>
      </w:r>
      <w:r w:rsidR="00D94BD3" w:rsidRPr="00153074">
        <w:rPr>
          <w:lang w:val="es-ES_tradnl"/>
        </w:rPr>
        <w:t xml:space="preserve"> una indemnización </w:t>
      </w:r>
      <w:r w:rsidR="00BF2022" w:rsidRPr="00153074">
        <w:rPr>
          <w:lang w:val="es-ES_tradnl"/>
        </w:rPr>
        <w:t>apropiada</w:t>
      </w:r>
      <w:r w:rsidR="00D94BD3" w:rsidRPr="00153074">
        <w:rPr>
          <w:lang w:val="es-ES_tradnl"/>
        </w:rPr>
        <w:t xml:space="preserve"> en caso de pérdida o reducción de ingresos y </w:t>
      </w:r>
      <w:r w:rsidR="00FA4076" w:rsidRPr="00153074">
        <w:rPr>
          <w:lang w:val="es-ES_tradnl"/>
        </w:rPr>
        <w:t xml:space="preserve">que </w:t>
      </w:r>
      <w:r w:rsidR="00D94BD3" w:rsidRPr="00153074">
        <w:rPr>
          <w:lang w:val="es-ES_tradnl"/>
        </w:rPr>
        <w:t>proporcionen acceso a una sanidad adecuada.</w:t>
      </w:r>
    </w:p>
    <w:p w:rsidR="00B1268C" w:rsidRPr="00153074" w:rsidRDefault="00AD6F10" w:rsidP="007462FA">
      <w:pPr>
        <w:pStyle w:val="ListParagraph"/>
        <w:numPr>
          <w:ilvl w:val="0"/>
          <w:numId w:val="28"/>
        </w:numPr>
        <w:jc w:val="both"/>
        <w:rPr>
          <w:lang w:val="es-ES_tradnl"/>
        </w:rPr>
      </w:pPr>
      <w:hyperlink r:id="rId22" w:history="1">
        <w:r w:rsidR="003A3386" w:rsidRPr="00153074">
          <w:rPr>
            <w:lang w:val="es-ES_tradnl"/>
          </w:rPr>
          <w:t>Promover el diálogo social</w:t>
        </w:r>
      </w:hyperlink>
      <w:r w:rsidR="00B1268C" w:rsidRPr="00153074">
        <w:rPr>
          <w:lang w:val="es-ES_tradnl"/>
        </w:rPr>
        <w:t xml:space="preserve"> – </w:t>
      </w:r>
      <w:r w:rsidR="0018268C" w:rsidRPr="00153074">
        <w:rPr>
          <w:lang w:val="es-ES_tradnl"/>
        </w:rPr>
        <w:t>la participación de</w:t>
      </w:r>
      <w:r w:rsidR="00D94BD3" w:rsidRPr="00153074">
        <w:rPr>
          <w:lang w:val="es-ES_tradnl"/>
        </w:rPr>
        <w:t xml:space="preserve"> organizaciones de trabajadores y de empleadores fuertes e independientes es fundamental para aumentar la productividad, evita</w:t>
      </w:r>
      <w:r w:rsidR="0018268C" w:rsidRPr="00153074">
        <w:rPr>
          <w:lang w:val="es-ES_tradnl"/>
        </w:rPr>
        <w:t>r</w:t>
      </w:r>
      <w:r w:rsidR="00D94BD3" w:rsidRPr="00153074">
        <w:rPr>
          <w:lang w:val="es-ES_tradnl"/>
        </w:rPr>
        <w:t xml:space="preserve"> conflictos en el trabajo y desarrolla</w:t>
      </w:r>
      <w:r w:rsidR="0018268C" w:rsidRPr="00153074">
        <w:rPr>
          <w:lang w:val="es-ES_tradnl"/>
        </w:rPr>
        <w:t>r</w:t>
      </w:r>
      <w:r w:rsidR="00D94BD3" w:rsidRPr="00153074">
        <w:rPr>
          <w:lang w:val="es-ES_tradnl"/>
        </w:rPr>
        <w:t xml:space="preserve"> sociedades cohesivas.</w:t>
      </w:r>
    </w:p>
    <w:p w:rsidR="00B1268C" w:rsidRPr="00153074" w:rsidRDefault="00B1268C" w:rsidP="007462FA">
      <w:pPr>
        <w:jc w:val="both"/>
        <w:rPr>
          <w:lang w:val="es-ES_tradnl"/>
        </w:rPr>
      </w:pPr>
    </w:p>
    <w:p w:rsidR="00B1268C" w:rsidRPr="00153074" w:rsidRDefault="00F27464" w:rsidP="00004D64">
      <w:pPr>
        <w:pStyle w:val="Heading3"/>
        <w:rPr>
          <w:lang w:val="es-ES_tradnl"/>
        </w:rPr>
      </w:pPr>
      <w:bookmarkStart w:id="96" w:name="_Toc359331999"/>
      <w:bookmarkStart w:id="97" w:name="_Toc369604939"/>
      <w:r w:rsidRPr="00153074">
        <w:rPr>
          <w:lang w:val="es-ES_tradnl"/>
        </w:rPr>
        <w:t>Diálogo social</w:t>
      </w:r>
      <w:bookmarkEnd w:id="96"/>
      <w:r w:rsidR="00CE09AE" w:rsidRPr="00153074">
        <w:rPr>
          <w:lang w:val="es-ES_tradnl"/>
        </w:rPr>
        <w:t xml:space="preserve"> como base para la inclusividad</w:t>
      </w:r>
      <w:bookmarkEnd w:id="97"/>
      <w:r w:rsidR="00CE09AE" w:rsidRPr="00153074">
        <w:rPr>
          <w:lang w:val="es-ES_tradnl"/>
        </w:rPr>
        <w:t xml:space="preserve"> </w:t>
      </w:r>
    </w:p>
    <w:p w:rsidR="00004D64" w:rsidRPr="00153074" w:rsidRDefault="00004D64" w:rsidP="00004D64">
      <w:pPr>
        <w:jc w:val="both"/>
        <w:rPr>
          <w:lang w:val="es-ES_tradnl"/>
        </w:rPr>
      </w:pPr>
      <w:r w:rsidRPr="00153074">
        <w:rPr>
          <w:lang w:val="es-ES_tradnl"/>
        </w:rPr>
        <w:t>Los interlocutores sociales (organizaciones de trabajadores y empleadores) y el diálogo social deberían estar reconocidos como aspectos fundamentales de la promoción del sector privado como asociado en el desarrollo sostenible. El diálogo social es esencial para garantizar una apropiación democrática generalizada de los objetivos de desarrollo económico y social, incluyendo el respeto de las normas fundamentales del trabajo y la promoción de la justicia social. A través del diálogo social, los representantes de los trabajadores y de los empleadores contribuyen al diseño de estrategias efectivas de desarrollo social y económico y a mejorar la gestión de conflictos y la paz social. Los interlocutores sociales deberían ser reconocidos como actores del desarrollo por derecho propio.</w:t>
      </w:r>
    </w:p>
    <w:p w:rsidR="00004D64" w:rsidRPr="00153074" w:rsidRDefault="00004D64" w:rsidP="007462FA">
      <w:pPr>
        <w:jc w:val="both"/>
        <w:rPr>
          <w:lang w:val="es-ES_tradnl"/>
        </w:rPr>
      </w:pPr>
    </w:p>
    <w:p w:rsidR="00516340" w:rsidRDefault="00093E2B" w:rsidP="007462FA">
      <w:pPr>
        <w:jc w:val="both"/>
        <w:rPr>
          <w:lang w:val="es-ES_tradnl"/>
        </w:rPr>
      </w:pPr>
      <w:r w:rsidRPr="00153074">
        <w:rPr>
          <w:lang w:val="es-ES_tradnl"/>
        </w:rPr>
        <w:t xml:space="preserve">Esto ha quedado demostrado en </w:t>
      </w:r>
      <w:r w:rsidR="00B7511F" w:rsidRPr="00153074">
        <w:rPr>
          <w:lang w:val="es-ES_tradnl"/>
        </w:rPr>
        <w:t>numerosos</w:t>
      </w:r>
      <w:r w:rsidRPr="00153074">
        <w:rPr>
          <w:lang w:val="es-ES_tradnl"/>
        </w:rPr>
        <w:t xml:space="preserve"> informes recientes, como el Informe sobre diálogo social en países en desarrollo de </w:t>
      </w:r>
      <w:r w:rsidR="00B1268C" w:rsidRPr="00153074">
        <w:rPr>
          <w:lang w:val="es-ES_tradnl"/>
        </w:rPr>
        <w:t xml:space="preserve">2011 </w:t>
      </w:r>
      <w:r w:rsidRPr="00153074">
        <w:rPr>
          <w:lang w:val="es-ES_tradnl"/>
        </w:rPr>
        <w:t>de Nora</w:t>
      </w:r>
      <w:r w:rsidR="00B1268C" w:rsidRPr="00153074">
        <w:rPr>
          <w:lang w:val="es-ES_tradnl"/>
        </w:rPr>
        <w:t>d</w:t>
      </w:r>
      <w:r w:rsidR="00B1268C" w:rsidRPr="00153074">
        <w:rPr>
          <w:vertAlign w:val="superscript"/>
          <w:lang w:val="es-ES_tradnl"/>
        </w:rPr>
        <w:footnoteReference w:id="21"/>
      </w:r>
      <w:r w:rsidRPr="00153074">
        <w:rPr>
          <w:lang w:val="es-ES_tradnl"/>
        </w:rPr>
        <w:t>,</w:t>
      </w:r>
      <w:r w:rsidR="00B1268C" w:rsidRPr="00153074">
        <w:rPr>
          <w:lang w:val="es-ES_tradnl"/>
        </w:rPr>
        <w:t xml:space="preserve"> </w:t>
      </w:r>
      <w:r w:rsidR="001D44FF" w:rsidRPr="00153074">
        <w:rPr>
          <w:lang w:val="es-ES_tradnl"/>
        </w:rPr>
        <w:t xml:space="preserve">en </w:t>
      </w:r>
      <w:r w:rsidR="00AC08C1" w:rsidRPr="00153074">
        <w:rPr>
          <w:lang w:val="es-ES_tradnl"/>
        </w:rPr>
        <w:t xml:space="preserve">la </w:t>
      </w:r>
      <w:r w:rsidRPr="00153074">
        <w:rPr>
          <w:lang w:val="es-ES_tradnl"/>
        </w:rPr>
        <w:t xml:space="preserve">evidencia </w:t>
      </w:r>
      <w:r w:rsidR="00B7511F" w:rsidRPr="00153074">
        <w:rPr>
          <w:lang w:val="es-ES_tradnl"/>
        </w:rPr>
        <w:t xml:space="preserve">que aporta en este sentido </w:t>
      </w:r>
      <w:r w:rsidRPr="00153074">
        <w:rPr>
          <w:lang w:val="es-ES_tradnl"/>
        </w:rPr>
        <w:t>la OIT</w:t>
      </w:r>
      <w:r w:rsidR="00B1268C" w:rsidRPr="00153074">
        <w:rPr>
          <w:lang w:val="es-ES_tradnl"/>
        </w:rPr>
        <w:t xml:space="preserve"> </w:t>
      </w:r>
      <w:r w:rsidR="00B1268C" w:rsidRPr="00153074">
        <w:rPr>
          <w:vertAlign w:val="superscript"/>
          <w:lang w:val="es-ES_tradnl"/>
        </w:rPr>
        <w:footnoteReference w:id="22"/>
      </w:r>
      <w:r w:rsidR="00B1268C" w:rsidRPr="00153074">
        <w:rPr>
          <w:lang w:val="es-ES_tradnl"/>
        </w:rPr>
        <w:t xml:space="preserve"> </w:t>
      </w:r>
      <w:r w:rsidRPr="00153074">
        <w:rPr>
          <w:lang w:val="es-ES_tradnl"/>
        </w:rPr>
        <w:t xml:space="preserve">y sus Programas de Trabajo </w:t>
      </w:r>
      <w:r w:rsidR="00B1268C" w:rsidRPr="00153074">
        <w:rPr>
          <w:lang w:val="es-ES_tradnl"/>
        </w:rPr>
        <w:t>Decent</w:t>
      </w:r>
      <w:r w:rsidRPr="00153074">
        <w:rPr>
          <w:lang w:val="es-ES_tradnl"/>
        </w:rPr>
        <w:t>e por País</w:t>
      </w:r>
      <w:r w:rsidR="00B1268C" w:rsidRPr="00153074">
        <w:rPr>
          <w:vertAlign w:val="superscript"/>
          <w:lang w:val="es-ES_tradnl"/>
        </w:rPr>
        <w:footnoteReference w:id="23"/>
      </w:r>
      <w:r w:rsidRPr="00153074">
        <w:rPr>
          <w:lang w:val="es-ES_tradnl"/>
        </w:rPr>
        <w:t xml:space="preserve">, </w:t>
      </w:r>
      <w:r w:rsidR="001D44FF" w:rsidRPr="00153074">
        <w:rPr>
          <w:lang w:val="es-ES_tradnl"/>
        </w:rPr>
        <w:t xml:space="preserve">en </w:t>
      </w:r>
      <w:r w:rsidRPr="00153074">
        <w:rPr>
          <w:lang w:val="es-ES_tradnl"/>
        </w:rPr>
        <w:t xml:space="preserve">la estrategia conjunta de la </w:t>
      </w:r>
      <w:r w:rsidR="003A4EDB" w:rsidRPr="00153074">
        <w:rPr>
          <w:lang w:val="es-ES_tradnl"/>
        </w:rPr>
        <w:t>OIT</w:t>
      </w:r>
      <w:r w:rsidR="00B1268C" w:rsidRPr="00153074">
        <w:rPr>
          <w:lang w:val="es-ES_tradnl"/>
        </w:rPr>
        <w:t xml:space="preserve">, </w:t>
      </w:r>
      <w:r w:rsidRPr="00153074">
        <w:rPr>
          <w:lang w:val="es-ES_tradnl"/>
        </w:rPr>
        <w:t xml:space="preserve">el FMI y la CSI </w:t>
      </w:r>
      <w:r w:rsidR="00AC08C1" w:rsidRPr="00153074">
        <w:rPr>
          <w:lang w:val="es-ES_tradnl"/>
        </w:rPr>
        <w:t>tras</w:t>
      </w:r>
      <w:r w:rsidR="00D3423B" w:rsidRPr="00153074">
        <w:rPr>
          <w:lang w:val="es-ES_tradnl"/>
        </w:rPr>
        <w:t xml:space="preserve"> la Cumbre sobre los retos del </w:t>
      </w:r>
      <w:r w:rsidR="00AC08C1" w:rsidRPr="00153074">
        <w:rPr>
          <w:lang w:val="es-ES_tradnl"/>
        </w:rPr>
        <w:t>c</w:t>
      </w:r>
      <w:r w:rsidR="00D3423B" w:rsidRPr="00153074">
        <w:rPr>
          <w:lang w:val="es-ES_tradnl"/>
        </w:rPr>
        <w:t xml:space="preserve">recimiento, </w:t>
      </w:r>
      <w:r w:rsidR="00AC08C1" w:rsidRPr="00153074">
        <w:rPr>
          <w:lang w:val="es-ES_tradnl"/>
        </w:rPr>
        <w:t>empl</w:t>
      </w:r>
      <w:r w:rsidR="00D3423B" w:rsidRPr="00153074">
        <w:rPr>
          <w:lang w:val="es-ES_tradnl"/>
        </w:rPr>
        <w:t xml:space="preserve">eo y </w:t>
      </w:r>
      <w:r w:rsidR="00AC08C1" w:rsidRPr="00153074">
        <w:rPr>
          <w:lang w:val="es-ES_tradnl"/>
        </w:rPr>
        <w:t>c</w:t>
      </w:r>
      <w:r w:rsidR="00D3423B" w:rsidRPr="00153074">
        <w:rPr>
          <w:lang w:val="es-ES_tradnl"/>
        </w:rPr>
        <w:t xml:space="preserve">ohesión </w:t>
      </w:r>
      <w:r w:rsidR="00AC08C1" w:rsidRPr="00153074">
        <w:rPr>
          <w:lang w:val="es-ES_tradnl"/>
        </w:rPr>
        <w:t>s</w:t>
      </w:r>
      <w:r w:rsidR="00D3423B" w:rsidRPr="00153074">
        <w:rPr>
          <w:lang w:val="es-ES_tradnl"/>
        </w:rPr>
        <w:t xml:space="preserve">ocial celebrada en Oslo en </w:t>
      </w:r>
      <w:r w:rsidR="00B1268C" w:rsidRPr="00153074">
        <w:rPr>
          <w:lang w:val="es-ES_tradnl"/>
        </w:rPr>
        <w:t>2010</w:t>
      </w:r>
      <w:r w:rsidR="00B1268C" w:rsidRPr="00153074">
        <w:rPr>
          <w:rStyle w:val="FootnoteReference"/>
          <w:rFonts w:ascii="Arial" w:hAnsi="Arial" w:cs="Arial"/>
          <w:sz w:val="20"/>
          <w:szCs w:val="20"/>
          <w:lang w:val="es-ES_tradnl"/>
        </w:rPr>
        <w:footnoteReference w:id="24"/>
      </w:r>
      <w:r w:rsidR="00D3423B" w:rsidRPr="00153074">
        <w:rPr>
          <w:lang w:val="es-ES_tradnl"/>
        </w:rPr>
        <w:t>, y</w:t>
      </w:r>
      <w:r w:rsidR="001D44FF" w:rsidRPr="00153074">
        <w:rPr>
          <w:lang w:val="es-ES_tradnl"/>
        </w:rPr>
        <w:t xml:space="preserve"> en</w:t>
      </w:r>
      <w:r w:rsidR="00D3423B" w:rsidRPr="00153074">
        <w:rPr>
          <w:lang w:val="es-ES_tradnl"/>
        </w:rPr>
        <w:t xml:space="preserve"> los planes más recientes de la UE</w:t>
      </w:r>
      <w:r w:rsidR="00326D27" w:rsidRPr="00153074">
        <w:rPr>
          <w:lang w:val="es-ES_tradnl"/>
        </w:rPr>
        <w:t xml:space="preserve"> para la promoción del diálogo social en el desarrollo</w:t>
      </w:r>
      <w:r w:rsidR="00B1268C" w:rsidRPr="00153074">
        <w:rPr>
          <w:vertAlign w:val="superscript"/>
          <w:lang w:val="es-ES_tradnl"/>
        </w:rPr>
        <w:footnoteReference w:id="25"/>
      </w:r>
      <w:r w:rsidR="00326D27" w:rsidRPr="00153074">
        <w:rPr>
          <w:lang w:val="es-ES_tradnl"/>
        </w:rPr>
        <w:t xml:space="preserve">. </w:t>
      </w:r>
      <w:r w:rsidR="00571177">
        <w:rPr>
          <w:lang w:val="es-ES_tradnl"/>
        </w:rPr>
        <w:t xml:space="preserve">Pero la realidad al nivel de </w:t>
      </w:r>
      <w:r w:rsidR="00516340">
        <w:rPr>
          <w:lang w:val="es-ES_tradnl"/>
        </w:rPr>
        <w:t xml:space="preserve">los </w:t>
      </w:r>
      <w:r w:rsidR="00571177">
        <w:rPr>
          <w:lang w:val="es-ES_tradnl"/>
        </w:rPr>
        <w:t xml:space="preserve">donantes individuales </w:t>
      </w:r>
      <w:r w:rsidR="00516340" w:rsidRPr="00516340">
        <w:rPr>
          <w:lang w:val="es-ES"/>
        </w:rPr>
        <w:t>dista mucho de ser satisfactoria, tal y como lo demostraron los estudios realizados por la confederación sindical LO de Dinamarca y por el reciente informe de la central sindical británica TUC (2012).</w:t>
      </w:r>
    </w:p>
    <w:p w:rsidR="00571177" w:rsidRDefault="00571177" w:rsidP="007462FA">
      <w:pPr>
        <w:jc w:val="both"/>
        <w:rPr>
          <w:lang w:val="es-ES_tradnl"/>
        </w:rPr>
      </w:pPr>
    </w:p>
    <w:p w:rsidR="00D932E8" w:rsidRPr="00153074" w:rsidRDefault="00326D27" w:rsidP="007462FA">
      <w:pPr>
        <w:jc w:val="both"/>
        <w:rPr>
          <w:lang w:val="es-ES_tradnl"/>
        </w:rPr>
      </w:pPr>
      <w:r w:rsidRPr="00153074">
        <w:rPr>
          <w:lang w:val="es-ES_tradnl"/>
        </w:rPr>
        <w:t xml:space="preserve">La ayuda al desarrollo puede apoyar </w:t>
      </w:r>
      <w:r w:rsidR="00B7511F" w:rsidRPr="00153074">
        <w:rPr>
          <w:lang w:val="es-ES_tradnl"/>
        </w:rPr>
        <w:t>ciertamente el de</w:t>
      </w:r>
      <w:r w:rsidRPr="00153074">
        <w:rPr>
          <w:lang w:val="es-ES_tradnl"/>
        </w:rPr>
        <w:t xml:space="preserve">sarrollo de capacidades de los interlocutores sociales como lo </w:t>
      </w:r>
      <w:r w:rsidR="00AC08C1" w:rsidRPr="00153074">
        <w:rPr>
          <w:lang w:val="es-ES_tradnl"/>
        </w:rPr>
        <w:t xml:space="preserve">han </w:t>
      </w:r>
      <w:r w:rsidR="001D44FF" w:rsidRPr="00153074">
        <w:rPr>
          <w:lang w:val="es-ES_tradnl"/>
        </w:rPr>
        <w:t>dejado patente</w:t>
      </w:r>
      <w:r w:rsidR="00AC08C1" w:rsidRPr="00153074">
        <w:rPr>
          <w:lang w:val="es-ES_tradnl"/>
        </w:rPr>
        <w:t xml:space="preserve"> diversos</w:t>
      </w:r>
      <w:r w:rsidRPr="00153074">
        <w:rPr>
          <w:lang w:val="es-ES_tradnl"/>
        </w:rPr>
        <w:t xml:space="preserve"> programas de la</w:t>
      </w:r>
      <w:r w:rsidR="00B1268C" w:rsidRPr="00153074">
        <w:rPr>
          <w:lang w:val="es-ES_tradnl"/>
        </w:rPr>
        <w:t xml:space="preserve"> </w:t>
      </w:r>
      <w:r w:rsidR="003A4EDB" w:rsidRPr="00153074">
        <w:rPr>
          <w:lang w:val="es-ES_tradnl"/>
        </w:rPr>
        <w:t>OIT</w:t>
      </w:r>
      <w:r w:rsidR="00AC08C1" w:rsidRPr="00153074">
        <w:rPr>
          <w:lang w:val="es-ES_tradnl"/>
        </w:rPr>
        <w:t xml:space="preserve"> a lo largo de</w:t>
      </w:r>
      <w:r w:rsidRPr="00153074">
        <w:rPr>
          <w:lang w:val="es-ES_tradnl"/>
        </w:rPr>
        <w:t xml:space="preserve"> la última década</w:t>
      </w:r>
      <w:r w:rsidR="00B1268C" w:rsidRPr="00153074">
        <w:rPr>
          <w:lang w:val="es-ES_tradnl"/>
        </w:rPr>
        <w:t>.</w:t>
      </w:r>
      <w:r w:rsidR="00B1268C" w:rsidRPr="00153074">
        <w:rPr>
          <w:vertAlign w:val="superscript"/>
          <w:lang w:val="es-ES_tradnl"/>
        </w:rPr>
        <w:footnoteReference w:id="26"/>
      </w:r>
      <w:r w:rsidR="00B1268C" w:rsidRPr="00153074">
        <w:rPr>
          <w:vertAlign w:val="superscript"/>
          <w:lang w:val="es-ES_tradnl"/>
        </w:rPr>
        <w:t>.</w:t>
      </w:r>
      <w:r w:rsidR="00721735" w:rsidRPr="00153074">
        <w:rPr>
          <w:lang w:val="es-ES_tradnl"/>
        </w:rPr>
        <w:t xml:space="preserve"> </w:t>
      </w:r>
      <w:r w:rsidR="008F529F" w:rsidRPr="00153074">
        <w:rPr>
          <w:lang w:val="es-ES_tradnl"/>
        </w:rPr>
        <w:t>No obstante,</w:t>
      </w:r>
      <w:r w:rsidR="00767344" w:rsidRPr="00153074">
        <w:rPr>
          <w:lang w:val="es-ES_tradnl"/>
        </w:rPr>
        <w:t xml:space="preserve"> el desarrollo de unas relaciones laborales sólidas y maduras requerirá enfoques a largo plazo e implicará la capacidad para </w:t>
      </w:r>
      <w:r w:rsidR="001A4DEF" w:rsidRPr="00153074">
        <w:rPr>
          <w:lang w:val="es-ES_tradnl"/>
        </w:rPr>
        <w:t>mitigar</w:t>
      </w:r>
      <w:r w:rsidR="00F852AD" w:rsidRPr="00153074">
        <w:rPr>
          <w:lang w:val="es-ES_tradnl"/>
        </w:rPr>
        <w:t xml:space="preserve"> altos ries</w:t>
      </w:r>
      <w:r w:rsidR="001A4DEF" w:rsidRPr="00153074">
        <w:rPr>
          <w:lang w:val="es-ES_tradnl"/>
        </w:rPr>
        <w:t>g</w:t>
      </w:r>
      <w:r w:rsidR="00F852AD" w:rsidRPr="00153074">
        <w:rPr>
          <w:lang w:val="es-ES_tradnl"/>
        </w:rPr>
        <w:t xml:space="preserve">os por parte de todos los asociados, incluyendo </w:t>
      </w:r>
      <w:r w:rsidR="00DD1542" w:rsidRPr="00153074">
        <w:rPr>
          <w:lang w:val="es-ES_tradnl"/>
        </w:rPr>
        <w:t xml:space="preserve">los </w:t>
      </w:r>
      <w:r w:rsidR="00F852AD" w:rsidRPr="00153074">
        <w:rPr>
          <w:lang w:val="es-ES_tradnl"/>
        </w:rPr>
        <w:t xml:space="preserve">asociados del desarrollo que quisieran </w:t>
      </w:r>
      <w:r w:rsidR="00DD1542" w:rsidRPr="00153074">
        <w:rPr>
          <w:lang w:val="es-ES_tradnl"/>
        </w:rPr>
        <w:t>participar</w:t>
      </w:r>
      <w:r w:rsidR="00F852AD" w:rsidRPr="00153074">
        <w:rPr>
          <w:lang w:val="es-ES_tradnl"/>
        </w:rPr>
        <w:t>.</w:t>
      </w:r>
    </w:p>
    <w:p w:rsidR="00CE09AE" w:rsidRPr="00153074" w:rsidRDefault="00CE09AE" w:rsidP="007462FA">
      <w:pPr>
        <w:jc w:val="both"/>
        <w:rPr>
          <w:lang w:val="es-ES_tradnl"/>
        </w:rPr>
      </w:pPr>
    </w:p>
    <w:p w:rsidR="00CE09AE" w:rsidRPr="00153074" w:rsidRDefault="009A40A9" w:rsidP="00CE09AE">
      <w:pPr>
        <w:jc w:val="both"/>
        <w:rPr>
          <w:lang w:val="es-ES_tradnl"/>
        </w:rPr>
      </w:pPr>
      <w:r w:rsidRPr="00153074">
        <w:rPr>
          <w:lang w:val="es-ES_tradnl"/>
        </w:rPr>
        <w:t xml:space="preserve">El diálogo social debería tener lugar también a nivel </w:t>
      </w:r>
      <w:r w:rsidR="00516340">
        <w:rPr>
          <w:lang w:val="es-ES_tradnl"/>
        </w:rPr>
        <w:t>de empresa</w:t>
      </w:r>
      <w:r w:rsidRPr="00153074">
        <w:rPr>
          <w:lang w:val="es-ES_tradnl"/>
        </w:rPr>
        <w:t xml:space="preserve">, para contribuir a garantizar que la creación de empleo en el mundo en desarrollo venga a sumarse, y no equivalga a destrucción de empleo en los países donantes. Las iniciativas de SPD no deberían fomentar la deslocalización de inversiones establecidas en los países donantes. Esto a su vez requiere un diálogo social firme entre sindicatos, asociaciones de empleadores y Gobiernos, que esté integrado en la política de ayuda y cooperación al desarrollo de los países donantes. </w:t>
      </w:r>
    </w:p>
    <w:p w:rsidR="00D932E8" w:rsidRPr="00153074" w:rsidRDefault="00D932E8" w:rsidP="007462FA">
      <w:pPr>
        <w:jc w:val="both"/>
        <w:rPr>
          <w:lang w:val="es-ES_tradnl"/>
        </w:rPr>
      </w:pPr>
    </w:p>
    <w:p w:rsidR="00D932E8" w:rsidRPr="00153074" w:rsidRDefault="00FB4D91" w:rsidP="00004D64">
      <w:pPr>
        <w:pStyle w:val="Heading3"/>
        <w:rPr>
          <w:lang w:val="es-ES_tradnl"/>
        </w:rPr>
      </w:pPr>
      <w:bookmarkStart w:id="98" w:name="_Toc359332001"/>
      <w:bookmarkStart w:id="99" w:name="_Toc369604940"/>
      <w:r w:rsidRPr="00153074">
        <w:rPr>
          <w:lang w:val="es-ES_tradnl"/>
        </w:rPr>
        <w:t>Responsabilidad corporativa y transpare</w:t>
      </w:r>
      <w:bookmarkEnd w:id="98"/>
      <w:r w:rsidRPr="00153074">
        <w:rPr>
          <w:lang w:val="es-ES_tradnl"/>
        </w:rPr>
        <w:t>ncia</w:t>
      </w:r>
      <w:bookmarkEnd w:id="99"/>
    </w:p>
    <w:p w:rsidR="00D932E8" w:rsidRPr="00153074" w:rsidRDefault="009D45FE" w:rsidP="007462FA">
      <w:pPr>
        <w:jc w:val="both"/>
        <w:rPr>
          <w:rFonts w:ascii="Arial" w:hAnsi="Arial" w:cs="Arial"/>
          <w:b/>
          <w:sz w:val="20"/>
          <w:szCs w:val="20"/>
          <w:u w:val="single"/>
          <w:lang w:val="es-ES_tradnl"/>
        </w:rPr>
      </w:pPr>
      <w:r w:rsidRPr="00153074">
        <w:rPr>
          <w:lang w:val="es-ES_tradnl"/>
        </w:rPr>
        <w:t>L</w:t>
      </w:r>
      <w:r w:rsidR="00295679" w:rsidRPr="00153074">
        <w:rPr>
          <w:lang w:val="es-ES_tradnl"/>
        </w:rPr>
        <w:t xml:space="preserve">os inversores </w:t>
      </w:r>
      <w:r w:rsidRPr="00153074">
        <w:rPr>
          <w:lang w:val="es-ES_tradnl"/>
        </w:rPr>
        <w:t>y las EMN establecidas en</w:t>
      </w:r>
      <w:r w:rsidR="00295679" w:rsidRPr="00153074">
        <w:rPr>
          <w:lang w:val="es-ES_tradnl"/>
        </w:rPr>
        <w:t xml:space="preserve"> la OCDE desempeñan un papel clave </w:t>
      </w:r>
      <w:r w:rsidR="000B3AEF" w:rsidRPr="00153074">
        <w:rPr>
          <w:lang w:val="es-ES_tradnl"/>
        </w:rPr>
        <w:t xml:space="preserve">en el fomento del programa de desarrollo del sector privado. </w:t>
      </w:r>
      <w:r w:rsidR="0018340A" w:rsidRPr="00153074">
        <w:rPr>
          <w:lang w:val="es-ES_tradnl"/>
        </w:rPr>
        <w:t xml:space="preserve">Es preciso </w:t>
      </w:r>
      <w:r w:rsidR="005F05E3" w:rsidRPr="00153074">
        <w:rPr>
          <w:lang w:val="es-ES_tradnl"/>
        </w:rPr>
        <w:t xml:space="preserve">que rindan </w:t>
      </w:r>
      <w:r w:rsidR="000B3AEF" w:rsidRPr="00153074">
        <w:rPr>
          <w:lang w:val="es-ES_tradnl"/>
        </w:rPr>
        <w:t>cuentas, y tienen que promover y respet</w:t>
      </w:r>
      <w:r w:rsidR="000323AF" w:rsidRPr="00153074">
        <w:rPr>
          <w:lang w:val="es-ES_tradnl"/>
        </w:rPr>
        <w:t xml:space="preserve">ar las normas internacionales </w:t>
      </w:r>
      <w:r w:rsidR="005F05E3" w:rsidRPr="00153074">
        <w:rPr>
          <w:lang w:val="es-ES_tradnl"/>
        </w:rPr>
        <w:t>en materia de</w:t>
      </w:r>
      <w:r w:rsidR="000B3AEF" w:rsidRPr="00153074">
        <w:rPr>
          <w:lang w:val="es-ES_tradnl"/>
        </w:rPr>
        <w:t xml:space="preserve"> transparencia y </w:t>
      </w:r>
      <w:r w:rsidR="00F41304" w:rsidRPr="00153074">
        <w:rPr>
          <w:lang w:val="es-ES_tradnl"/>
        </w:rPr>
        <w:t>responsabilidad</w:t>
      </w:r>
      <w:r w:rsidR="000B3AEF" w:rsidRPr="00153074">
        <w:rPr>
          <w:lang w:val="es-ES_tradnl"/>
        </w:rPr>
        <w:t xml:space="preserve"> en la cooperación al desarrollo</w:t>
      </w:r>
      <w:r w:rsidR="00D932E8" w:rsidRPr="00153074">
        <w:rPr>
          <w:lang w:val="es-ES_tradnl"/>
        </w:rPr>
        <w:t>.</w:t>
      </w:r>
      <w:r w:rsidR="00D932E8" w:rsidRPr="00153074">
        <w:rPr>
          <w:rStyle w:val="FootnoteReference"/>
          <w:rFonts w:ascii="Arial" w:hAnsi="Arial" w:cs="Arial"/>
          <w:color w:val="000000"/>
          <w:sz w:val="20"/>
          <w:szCs w:val="20"/>
          <w:lang w:val="es-ES_tradnl"/>
        </w:rPr>
        <w:footnoteReference w:id="27"/>
      </w:r>
      <w:r w:rsidR="00D932E8" w:rsidRPr="00153074">
        <w:rPr>
          <w:lang w:val="es-ES_tradnl"/>
        </w:rPr>
        <w:t xml:space="preserve"> M</w:t>
      </w:r>
      <w:r w:rsidR="000323AF" w:rsidRPr="00153074">
        <w:rPr>
          <w:lang w:val="es-ES_tradnl"/>
        </w:rPr>
        <w:t xml:space="preserve">ás concretamente, las EMN y sus asociados del sector privado deben cumplir con los principios y normas </w:t>
      </w:r>
      <w:proofErr w:type="gramStart"/>
      <w:r w:rsidR="000323AF" w:rsidRPr="00153074">
        <w:rPr>
          <w:lang w:val="es-ES_tradnl"/>
        </w:rPr>
        <w:t xml:space="preserve">del trabajo de la OIT </w:t>
      </w:r>
      <w:r w:rsidR="00956789" w:rsidRPr="00153074">
        <w:rPr>
          <w:lang w:val="es-ES_tradnl"/>
        </w:rPr>
        <w:t xml:space="preserve">consagrados </w:t>
      </w:r>
      <w:r w:rsidR="000323AF" w:rsidRPr="00153074">
        <w:rPr>
          <w:lang w:val="es-ES_tradnl"/>
        </w:rPr>
        <w:t>en los Convenios de la OIT y</w:t>
      </w:r>
      <w:r w:rsidR="00283BD6" w:rsidRPr="00153074">
        <w:rPr>
          <w:lang w:val="es-ES_tradnl"/>
        </w:rPr>
        <w:t xml:space="preserve"> </w:t>
      </w:r>
      <w:r w:rsidR="00B529C0" w:rsidRPr="00153074">
        <w:rPr>
          <w:lang w:val="es-ES_tradnl"/>
        </w:rPr>
        <w:t>supervisado</w:t>
      </w:r>
      <w:r w:rsidR="00BF4C41" w:rsidRPr="00153074">
        <w:rPr>
          <w:lang w:val="es-ES_tradnl"/>
        </w:rPr>
        <w:t>s</w:t>
      </w:r>
      <w:proofErr w:type="gramEnd"/>
      <w:r w:rsidR="00BF4C41" w:rsidRPr="00153074">
        <w:rPr>
          <w:lang w:val="es-ES_tradnl"/>
        </w:rPr>
        <w:t xml:space="preserve"> por el sistema de </w:t>
      </w:r>
      <w:r w:rsidR="00956789" w:rsidRPr="00153074">
        <w:rPr>
          <w:lang w:val="es-ES_tradnl"/>
        </w:rPr>
        <w:t>control</w:t>
      </w:r>
      <w:r w:rsidR="00BF4C41" w:rsidRPr="00153074">
        <w:rPr>
          <w:lang w:val="es-ES_tradnl"/>
        </w:rPr>
        <w:t xml:space="preserve"> de la OIT. El sector privado, y más en particular las EMN deberían cumplir con los </w:t>
      </w:r>
      <w:r w:rsidR="00BF4C41" w:rsidRPr="00153074">
        <w:rPr>
          <w:i/>
          <w:lang w:val="es-ES_tradnl"/>
        </w:rPr>
        <w:t xml:space="preserve">Principios Rectores sobre las empresas y los derechos humanos: puesta en práctica del marco de las Naciones Unidas </w:t>
      </w:r>
      <w:r w:rsidR="002A7792" w:rsidRPr="00153074">
        <w:rPr>
          <w:i/>
          <w:lang w:val="es-ES_tradnl"/>
        </w:rPr>
        <w:t>“</w:t>
      </w:r>
      <w:r w:rsidR="00BF4C41" w:rsidRPr="00153074">
        <w:rPr>
          <w:i/>
          <w:lang w:val="es-ES_tradnl"/>
        </w:rPr>
        <w:t>proteger, respetar y remediar</w:t>
      </w:r>
      <w:r w:rsidR="002A7792" w:rsidRPr="00153074">
        <w:rPr>
          <w:i/>
          <w:lang w:val="es-ES_tradnl"/>
        </w:rPr>
        <w:t>”</w:t>
      </w:r>
      <w:r w:rsidR="00BF4C41" w:rsidRPr="00153074">
        <w:rPr>
          <w:i/>
          <w:lang w:val="es-ES_tradnl"/>
        </w:rPr>
        <w:t xml:space="preserve">, </w:t>
      </w:r>
      <w:r w:rsidR="00BF4C41" w:rsidRPr="00153074">
        <w:rPr>
          <w:lang w:val="es-ES_tradnl"/>
        </w:rPr>
        <w:t xml:space="preserve">la </w:t>
      </w:r>
      <w:r w:rsidR="00BF4C41" w:rsidRPr="00153074">
        <w:rPr>
          <w:i/>
          <w:lang w:val="es-ES_tradnl"/>
        </w:rPr>
        <w:t xml:space="preserve">Declaración Tripartita de Principios de la OIT sobre EMN y </w:t>
      </w:r>
      <w:r w:rsidR="00956789" w:rsidRPr="00153074">
        <w:rPr>
          <w:i/>
          <w:lang w:val="es-ES_tradnl"/>
        </w:rPr>
        <w:t>p</w:t>
      </w:r>
      <w:r w:rsidR="00BF4C41" w:rsidRPr="00153074">
        <w:rPr>
          <w:i/>
          <w:lang w:val="es-ES_tradnl"/>
        </w:rPr>
        <w:t xml:space="preserve">olítica </w:t>
      </w:r>
      <w:r w:rsidR="00956789" w:rsidRPr="00153074">
        <w:rPr>
          <w:i/>
          <w:lang w:val="es-ES_tradnl"/>
        </w:rPr>
        <w:t>s</w:t>
      </w:r>
      <w:r w:rsidR="00BF4C41" w:rsidRPr="00153074">
        <w:rPr>
          <w:i/>
          <w:lang w:val="es-ES_tradnl"/>
        </w:rPr>
        <w:t xml:space="preserve">ocial </w:t>
      </w:r>
      <w:r w:rsidR="00BF4C41" w:rsidRPr="00153074">
        <w:rPr>
          <w:lang w:val="es-ES_tradnl"/>
        </w:rPr>
        <w:t xml:space="preserve">y las </w:t>
      </w:r>
      <w:r w:rsidR="00BF4C41" w:rsidRPr="00153074">
        <w:rPr>
          <w:i/>
          <w:lang w:val="es-ES_tradnl"/>
        </w:rPr>
        <w:t xml:space="preserve">Directrices de la OCDE para las EMN, </w:t>
      </w:r>
      <w:r w:rsidR="00BF4C41" w:rsidRPr="00153074">
        <w:rPr>
          <w:lang w:val="es-ES_tradnl"/>
        </w:rPr>
        <w:t xml:space="preserve">y seguir el ejemplo de </w:t>
      </w:r>
      <w:r w:rsidR="00CE09AE" w:rsidRPr="00153074">
        <w:rPr>
          <w:lang w:val="es-ES_tradnl"/>
        </w:rPr>
        <w:t xml:space="preserve">las buenas prácticas de </w:t>
      </w:r>
      <w:r w:rsidR="00BF4C41" w:rsidRPr="00153074">
        <w:rPr>
          <w:lang w:val="es-ES_tradnl"/>
        </w:rPr>
        <w:t>cooperación entre la CFI y la OIT para promover las normas fundamentales del trabajo a lo largo de toda la cadena de producción.</w:t>
      </w:r>
    </w:p>
    <w:p w:rsidR="00B1268C" w:rsidRPr="00153074" w:rsidRDefault="00B1268C" w:rsidP="007462FA">
      <w:pPr>
        <w:jc w:val="both"/>
        <w:rPr>
          <w:rFonts w:ascii="Arial" w:hAnsi="Arial" w:cs="Arial"/>
          <w:b/>
          <w:bCs/>
          <w:color w:val="000000"/>
          <w:sz w:val="20"/>
          <w:szCs w:val="20"/>
          <w:lang w:val="es-ES_tradnl"/>
        </w:rPr>
      </w:pPr>
    </w:p>
    <w:p w:rsidR="00525E63" w:rsidRPr="00153074" w:rsidRDefault="005F05E3" w:rsidP="007462FA">
      <w:pPr>
        <w:jc w:val="both"/>
        <w:rPr>
          <w:lang w:val="es-ES_tradnl"/>
        </w:rPr>
      </w:pPr>
      <w:r w:rsidRPr="00153074">
        <w:rPr>
          <w:lang w:val="es-ES_tradnl"/>
        </w:rPr>
        <w:t>La t</w:t>
      </w:r>
      <w:r w:rsidR="00BF4C41" w:rsidRPr="00153074">
        <w:rPr>
          <w:lang w:val="es-ES_tradnl"/>
        </w:rPr>
        <w:t xml:space="preserve">ransparencia y </w:t>
      </w:r>
      <w:r w:rsidRPr="00153074">
        <w:rPr>
          <w:lang w:val="es-ES_tradnl"/>
        </w:rPr>
        <w:t xml:space="preserve">la </w:t>
      </w:r>
      <w:r w:rsidR="00BF4C41" w:rsidRPr="00153074">
        <w:rPr>
          <w:lang w:val="es-ES_tradnl"/>
        </w:rPr>
        <w:t xml:space="preserve">rendición de cuentas </w:t>
      </w:r>
      <w:r w:rsidR="006A6F95" w:rsidRPr="00153074">
        <w:rPr>
          <w:lang w:val="es-ES_tradnl"/>
        </w:rPr>
        <w:t xml:space="preserve">deberían </w:t>
      </w:r>
      <w:r w:rsidR="00BF4C41" w:rsidRPr="00153074">
        <w:rPr>
          <w:lang w:val="es-ES_tradnl"/>
        </w:rPr>
        <w:t>ser elemento</w:t>
      </w:r>
      <w:r w:rsidRPr="00153074">
        <w:rPr>
          <w:lang w:val="es-ES_tradnl"/>
        </w:rPr>
        <w:t>s</w:t>
      </w:r>
      <w:r w:rsidR="00BF4C41" w:rsidRPr="00153074">
        <w:rPr>
          <w:lang w:val="es-ES_tradnl"/>
        </w:rPr>
        <w:t xml:space="preserve"> </w:t>
      </w:r>
      <w:r w:rsidRPr="00153074">
        <w:rPr>
          <w:lang w:val="es-ES_tradnl"/>
        </w:rPr>
        <w:t>fundamentales</w:t>
      </w:r>
      <w:r w:rsidR="00BF4C41" w:rsidRPr="00153074">
        <w:rPr>
          <w:lang w:val="es-ES_tradnl"/>
        </w:rPr>
        <w:t xml:space="preserve"> del compromiso del sector privado. Las empresas deberían informar sobre sus actividades financieras, incluyendo información fiscal y procedimientos de contratación, en cada uno de los países.</w:t>
      </w:r>
    </w:p>
    <w:p w:rsidR="00B1268C" w:rsidRPr="00153074" w:rsidRDefault="00B1268C" w:rsidP="007462FA">
      <w:pPr>
        <w:jc w:val="both"/>
        <w:rPr>
          <w:lang w:val="es-ES_tradnl"/>
        </w:rPr>
      </w:pPr>
    </w:p>
    <w:p w:rsidR="004B1292" w:rsidRPr="00153074" w:rsidRDefault="004B1292" w:rsidP="004B1292">
      <w:pPr>
        <w:jc w:val="both"/>
        <w:rPr>
          <w:lang w:val="es-ES_tradnl"/>
        </w:rPr>
      </w:pPr>
      <w:bookmarkStart w:id="100" w:name="_Toc359332003"/>
      <w:bookmarkEnd w:id="78"/>
    </w:p>
    <w:p w:rsidR="004B1292" w:rsidRPr="00153074" w:rsidRDefault="0019222C" w:rsidP="004B1292">
      <w:pPr>
        <w:jc w:val="center"/>
        <w:rPr>
          <w:lang w:val="es-ES_tradnl"/>
        </w:rPr>
      </w:pPr>
      <w:r w:rsidRPr="00153074">
        <w:rPr>
          <w:lang w:val="es-ES_tradnl"/>
        </w:rPr>
        <w:t>++++++</w:t>
      </w:r>
    </w:p>
    <w:p w:rsidR="004B1292" w:rsidRPr="00153074" w:rsidRDefault="004B1292" w:rsidP="004B1292">
      <w:pPr>
        <w:jc w:val="center"/>
        <w:rPr>
          <w:lang w:val="es-ES_tradnl"/>
        </w:rPr>
      </w:pPr>
    </w:p>
    <w:p w:rsidR="006C4D0B" w:rsidRPr="00153074" w:rsidRDefault="00277359" w:rsidP="006C4D0B">
      <w:pPr>
        <w:pStyle w:val="Heading1"/>
        <w:spacing w:before="0"/>
        <w:rPr>
          <w:b/>
          <w:u w:val="single"/>
          <w:lang w:val="es-ES_tradnl"/>
        </w:rPr>
      </w:pPr>
      <w:r w:rsidRPr="00153074">
        <w:rPr>
          <w:rFonts w:cs="Times New Roman"/>
          <w:bCs w:val="0"/>
          <w:smallCaps w:val="0"/>
          <w:kern w:val="0"/>
          <w:sz w:val="22"/>
          <w:szCs w:val="24"/>
          <w:lang w:val="es-ES_tradnl"/>
        </w:rPr>
        <w:br w:type="page"/>
      </w:r>
    </w:p>
    <w:p w:rsidR="00B1268C" w:rsidRPr="00153074" w:rsidRDefault="00A8589E" w:rsidP="00015345">
      <w:pPr>
        <w:pStyle w:val="Heading1"/>
        <w:shd w:val="clear" w:color="auto" w:fill="C2D69B"/>
        <w:spacing w:before="0"/>
        <w:rPr>
          <w:b/>
          <w:u w:val="single"/>
          <w:lang w:val="es-ES_tradnl"/>
        </w:rPr>
      </w:pPr>
      <w:bookmarkStart w:id="101" w:name="_Toc369604941"/>
      <w:r w:rsidRPr="00153074">
        <w:rPr>
          <w:b/>
          <w:u w:val="single"/>
          <w:lang w:val="es-ES_tradnl"/>
        </w:rPr>
        <w:lastRenderedPageBreak/>
        <w:t>Fuente</w:t>
      </w:r>
      <w:bookmarkEnd w:id="100"/>
      <w:r w:rsidR="00516340">
        <w:rPr>
          <w:b/>
          <w:u w:val="single"/>
          <w:lang w:val="es-ES_tradnl"/>
        </w:rPr>
        <w:t>s</w:t>
      </w:r>
      <w:bookmarkEnd w:id="101"/>
    </w:p>
    <w:p w:rsidR="00B1268C" w:rsidRPr="00153074" w:rsidRDefault="00B1268C" w:rsidP="007462FA">
      <w:pPr>
        <w:jc w:val="both"/>
        <w:rPr>
          <w:sz w:val="18"/>
          <w:lang w:val="es-ES_tradnl"/>
        </w:rPr>
      </w:pPr>
    </w:p>
    <w:p w:rsidR="006C4D0B" w:rsidRPr="00153074" w:rsidRDefault="006C4D0B" w:rsidP="00790075">
      <w:pPr>
        <w:rPr>
          <w:sz w:val="18"/>
          <w:lang w:val="es-ES_tradnl"/>
        </w:rPr>
      </w:pPr>
    </w:p>
    <w:p w:rsidR="00B1268C" w:rsidRPr="00153074" w:rsidRDefault="00B1268C" w:rsidP="00790075">
      <w:pPr>
        <w:rPr>
          <w:sz w:val="18"/>
          <w:lang w:val="es-ES_tradnl"/>
        </w:rPr>
      </w:pPr>
      <w:r w:rsidRPr="00153074">
        <w:rPr>
          <w:sz w:val="18"/>
          <w:lang w:val="es-ES_tradnl"/>
        </w:rPr>
        <w:t>BCtA 2011</w:t>
      </w:r>
      <w:r w:rsidRPr="00153074">
        <w:rPr>
          <w:sz w:val="18"/>
          <w:lang w:val="es-ES_tradnl"/>
        </w:rPr>
        <w:tab/>
        <w:t>Enhancing Value</w:t>
      </w:r>
      <w:r w:rsidR="00525E63" w:rsidRPr="00153074">
        <w:rPr>
          <w:sz w:val="18"/>
          <w:lang w:val="es-ES_tradnl"/>
        </w:rPr>
        <w:t xml:space="preserve"> </w:t>
      </w:r>
      <w:r w:rsidRPr="00153074">
        <w:rPr>
          <w:sz w:val="18"/>
          <w:lang w:val="es-ES_tradnl"/>
        </w:rPr>
        <w:t xml:space="preserve">Through Inclusive Business Strategies, Business Call to Action, </w:t>
      </w:r>
      <w:r w:rsidR="00142C3F" w:rsidRPr="00153074">
        <w:rPr>
          <w:sz w:val="18"/>
          <w:lang w:val="es-ES_tradnl"/>
        </w:rPr>
        <w:t>septiembre de</w:t>
      </w:r>
      <w:r w:rsidRPr="00153074">
        <w:rPr>
          <w:sz w:val="18"/>
          <w:lang w:val="es-ES_tradnl"/>
        </w:rPr>
        <w:t xml:space="preserve"> 2011, </w:t>
      </w:r>
      <w:hyperlink r:id="rId23" w:history="1">
        <w:r w:rsidRPr="00153074">
          <w:rPr>
            <w:rStyle w:val="Hyperlink"/>
            <w:rFonts w:ascii="Arial" w:hAnsi="Arial" w:cs="Arial"/>
            <w:sz w:val="16"/>
            <w:szCs w:val="20"/>
            <w:lang w:val="es-ES_tradnl"/>
          </w:rPr>
          <w:t>http://www.businesscalltoaction.org/wp-content/uploads/2011/11/Enhancing-Value-through-IB-Event-Report-11.2011.pdf</w:t>
        </w:r>
      </w:hyperlink>
    </w:p>
    <w:p w:rsidR="00B1268C" w:rsidRPr="00153074" w:rsidRDefault="00B1268C" w:rsidP="00790075">
      <w:pPr>
        <w:rPr>
          <w:sz w:val="18"/>
          <w:lang w:val="es-ES_tradnl"/>
        </w:rPr>
      </w:pPr>
    </w:p>
    <w:p w:rsidR="00B1268C" w:rsidRPr="00153074" w:rsidRDefault="00B1268C" w:rsidP="00790075">
      <w:pPr>
        <w:rPr>
          <w:rFonts w:ascii="Arial" w:hAnsi="Arial" w:cs="Arial"/>
          <w:sz w:val="16"/>
          <w:szCs w:val="16"/>
          <w:lang w:val="es-ES_tradnl"/>
        </w:rPr>
      </w:pPr>
      <w:r w:rsidRPr="00153074">
        <w:rPr>
          <w:sz w:val="18"/>
          <w:lang w:val="es-ES_tradnl"/>
        </w:rPr>
        <w:t>BOELL 2011</w:t>
      </w:r>
      <w:r w:rsidRPr="00153074">
        <w:rPr>
          <w:sz w:val="18"/>
          <w:lang w:val="es-ES_tradnl"/>
        </w:rPr>
        <w:tab/>
      </w:r>
      <w:r w:rsidR="00142C3F" w:rsidRPr="00153074">
        <w:rPr>
          <w:sz w:val="18"/>
          <w:lang w:val="es-ES_tradnl"/>
        </w:rPr>
        <w:t>Más allá de la atención pública: Panel de Alto Nivel sobre Infraestructura para revelar las recomendaciones a los líderes del</w:t>
      </w:r>
      <w:r w:rsidRPr="00153074">
        <w:rPr>
          <w:sz w:val="18"/>
          <w:lang w:val="es-ES_tradnl"/>
        </w:rPr>
        <w:t xml:space="preserve"> G20, Nancy Alexander, </w:t>
      </w:r>
      <w:r w:rsidR="00142C3F" w:rsidRPr="00153074">
        <w:rPr>
          <w:sz w:val="18"/>
          <w:lang w:val="es-ES_tradnl"/>
        </w:rPr>
        <w:t xml:space="preserve">Fundación </w:t>
      </w:r>
      <w:r w:rsidRPr="00153074">
        <w:rPr>
          <w:sz w:val="18"/>
          <w:lang w:val="es-ES_tradnl"/>
        </w:rPr>
        <w:t>Heinrich Boell</w:t>
      </w:r>
      <w:r w:rsidR="00222E9A" w:rsidRPr="00153074">
        <w:rPr>
          <w:sz w:val="18"/>
          <w:lang w:val="es-ES_tradnl"/>
        </w:rPr>
        <w:t>, Norteamérica</w:t>
      </w:r>
      <w:r w:rsidRPr="00153074">
        <w:rPr>
          <w:sz w:val="18"/>
          <w:lang w:val="es-ES_tradnl"/>
        </w:rPr>
        <w:t>,</w:t>
      </w:r>
      <w:r w:rsidR="00142C3F" w:rsidRPr="00153074">
        <w:rPr>
          <w:sz w:val="18"/>
          <w:lang w:val="es-ES_tradnl"/>
        </w:rPr>
        <w:t xml:space="preserve"> octubre de</w:t>
      </w:r>
      <w:r w:rsidRPr="00153074">
        <w:rPr>
          <w:sz w:val="18"/>
          <w:lang w:val="es-ES_tradnl"/>
        </w:rPr>
        <w:t xml:space="preserve"> 2011</w:t>
      </w:r>
      <w:r w:rsidR="00142C3F" w:rsidRPr="00153074">
        <w:rPr>
          <w:sz w:val="18"/>
          <w:lang w:val="es-ES_tradnl"/>
        </w:rPr>
        <w:t xml:space="preserve"> </w:t>
      </w:r>
      <w:hyperlink r:id="rId24" w:history="1">
        <w:r w:rsidR="008B6651" w:rsidRPr="00153074">
          <w:rPr>
            <w:rStyle w:val="Hyperlink"/>
            <w:rFonts w:ascii="Arial" w:hAnsi="Arial" w:cs="Arial"/>
            <w:sz w:val="16"/>
            <w:szCs w:val="16"/>
            <w:lang w:val="es-ES_tradnl"/>
          </w:rPr>
          <w:t>http://www.boell.org/downloads/Alexander_G20_spanish.pdf</w:t>
        </w:r>
      </w:hyperlink>
      <w:r w:rsidR="008B6651"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rStyle w:val="Hyperlink"/>
          <w:rFonts w:ascii="Arial" w:hAnsi="Arial" w:cs="Arial"/>
          <w:sz w:val="16"/>
          <w:szCs w:val="20"/>
          <w:lang w:val="es-ES_tradnl"/>
        </w:rPr>
      </w:pPr>
      <w:r w:rsidRPr="00153074">
        <w:rPr>
          <w:sz w:val="18"/>
          <w:lang w:val="es-ES_tradnl"/>
        </w:rPr>
        <w:t>BWP 2013</w:t>
      </w:r>
      <w:r w:rsidRPr="00153074">
        <w:rPr>
          <w:sz w:val="18"/>
          <w:lang w:val="es-ES_tradnl"/>
        </w:rPr>
        <w:tab/>
      </w:r>
      <w:r w:rsidR="008B6651" w:rsidRPr="00153074">
        <w:rPr>
          <w:sz w:val="18"/>
          <w:lang w:val="es-ES_tradnl"/>
        </w:rPr>
        <w:t>Falta de interés de la CFI sobre el impacto causado por sus préstamos al sector financiero</w:t>
      </w:r>
      <w:r w:rsidRPr="00153074">
        <w:rPr>
          <w:sz w:val="18"/>
          <w:lang w:val="es-ES_tradnl"/>
        </w:rPr>
        <w:t xml:space="preserve">, </w:t>
      </w:r>
      <w:r w:rsidR="00222E9A" w:rsidRPr="00153074">
        <w:rPr>
          <w:sz w:val="18"/>
          <w:lang w:val="es-ES_tradnl"/>
        </w:rPr>
        <w:t xml:space="preserve">proyecto de Bretton Woods, </w:t>
      </w:r>
      <w:r w:rsidRPr="00153074">
        <w:rPr>
          <w:sz w:val="18"/>
          <w:lang w:val="es-ES_tradnl"/>
        </w:rPr>
        <w:t xml:space="preserve">12 </w:t>
      </w:r>
      <w:r w:rsidR="008B6651" w:rsidRPr="00153074">
        <w:rPr>
          <w:sz w:val="18"/>
          <w:lang w:val="es-ES_tradnl"/>
        </w:rPr>
        <w:t>de febrero de</w:t>
      </w:r>
      <w:r w:rsidRPr="00153074">
        <w:rPr>
          <w:sz w:val="18"/>
          <w:lang w:val="es-ES_tradnl"/>
        </w:rPr>
        <w:t xml:space="preserve"> 2013</w:t>
      </w:r>
      <w:r w:rsidR="00142C3F" w:rsidRPr="00153074">
        <w:rPr>
          <w:sz w:val="18"/>
          <w:lang w:val="es-ES_tradnl"/>
        </w:rPr>
        <w:t xml:space="preserve"> </w:t>
      </w:r>
      <w:hyperlink r:id="rId25" w:history="1">
        <w:r w:rsidR="008B6651" w:rsidRPr="00153074">
          <w:rPr>
            <w:lang w:val="es-ES_tradnl"/>
          </w:rPr>
          <w:t xml:space="preserve"> </w:t>
        </w:r>
        <w:r w:rsidR="008B6651" w:rsidRPr="00153074">
          <w:rPr>
            <w:rStyle w:val="Hyperlink"/>
            <w:rFonts w:ascii="Arial" w:hAnsi="Arial" w:cs="Arial"/>
            <w:sz w:val="16"/>
            <w:szCs w:val="20"/>
            <w:lang w:val="es-ES_tradnl"/>
          </w:rPr>
          <w:t xml:space="preserve">http://www.brettonwoodsproject.org/art-572131 </w:t>
        </w:r>
      </w:hyperlink>
      <w:r w:rsidR="001B5832" w:rsidRPr="00153074">
        <w:rPr>
          <w:sz w:val="18"/>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CAS 2012</w:t>
      </w:r>
      <w:r w:rsidRPr="00153074">
        <w:rPr>
          <w:sz w:val="18"/>
          <w:lang w:val="es-ES_tradnl"/>
        </w:rPr>
        <w:tab/>
      </w:r>
      <w:r w:rsidR="001539BC" w:rsidRPr="00153074">
        <w:rPr>
          <w:sz w:val="18"/>
          <w:lang w:val="es-ES_tradnl"/>
        </w:rPr>
        <w:tab/>
      </w:r>
      <w:r w:rsidRPr="00153074">
        <w:rPr>
          <w:sz w:val="18"/>
          <w:lang w:val="es-ES_tradnl"/>
        </w:rPr>
        <w:t xml:space="preserve">Le rôle des enterprises dans la lutte contre la pauvreté - L’intérêt des démarches </w:t>
      </w:r>
      <w:r w:rsidR="002A7792" w:rsidRPr="00153074">
        <w:rPr>
          <w:sz w:val="18"/>
          <w:lang w:val="es-ES_tradnl"/>
        </w:rPr>
        <w:t>“</w:t>
      </w:r>
      <w:r w:rsidRPr="00153074">
        <w:rPr>
          <w:sz w:val="18"/>
          <w:lang w:val="es-ES_tradnl"/>
        </w:rPr>
        <w:t>bas de la pyramide</w:t>
      </w:r>
      <w:r w:rsidR="002A7792" w:rsidRPr="00153074">
        <w:rPr>
          <w:sz w:val="18"/>
          <w:lang w:val="es-ES_tradnl"/>
        </w:rPr>
        <w:t>”</w:t>
      </w:r>
      <w:r w:rsidRPr="00153074">
        <w:rPr>
          <w:sz w:val="18"/>
          <w:lang w:val="es-ES_tradnl"/>
        </w:rPr>
        <w:t xml:space="preserve"> en question, Not</w:t>
      </w:r>
      <w:r w:rsidR="006276D8" w:rsidRPr="00153074">
        <w:rPr>
          <w:sz w:val="18"/>
          <w:lang w:val="es-ES_tradnl"/>
        </w:rPr>
        <w:t xml:space="preserve">a de análisis núm. </w:t>
      </w:r>
      <w:r w:rsidRPr="00153074">
        <w:rPr>
          <w:sz w:val="18"/>
          <w:lang w:val="es-ES_tradnl"/>
        </w:rPr>
        <w:t>307, Centr</w:t>
      </w:r>
      <w:r w:rsidR="006276D8" w:rsidRPr="00153074">
        <w:rPr>
          <w:sz w:val="18"/>
          <w:lang w:val="es-ES_tradnl"/>
        </w:rPr>
        <w:t>o de análisis estratégico</w:t>
      </w:r>
      <w:r w:rsidRPr="00153074">
        <w:rPr>
          <w:sz w:val="18"/>
          <w:lang w:val="es-ES_tradnl"/>
        </w:rPr>
        <w:t>, Pr</w:t>
      </w:r>
      <w:r w:rsidR="006276D8" w:rsidRPr="00153074">
        <w:rPr>
          <w:sz w:val="18"/>
          <w:lang w:val="es-ES_tradnl"/>
        </w:rPr>
        <w:t>imer Ministro, República Francesa</w:t>
      </w:r>
      <w:r w:rsidRPr="00153074">
        <w:rPr>
          <w:sz w:val="18"/>
          <w:lang w:val="es-ES_tradnl"/>
        </w:rPr>
        <w:t xml:space="preserve">, </w:t>
      </w:r>
      <w:r w:rsidR="006276D8" w:rsidRPr="00153074">
        <w:rPr>
          <w:sz w:val="18"/>
          <w:lang w:val="es-ES_tradnl"/>
        </w:rPr>
        <w:t>noviembre de</w:t>
      </w:r>
      <w:r w:rsidR="00283BD6" w:rsidRPr="00153074">
        <w:rPr>
          <w:sz w:val="18"/>
          <w:lang w:val="es-ES_tradnl"/>
        </w:rPr>
        <w:t xml:space="preserve"> </w:t>
      </w:r>
      <w:r w:rsidRPr="00153074">
        <w:rPr>
          <w:sz w:val="18"/>
          <w:lang w:val="es-ES_tradnl"/>
        </w:rPr>
        <w:t xml:space="preserve">2012 </w:t>
      </w:r>
      <w:hyperlink r:id="rId26" w:history="1">
        <w:r w:rsidR="00E13FA5" w:rsidRPr="00153074">
          <w:rPr>
            <w:rStyle w:val="Hyperlink"/>
            <w:rFonts w:ascii="Arial" w:hAnsi="Arial" w:cs="Arial"/>
            <w:sz w:val="16"/>
            <w:szCs w:val="20"/>
            <w:lang w:val="es-ES_tradnl"/>
          </w:rPr>
          <w:t>http://www.strategie.gouv.fr/system/files/2012-11-27-bop-na-307.pdf</w:t>
        </w:r>
      </w:hyperlink>
    </w:p>
    <w:p w:rsidR="00B1268C" w:rsidRPr="00153074" w:rsidRDefault="00B1268C" w:rsidP="00790075">
      <w:pPr>
        <w:rPr>
          <w:sz w:val="18"/>
          <w:lang w:val="es-ES_tradnl"/>
        </w:rPr>
      </w:pPr>
    </w:p>
    <w:p w:rsidR="00D44EAA" w:rsidRPr="00153074" w:rsidRDefault="00D44EAA" w:rsidP="00D44EAA">
      <w:pPr>
        <w:rPr>
          <w:sz w:val="18"/>
          <w:lang w:val="es-ES_tradnl"/>
        </w:rPr>
      </w:pPr>
      <w:r w:rsidRPr="00153074">
        <w:rPr>
          <w:sz w:val="18"/>
          <w:lang w:val="es-ES_tradnl"/>
        </w:rPr>
        <w:t>CE 2011</w:t>
      </w:r>
      <w:r w:rsidRPr="00153074">
        <w:rPr>
          <w:sz w:val="18"/>
          <w:lang w:val="es-ES_tradnl"/>
        </w:rPr>
        <w:tab/>
      </w:r>
      <w:r w:rsidRPr="00153074">
        <w:rPr>
          <w:sz w:val="18"/>
          <w:lang w:val="es-ES_tradnl"/>
        </w:rPr>
        <w:tab/>
        <w:t xml:space="preserve">Incremento del impacto de la política de desarrollo de la UE: Programa para el Cambio, Bruselas, 13 de octubre de 2011 </w:t>
      </w:r>
      <w:proofErr w:type="gramStart"/>
      <w:r w:rsidRPr="00153074">
        <w:rPr>
          <w:sz w:val="18"/>
          <w:lang w:val="es-ES_tradnl"/>
        </w:rPr>
        <w:t>COM(</w:t>
      </w:r>
      <w:proofErr w:type="gramEnd"/>
      <w:r w:rsidRPr="00153074">
        <w:rPr>
          <w:sz w:val="18"/>
          <w:lang w:val="es-ES_tradnl"/>
        </w:rPr>
        <w:t xml:space="preserve">2011) 637 final </w:t>
      </w:r>
      <w:hyperlink r:id="rId27" w:history="1">
        <w:r w:rsidRPr="00153074">
          <w:rPr>
            <w:rStyle w:val="Hyperlink"/>
            <w:rFonts w:ascii="Arial" w:hAnsi="Arial" w:cs="Arial"/>
            <w:sz w:val="16"/>
            <w:szCs w:val="20"/>
            <w:lang w:val="es-ES_tradnl"/>
          </w:rPr>
          <w:t>http://eur-lex.europa.eu/LexUriServ/LexUriServ.do?uri=COM:2011:0637:FIN:ES:PDF</w:t>
        </w:r>
      </w:hyperlink>
    </w:p>
    <w:p w:rsidR="00D44EAA" w:rsidRPr="00153074" w:rsidRDefault="00D44EAA" w:rsidP="00790075">
      <w:pPr>
        <w:rPr>
          <w:sz w:val="18"/>
          <w:lang w:val="es-ES_tradnl"/>
        </w:rPr>
      </w:pPr>
    </w:p>
    <w:p w:rsidR="00B1268C" w:rsidRPr="00153074" w:rsidRDefault="00B1268C" w:rsidP="00790075">
      <w:pPr>
        <w:rPr>
          <w:sz w:val="18"/>
          <w:lang w:val="es-ES_tradnl"/>
        </w:rPr>
      </w:pPr>
      <w:r w:rsidRPr="00153074">
        <w:rPr>
          <w:sz w:val="18"/>
          <w:lang w:val="es-ES_tradnl"/>
        </w:rPr>
        <w:t>DAC 2011</w:t>
      </w:r>
      <w:r w:rsidR="001539BC" w:rsidRPr="00153074">
        <w:rPr>
          <w:sz w:val="18"/>
          <w:lang w:val="es-ES_tradnl"/>
        </w:rPr>
        <w:tab/>
      </w:r>
      <w:r w:rsidRPr="00153074">
        <w:rPr>
          <w:sz w:val="18"/>
          <w:lang w:val="es-ES_tradnl"/>
        </w:rPr>
        <w:tab/>
        <w:t xml:space="preserve">The Busan High Level Forum: Five reasons why it was a success, DAC News, </w:t>
      </w:r>
      <w:r w:rsidR="001165B4" w:rsidRPr="00153074">
        <w:rPr>
          <w:sz w:val="18"/>
          <w:lang w:val="es-ES_tradnl"/>
        </w:rPr>
        <w:t>diciembre de</w:t>
      </w:r>
      <w:r w:rsidRPr="00153074">
        <w:rPr>
          <w:sz w:val="18"/>
          <w:lang w:val="es-ES_tradnl"/>
        </w:rPr>
        <w:t xml:space="preserve"> 2011 </w:t>
      </w:r>
      <w:hyperlink r:id="rId28" w:history="1">
        <w:r w:rsidRPr="00153074">
          <w:rPr>
            <w:rStyle w:val="Hyperlink"/>
            <w:rFonts w:ascii="Arial" w:hAnsi="Arial" w:cs="Arial"/>
            <w:sz w:val="16"/>
            <w:szCs w:val="20"/>
            <w:lang w:val="es-ES_tradnl"/>
          </w:rPr>
          <w:t>http://www.oecd.org/dac/49266238.pdf</w:t>
        </w:r>
      </w:hyperlink>
    </w:p>
    <w:p w:rsidR="00B1268C" w:rsidRPr="00153074" w:rsidRDefault="00B1268C" w:rsidP="00790075">
      <w:pPr>
        <w:rPr>
          <w:sz w:val="18"/>
          <w:lang w:val="es-ES_tradnl"/>
        </w:rPr>
      </w:pPr>
    </w:p>
    <w:p w:rsidR="00B1268C" w:rsidRPr="00153074" w:rsidRDefault="00B1268C" w:rsidP="00AE68A0">
      <w:pPr>
        <w:rPr>
          <w:sz w:val="18"/>
          <w:lang w:val="es-ES_tradnl"/>
        </w:rPr>
      </w:pPr>
      <w:r w:rsidRPr="00153074">
        <w:rPr>
          <w:sz w:val="18"/>
          <w:lang w:val="es-ES_tradnl"/>
        </w:rPr>
        <w:t>ECDPM 2012</w:t>
      </w:r>
      <w:r w:rsidRPr="00153074">
        <w:rPr>
          <w:sz w:val="18"/>
          <w:lang w:val="es-ES_tradnl"/>
        </w:rPr>
        <w:tab/>
      </w:r>
      <w:r w:rsidR="00AE68A0" w:rsidRPr="00153074">
        <w:rPr>
          <w:sz w:val="18"/>
          <w:lang w:val="es-ES_tradnl"/>
        </w:rPr>
        <w:t>Common or Conflicting Interests? Reflections on the Private Sector (for) Development Agenda, European Centre for Development Policy Management, No. 131</w:t>
      </w:r>
      <w:r w:rsidR="00222E9A" w:rsidRPr="00153074">
        <w:rPr>
          <w:sz w:val="18"/>
          <w:lang w:val="es-ES_tradnl"/>
        </w:rPr>
        <w:t>, julio de</w:t>
      </w:r>
      <w:r w:rsidR="00AE68A0" w:rsidRPr="00153074">
        <w:rPr>
          <w:sz w:val="18"/>
          <w:lang w:val="es-ES_tradnl"/>
        </w:rPr>
        <w:t xml:space="preserve"> 2012 </w:t>
      </w:r>
      <w:hyperlink r:id="rId29" w:history="1">
        <w:r w:rsidR="00C67993" w:rsidRPr="00153074">
          <w:rPr>
            <w:rStyle w:val="Hyperlink"/>
            <w:sz w:val="18"/>
            <w:lang w:val="es-ES_tradnl"/>
          </w:rPr>
          <w:t>www.ecdpm.org/dp131</w:t>
        </w:r>
      </w:hyperlink>
      <w:r w:rsidR="00C67993" w:rsidRPr="00153074">
        <w:rPr>
          <w:sz w:val="18"/>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EURODAD 2012</w:t>
      </w:r>
      <w:r w:rsidRPr="00153074">
        <w:rPr>
          <w:sz w:val="18"/>
          <w:lang w:val="es-ES_tradnl"/>
        </w:rPr>
        <w:tab/>
      </w:r>
      <w:r w:rsidR="003A3C68" w:rsidRPr="00153074">
        <w:rPr>
          <w:sz w:val="18"/>
          <w:lang w:val="es-ES_tradnl"/>
        </w:rPr>
        <w:t>Fondos públicos para el sector privado. ¿</w:t>
      </w:r>
      <w:r w:rsidR="00FD6613" w:rsidRPr="00153074">
        <w:rPr>
          <w:sz w:val="18"/>
          <w:lang w:val="es-ES_tradnl"/>
        </w:rPr>
        <w:t xml:space="preserve">Se puede reducir la pobreza invirtiendo en </w:t>
      </w:r>
      <w:r w:rsidR="003A3C68" w:rsidRPr="00153074">
        <w:rPr>
          <w:sz w:val="18"/>
          <w:lang w:val="es-ES_tradnl"/>
        </w:rPr>
        <w:t>empresas privadas</w:t>
      </w:r>
      <w:r w:rsidRPr="00153074">
        <w:rPr>
          <w:sz w:val="18"/>
          <w:lang w:val="es-ES_tradnl"/>
        </w:rPr>
        <w:t>?</w:t>
      </w:r>
      <w:r w:rsidR="00525E63" w:rsidRPr="00153074">
        <w:rPr>
          <w:sz w:val="18"/>
          <w:lang w:val="es-ES_tradnl"/>
        </w:rPr>
        <w:t xml:space="preserve"> </w:t>
      </w:r>
      <w:r w:rsidRPr="00153074">
        <w:rPr>
          <w:sz w:val="18"/>
          <w:lang w:val="es-ES_tradnl"/>
        </w:rPr>
        <w:t xml:space="preserve">Jeroen Kwakkenbos, EURODAD, </w:t>
      </w:r>
      <w:r w:rsidR="003A3C68" w:rsidRPr="00153074">
        <w:rPr>
          <w:sz w:val="18"/>
          <w:lang w:val="es-ES_tradnl"/>
        </w:rPr>
        <w:t xml:space="preserve">mayo de </w:t>
      </w:r>
      <w:r w:rsidRPr="00153074">
        <w:rPr>
          <w:sz w:val="18"/>
          <w:lang w:val="es-ES_tradnl"/>
        </w:rPr>
        <w:t>2012</w:t>
      </w:r>
      <w:r w:rsidR="00283BD6" w:rsidRPr="00153074">
        <w:rPr>
          <w:sz w:val="18"/>
          <w:lang w:val="es-ES_tradnl"/>
        </w:rPr>
        <w:t xml:space="preserve"> </w:t>
      </w:r>
      <w:hyperlink r:id="rId30" w:history="1">
        <w:r w:rsidR="003A3C68" w:rsidRPr="00153074">
          <w:rPr>
            <w:rStyle w:val="Hyperlink"/>
            <w:rFonts w:ascii="Arial" w:hAnsi="Arial" w:cs="Arial"/>
            <w:sz w:val="16"/>
            <w:szCs w:val="16"/>
            <w:lang w:val="es-ES_tradnl"/>
          </w:rPr>
          <w:t>http://eurodad.org/wp-content/uploads/2012/08/Private_profit_report_spanish-WEB-version.pdf</w:t>
        </w:r>
      </w:hyperlink>
      <w:r w:rsidR="003A3C68" w:rsidRPr="00153074">
        <w:rPr>
          <w:sz w:val="18"/>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G20 2010a</w:t>
      </w:r>
      <w:r w:rsidRPr="00153074">
        <w:rPr>
          <w:sz w:val="18"/>
          <w:lang w:val="es-ES_tradnl"/>
        </w:rPr>
        <w:tab/>
      </w:r>
      <w:r w:rsidR="009E0E56" w:rsidRPr="00153074">
        <w:rPr>
          <w:sz w:val="18"/>
          <w:lang w:val="es-ES_tradnl"/>
        </w:rPr>
        <w:t>Declaración de los Líderes de la Cumbre del G20 en Seúl</w:t>
      </w:r>
      <w:r w:rsidRPr="00153074">
        <w:rPr>
          <w:sz w:val="18"/>
          <w:lang w:val="es-ES_tradnl"/>
        </w:rPr>
        <w:t xml:space="preserve">, </w:t>
      </w:r>
      <w:r w:rsidR="009E0E56" w:rsidRPr="00153074">
        <w:rPr>
          <w:sz w:val="18"/>
          <w:lang w:val="es-ES_tradnl"/>
        </w:rPr>
        <w:t>11 y 12 de noviembre de</w:t>
      </w:r>
      <w:r w:rsidRPr="00153074">
        <w:rPr>
          <w:sz w:val="18"/>
          <w:lang w:val="es-ES_tradnl"/>
        </w:rPr>
        <w:t xml:space="preserve"> 2010</w:t>
      </w:r>
    </w:p>
    <w:p w:rsidR="00B1268C" w:rsidRPr="00153074" w:rsidRDefault="00AD6F10" w:rsidP="00790075">
      <w:pPr>
        <w:rPr>
          <w:sz w:val="18"/>
          <w:lang w:val="es-ES_tradnl"/>
        </w:rPr>
      </w:pPr>
      <w:hyperlink r:id="rId31" w:history="1">
        <w:r w:rsidR="00B1268C" w:rsidRPr="00153074">
          <w:rPr>
            <w:rStyle w:val="Hyperlink"/>
            <w:rFonts w:ascii="Arial" w:hAnsi="Arial" w:cs="Arial"/>
            <w:sz w:val="16"/>
            <w:szCs w:val="20"/>
            <w:lang w:val="es-ES_tradnl"/>
          </w:rPr>
          <w:t>http://www.canadainternational.gc.ca/g20/summit-sommet/2010/g20_seoul_declaration.aspx</w:t>
        </w:r>
      </w:hyperlink>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G20 2010b</w:t>
      </w:r>
      <w:r w:rsidRPr="00153074">
        <w:rPr>
          <w:sz w:val="18"/>
          <w:lang w:val="es-ES_tradnl"/>
        </w:rPr>
        <w:tab/>
      </w:r>
      <w:r w:rsidR="00097150" w:rsidRPr="00153074">
        <w:rPr>
          <w:sz w:val="18"/>
          <w:lang w:val="es-ES_tradnl"/>
        </w:rPr>
        <w:t>Plan de Acción Plurianual sobre Desarrollo</w:t>
      </w:r>
      <w:r w:rsidRPr="00153074">
        <w:rPr>
          <w:sz w:val="18"/>
          <w:lang w:val="es-ES_tradnl"/>
        </w:rPr>
        <w:t xml:space="preserve">, </w:t>
      </w:r>
      <w:r w:rsidR="009E0E56" w:rsidRPr="00153074">
        <w:rPr>
          <w:sz w:val="18"/>
          <w:lang w:val="es-ES_tradnl"/>
        </w:rPr>
        <w:t xml:space="preserve">Cumbre del </w:t>
      </w:r>
      <w:r w:rsidRPr="00153074">
        <w:rPr>
          <w:sz w:val="18"/>
          <w:lang w:val="es-ES_tradnl"/>
        </w:rPr>
        <w:t>G20</w:t>
      </w:r>
      <w:r w:rsidR="009E0E56" w:rsidRPr="00153074">
        <w:rPr>
          <w:sz w:val="18"/>
          <w:lang w:val="es-ES_tradnl"/>
        </w:rPr>
        <w:t xml:space="preserve"> en Seúl, 12 de noviembre de </w:t>
      </w:r>
      <w:r w:rsidRPr="00153074">
        <w:rPr>
          <w:sz w:val="18"/>
          <w:lang w:val="es-ES_tradnl"/>
        </w:rPr>
        <w:t>2010</w:t>
      </w:r>
    </w:p>
    <w:p w:rsidR="00B1268C" w:rsidRPr="00153074" w:rsidRDefault="00AD6F10" w:rsidP="00790075">
      <w:pPr>
        <w:rPr>
          <w:rFonts w:ascii="Arial" w:hAnsi="Arial" w:cs="Arial"/>
          <w:sz w:val="16"/>
          <w:szCs w:val="16"/>
          <w:lang w:val="es-ES_tradnl"/>
        </w:rPr>
      </w:pPr>
      <w:hyperlink r:id="rId32" w:history="1">
        <w:r w:rsidR="0059203D" w:rsidRPr="00153074">
          <w:rPr>
            <w:rStyle w:val="Hyperlink"/>
            <w:rFonts w:ascii="Arial" w:hAnsi="Arial" w:cs="Arial"/>
            <w:sz w:val="16"/>
            <w:szCs w:val="16"/>
            <w:lang w:val="es-ES_tradnl"/>
          </w:rPr>
          <w:t>http://www.g20.utoronto.ca/2010/g20seoul-development.html</w:t>
        </w:r>
      </w:hyperlink>
      <w:r w:rsidR="0059203D"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D44EAA" w:rsidRPr="00153074" w:rsidRDefault="00D44EAA" w:rsidP="00D44EAA">
      <w:pPr>
        <w:rPr>
          <w:sz w:val="18"/>
          <w:lang w:val="es-ES_tradnl"/>
        </w:rPr>
      </w:pPr>
      <w:r w:rsidRPr="00153074">
        <w:rPr>
          <w:sz w:val="18"/>
          <w:lang w:val="es-ES_tradnl"/>
        </w:rPr>
        <w:t>G20WG 2011</w:t>
      </w:r>
      <w:r w:rsidRPr="00153074">
        <w:rPr>
          <w:sz w:val="18"/>
          <w:lang w:val="es-ES_tradnl"/>
        </w:rPr>
        <w:tab/>
        <w:t xml:space="preserve">Informe del </w:t>
      </w:r>
      <w:r w:rsidR="000A73F5" w:rsidRPr="00153074">
        <w:rPr>
          <w:sz w:val="18"/>
          <w:lang w:val="es-ES_tradnl"/>
        </w:rPr>
        <w:t>G</w:t>
      </w:r>
      <w:r w:rsidRPr="00153074">
        <w:rPr>
          <w:sz w:val="18"/>
          <w:lang w:val="es-ES_tradnl"/>
        </w:rPr>
        <w:t>rupo de trabajo sobre desarrollo del G20, septiembre de 2011</w:t>
      </w:r>
    </w:p>
    <w:p w:rsidR="00D44EAA" w:rsidRPr="00153074" w:rsidRDefault="00AD6F10" w:rsidP="00D44EAA">
      <w:pPr>
        <w:rPr>
          <w:rFonts w:ascii="Arial" w:hAnsi="Arial" w:cs="Arial"/>
          <w:sz w:val="16"/>
          <w:szCs w:val="16"/>
          <w:lang w:val="es-ES_tradnl"/>
        </w:rPr>
      </w:pPr>
      <w:hyperlink r:id="rId33" w:history="1">
        <w:r w:rsidR="00D44EAA" w:rsidRPr="00153074">
          <w:rPr>
            <w:rStyle w:val="Hyperlink"/>
            <w:rFonts w:ascii="Arial" w:hAnsi="Arial" w:cs="Arial"/>
            <w:sz w:val="16"/>
            <w:szCs w:val="16"/>
            <w:lang w:val="es-ES_tradnl"/>
          </w:rPr>
          <w:t>http://www.canadainternational.gc.ca/g20/summit-sommet/2011/DWG_20111104.aspx</w:t>
        </w:r>
      </w:hyperlink>
      <w:r w:rsidR="00D44EAA" w:rsidRPr="00153074">
        <w:rPr>
          <w:rFonts w:ascii="Arial" w:hAnsi="Arial" w:cs="Arial"/>
          <w:sz w:val="16"/>
          <w:szCs w:val="16"/>
          <w:lang w:val="es-ES_tradnl"/>
        </w:rPr>
        <w:t xml:space="preserve"> </w:t>
      </w:r>
    </w:p>
    <w:p w:rsidR="00D44EAA" w:rsidRPr="00153074" w:rsidRDefault="00D44EAA" w:rsidP="00790075">
      <w:pPr>
        <w:rPr>
          <w:sz w:val="18"/>
          <w:lang w:val="es-ES_tradnl"/>
        </w:rPr>
      </w:pPr>
    </w:p>
    <w:p w:rsidR="00B1268C" w:rsidRPr="00153074" w:rsidRDefault="00E857D6" w:rsidP="00790075">
      <w:pPr>
        <w:rPr>
          <w:sz w:val="18"/>
          <w:lang w:val="es-ES_tradnl"/>
        </w:rPr>
      </w:pPr>
      <w:r w:rsidRPr="00153074">
        <w:rPr>
          <w:sz w:val="18"/>
          <w:lang w:val="es-ES_tradnl"/>
        </w:rPr>
        <w:t>G20WG</w:t>
      </w:r>
      <w:r w:rsidR="00B1268C" w:rsidRPr="00153074">
        <w:rPr>
          <w:sz w:val="18"/>
          <w:lang w:val="es-ES_tradnl"/>
        </w:rPr>
        <w:t xml:space="preserve"> 2012</w:t>
      </w:r>
      <w:r w:rsidR="00B1268C" w:rsidRPr="00153074">
        <w:rPr>
          <w:sz w:val="18"/>
          <w:lang w:val="es-ES_tradnl"/>
        </w:rPr>
        <w:tab/>
      </w:r>
      <w:r w:rsidR="00D82E3A" w:rsidRPr="00153074">
        <w:rPr>
          <w:sz w:val="18"/>
          <w:lang w:val="es-ES_tradnl"/>
        </w:rPr>
        <w:t xml:space="preserve">Informe de avances del </w:t>
      </w:r>
      <w:r w:rsidR="000A73F5" w:rsidRPr="00153074">
        <w:rPr>
          <w:sz w:val="18"/>
          <w:lang w:val="es-ES_tradnl"/>
        </w:rPr>
        <w:t>G</w:t>
      </w:r>
      <w:r w:rsidR="00D82E3A" w:rsidRPr="00153074">
        <w:rPr>
          <w:sz w:val="18"/>
          <w:lang w:val="es-ES_tradnl"/>
        </w:rPr>
        <w:t>rupo de trabajo sobre desarrollo</w:t>
      </w:r>
      <w:r w:rsidR="00B1268C" w:rsidRPr="00153074">
        <w:rPr>
          <w:sz w:val="18"/>
          <w:lang w:val="es-ES_tradnl"/>
        </w:rPr>
        <w:t xml:space="preserve">, </w:t>
      </w:r>
      <w:r w:rsidR="006D350D" w:rsidRPr="00153074">
        <w:rPr>
          <w:sz w:val="18"/>
          <w:lang w:val="es-ES_tradnl"/>
        </w:rPr>
        <w:t>junio de</w:t>
      </w:r>
      <w:r w:rsidR="00B1268C" w:rsidRPr="00153074">
        <w:rPr>
          <w:sz w:val="18"/>
          <w:lang w:val="es-ES_tradnl"/>
        </w:rPr>
        <w:t xml:space="preserve"> 2012</w:t>
      </w:r>
    </w:p>
    <w:p w:rsidR="00B1268C" w:rsidRPr="00153074" w:rsidRDefault="00AD6F10" w:rsidP="00790075">
      <w:pPr>
        <w:rPr>
          <w:rFonts w:ascii="Arial" w:hAnsi="Arial" w:cs="Arial"/>
          <w:sz w:val="16"/>
          <w:szCs w:val="16"/>
          <w:lang w:val="es-ES_tradnl"/>
        </w:rPr>
      </w:pPr>
      <w:hyperlink r:id="rId34" w:history="1">
        <w:r w:rsidR="00D82E3A" w:rsidRPr="00153074">
          <w:rPr>
            <w:rStyle w:val="Hyperlink"/>
            <w:rFonts w:ascii="Arial" w:hAnsi="Arial" w:cs="Arial"/>
            <w:sz w:val="16"/>
            <w:szCs w:val="16"/>
            <w:lang w:val="es-ES_tradnl"/>
          </w:rPr>
          <w:t>http://www.g20mexico.org/images/stories/docs/canalsherpas/binfotrab.pdf</w:t>
        </w:r>
      </w:hyperlink>
      <w:r w:rsidR="00D82E3A"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HAMMOND</w:t>
      </w:r>
      <w:r w:rsidR="007C5B4D" w:rsidRPr="00153074">
        <w:rPr>
          <w:sz w:val="18"/>
          <w:lang w:val="es-ES_tradnl"/>
        </w:rPr>
        <w:t xml:space="preserve"> </w:t>
      </w:r>
      <w:r w:rsidR="008A1E0B" w:rsidRPr="00153074">
        <w:rPr>
          <w:sz w:val="18"/>
          <w:lang w:val="es-ES_tradnl"/>
        </w:rPr>
        <w:t xml:space="preserve">et. </w:t>
      </w:r>
      <w:proofErr w:type="gramStart"/>
      <w:r w:rsidR="008A1E0B" w:rsidRPr="00153074">
        <w:rPr>
          <w:sz w:val="18"/>
          <w:lang w:val="es-ES_tradnl"/>
        </w:rPr>
        <w:t>al</w:t>
      </w:r>
      <w:proofErr w:type="gramEnd"/>
      <w:r w:rsidR="008A1E0B" w:rsidRPr="00153074">
        <w:rPr>
          <w:sz w:val="18"/>
          <w:lang w:val="es-ES_tradnl"/>
        </w:rPr>
        <w:t>. 2007</w:t>
      </w:r>
      <w:r w:rsidR="008A1E0B" w:rsidRPr="00153074">
        <w:rPr>
          <w:sz w:val="18"/>
          <w:lang w:val="es-ES_tradnl"/>
        </w:rPr>
        <w:tab/>
      </w:r>
      <w:r w:rsidR="00EA128D" w:rsidRPr="00153074">
        <w:rPr>
          <w:sz w:val="18"/>
          <w:lang w:val="es-ES_tradnl"/>
        </w:rPr>
        <w:t>Los siguientes 4</w:t>
      </w:r>
      <w:r w:rsidR="009A40A9" w:rsidRPr="00153074">
        <w:rPr>
          <w:sz w:val="18"/>
          <w:lang w:val="es-ES_tradnl"/>
        </w:rPr>
        <w:t>.000</w:t>
      </w:r>
      <w:r w:rsidR="00EA128D" w:rsidRPr="00153074">
        <w:rPr>
          <w:sz w:val="18"/>
          <w:lang w:val="es-ES_tradnl"/>
        </w:rPr>
        <w:t xml:space="preserve"> millones. Tamaño del mercado y estrategia de negocios en la base de la pirámide</w:t>
      </w:r>
      <w:r w:rsidRPr="00153074">
        <w:rPr>
          <w:sz w:val="18"/>
          <w:lang w:val="es-ES_tradnl"/>
        </w:rPr>
        <w:t xml:space="preserve">, Hammond A.L., Kramer W.J., Katz R.S., Tran J.T. </w:t>
      </w:r>
      <w:r w:rsidR="00EA128D" w:rsidRPr="00153074">
        <w:rPr>
          <w:sz w:val="18"/>
          <w:lang w:val="es-ES_tradnl"/>
        </w:rPr>
        <w:t>y</w:t>
      </w:r>
      <w:r w:rsidRPr="00153074">
        <w:rPr>
          <w:sz w:val="18"/>
          <w:lang w:val="es-ES_tradnl"/>
        </w:rPr>
        <w:t xml:space="preserve"> Walker C.,</w:t>
      </w:r>
      <w:r w:rsidR="00721735" w:rsidRPr="00153074">
        <w:rPr>
          <w:sz w:val="18"/>
          <w:lang w:val="es-ES_tradnl"/>
        </w:rPr>
        <w:t xml:space="preserve"> </w:t>
      </w:r>
      <w:r w:rsidRPr="00153074">
        <w:rPr>
          <w:sz w:val="18"/>
          <w:lang w:val="es-ES_tradnl"/>
        </w:rPr>
        <w:t xml:space="preserve">World Resources Institute – </w:t>
      </w:r>
      <w:r w:rsidR="00EA128D" w:rsidRPr="00153074">
        <w:rPr>
          <w:sz w:val="18"/>
          <w:lang w:val="es-ES_tradnl"/>
        </w:rPr>
        <w:t>Corporación Financiera Internacional</w:t>
      </w:r>
      <w:r w:rsidRPr="00153074">
        <w:rPr>
          <w:sz w:val="18"/>
          <w:lang w:val="es-ES_tradnl"/>
        </w:rPr>
        <w:t>/</w:t>
      </w:r>
      <w:r w:rsidR="00EA128D" w:rsidRPr="00153074">
        <w:rPr>
          <w:sz w:val="18"/>
          <w:lang w:val="es-ES_tradnl"/>
        </w:rPr>
        <w:t>Grupo del Banco Mundial</w:t>
      </w:r>
      <w:r w:rsidRPr="00153074">
        <w:rPr>
          <w:sz w:val="18"/>
          <w:lang w:val="es-ES_tradnl"/>
        </w:rPr>
        <w:t xml:space="preserve">, 2007 </w:t>
      </w:r>
      <w:hyperlink r:id="rId35" w:history="1">
        <w:r w:rsidR="0059203D" w:rsidRPr="00153074">
          <w:rPr>
            <w:rStyle w:val="Hyperlink"/>
            <w:rFonts w:ascii="Arial" w:hAnsi="Arial" w:cs="Arial"/>
            <w:sz w:val="16"/>
            <w:szCs w:val="16"/>
            <w:lang w:val="es-ES_tradnl"/>
          </w:rPr>
          <w:t>http://www.wri.org/publication/the-next-4-billion</w:t>
        </w:r>
      </w:hyperlink>
      <w:r w:rsidR="0059203D" w:rsidRPr="00153074">
        <w:rPr>
          <w:sz w:val="18"/>
          <w:lang w:val="es-ES_tradnl"/>
        </w:rPr>
        <w:t xml:space="preserve"> </w:t>
      </w:r>
    </w:p>
    <w:p w:rsidR="00B1268C" w:rsidRPr="00153074" w:rsidRDefault="00B1268C" w:rsidP="00790075">
      <w:pPr>
        <w:rPr>
          <w:sz w:val="18"/>
          <w:lang w:val="es-ES_tradnl"/>
        </w:rPr>
      </w:pPr>
    </w:p>
    <w:p w:rsidR="00852D8D" w:rsidRPr="00153074" w:rsidRDefault="00B1268C" w:rsidP="00852D8D">
      <w:pPr>
        <w:rPr>
          <w:sz w:val="18"/>
          <w:lang w:val="es-ES_tradnl"/>
        </w:rPr>
      </w:pPr>
      <w:r w:rsidRPr="00153074">
        <w:rPr>
          <w:sz w:val="18"/>
          <w:lang w:val="es-ES_tradnl"/>
        </w:rPr>
        <w:t>HLP 2011</w:t>
      </w:r>
      <w:r w:rsidRPr="00153074">
        <w:rPr>
          <w:sz w:val="18"/>
          <w:lang w:val="es-ES_tradnl"/>
        </w:rPr>
        <w:tab/>
      </w:r>
      <w:r w:rsidR="008A1E0B" w:rsidRPr="00153074">
        <w:rPr>
          <w:sz w:val="18"/>
          <w:lang w:val="es-ES_tradnl"/>
        </w:rPr>
        <w:tab/>
      </w:r>
      <w:r w:rsidR="00E857D6" w:rsidRPr="00153074">
        <w:rPr>
          <w:sz w:val="18"/>
          <w:lang w:val="es-ES_tradnl"/>
        </w:rPr>
        <w:t xml:space="preserve">Panel de Alto Nivel sobre Recomendaciones de Infraestructura al </w:t>
      </w:r>
      <w:r w:rsidR="00852D8D" w:rsidRPr="00153074">
        <w:rPr>
          <w:sz w:val="18"/>
          <w:lang w:val="es-ES_tradnl"/>
        </w:rPr>
        <w:t xml:space="preserve">G20 – </w:t>
      </w:r>
      <w:r w:rsidR="00E857D6" w:rsidRPr="00153074">
        <w:rPr>
          <w:sz w:val="18"/>
          <w:lang w:val="es-ES_tradnl"/>
        </w:rPr>
        <w:t>Informe final –</w:t>
      </w:r>
      <w:r w:rsidR="00852D8D" w:rsidRPr="00153074">
        <w:rPr>
          <w:sz w:val="18"/>
          <w:lang w:val="es-ES_tradnl"/>
        </w:rPr>
        <w:t xml:space="preserve"> </w:t>
      </w:r>
      <w:r w:rsidR="00E857D6" w:rsidRPr="00153074">
        <w:rPr>
          <w:sz w:val="18"/>
          <w:lang w:val="es-ES_tradnl"/>
        </w:rPr>
        <w:t xml:space="preserve">Presentación ante el </w:t>
      </w:r>
      <w:r w:rsidR="00852D8D" w:rsidRPr="00153074">
        <w:rPr>
          <w:sz w:val="18"/>
          <w:lang w:val="es-ES_tradnl"/>
        </w:rPr>
        <w:t xml:space="preserve">G20 - 26 </w:t>
      </w:r>
      <w:r w:rsidR="008A1E0B" w:rsidRPr="00153074">
        <w:rPr>
          <w:sz w:val="18"/>
          <w:lang w:val="es-ES_tradnl"/>
        </w:rPr>
        <w:t xml:space="preserve">de octubre de </w:t>
      </w:r>
      <w:r w:rsidR="00852D8D" w:rsidRPr="00153074">
        <w:rPr>
          <w:sz w:val="18"/>
          <w:lang w:val="es-ES_tradnl"/>
        </w:rPr>
        <w:t xml:space="preserve">2011 </w:t>
      </w:r>
      <w:hyperlink r:id="rId36" w:history="1">
        <w:r w:rsidR="00852D8D" w:rsidRPr="00153074">
          <w:rPr>
            <w:rStyle w:val="Hyperlink"/>
            <w:rFonts w:ascii="Arial" w:hAnsi="Arial" w:cs="Arial"/>
            <w:sz w:val="16"/>
            <w:szCs w:val="16"/>
            <w:lang w:val="es-ES_tradnl"/>
          </w:rPr>
          <w:t>http://www.boell.org/downloads/HPL_Report_on_Infrastructure_10-26-2011.pdf</w:t>
        </w:r>
      </w:hyperlink>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IA 2011a</w:t>
      </w:r>
      <w:r w:rsidRPr="00153074">
        <w:rPr>
          <w:sz w:val="18"/>
          <w:lang w:val="es-ES_tradnl"/>
        </w:rPr>
        <w:tab/>
      </w:r>
      <w:r w:rsidR="001539BC" w:rsidRPr="00153074">
        <w:rPr>
          <w:sz w:val="18"/>
          <w:lang w:val="es-ES_tradnl"/>
        </w:rPr>
        <w:tab/>
      </w:r>
      <w:r w:rsidRPr="00153074">
        <w:rPr>
          <w:sz w:val="18"/>
          <w:lang w:val="es-ES_tradnl"/>
        </w:rPr>
        <w:t xml:space="preserve">Promoting standards for responsible investment in value </w:t>
      </w:r>
      <w:r w:rsidR="00852D8D" w:rsidRPr="00153074">
        <w:rPr>
          <w:sz w:val="18"/>
          <w:lang w:val="es-ES_tradnl"/>
        </w:rPr>
        <w:t>chains, Item</w:t>
      </w:r>
      <w:r w:rsidRPr="00153074">
        <w:rPr>
          <w:sz w:val="18"/>
          <w:lang w:val="es-ES_tradnl"/>
        </w:rPr>
        <w:t xml:space="preserve"> 1</w:t>
      </w:r>
    </w:p>
    <w:p w:rsidR="00B1268C" w:rsidRPr="00153074" w:rsidRDefault="00B1268C" w:rsidP="00790075">
      <w:pPr>
        <w:rPr>
          <w:rFonts w:ascii="Arial" w:hAnsi="Arial" w:cs="Arial"/>
          <w:sz w:val="16"/>
          <w:szCs w:val="16"/>
          <w:lang w:val="es-ES_tradnl"/>
        </w:rPr>
      </w:pPr>
      <w:r w:rsidRPr="00153074">
        <w:rPr>
          <w:sz w:val="18"/>
          <w:lang w:val="es-ES_tradnl"/>
        </w:rPr>
        <w:t>Inter-Agency Working Group on the Private Investment and Job Creation Pillar of the G20 Multi-Year Action Plan on Development, Report to the High-Level Development Working Group</w:t>
      </w:r>
      <w:r w:rsidR="00420E2C" w:rsidRPr="00153074">
        <w:rPr>
          <w:sz w:val="18"/>
          <w:lang w:val="es-ES_tradnl"/>
        </w:rPr>
        <w:t xml:space="preserve">, septiembre de </w:t>
      </w:r>
      <w:r w:rsidRPr="00153074">
        <w:rPr>
          <w:sz w:val="18"/>
          <w:lang w:val="es-ES_tradnl"/>
        </w:rPr>
        <w:t>2011</w:t>
      </w:r>
      <w:r w:rsidR="0064050D" w:rsidRPr="00153074">
        <w:rPr>
          <w:sz w:val="18"/>
          <w:lang w:val="es-ES_tradnl"/>
        </w:rPr>
        <w:t xml:space="preserve"> </w:t>
      </w:r>
      <w:hyperlink r:id="rId37" w:history="1">
        <w:r w:rsidR="0064050D" w:rsidRPr="00153074">
          <w:rPr>
            <w:rStyle w:val="Hyperlink"/>
            <w:rFonts w:ascii="Arial" w:hAnsi="Arial" w:cs="Arial"/>
            <w:sz w:val="16"/>
            <w:szCs w:val="16"/>
            <w:lang w:val="es-ES_tradnl"/>
          </w:rPr>
          <w:t>http://unctad.org/sections/dite_dir/docs//diae_G20_CSR_Standards_Report_en.pdf</w:t>
        </w:r>
      </w:hyperlink>
      <w:r w:rsidR="0064050D"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IA 2012</w:t>
      </w:r>
      <w:r w:rsidRPr="00153074">
        <w:rPr>
          <w:sz w:val="18"/>
          <w:lang w:val="es-ES_tradnl"/>
        </w:rPr>
        <w:tab/>
      </w:r>
      <w:r w:rsidRPr="00153074">
        <w:rPr>
          <w:sz w:val="18"/>
          <w:lang w:val="es-ES_tradnl"/>
        </w:rPr>
        <w:tab/>
        <w:t>Promoting responsible investment for sustainable development and job creation,</w:t>
      </w:r>
    </w:p>
    <w:p w:rsidR="00B1268C" w:rsidRPr="00153074" w:rsidRDefault="00B1268C" w:rsidP="00790075">
      <w:pPr>
        <w:rPr>
          <w:sz w:val="18"/>
          <w:lang w:val="es-ES_tradnl"/>
        </w:rPr>
      </w:pPr>
      <w:r w:rsidRPr="00153074">
        <w:rPr>
          <w:sz w:val="18"/>
          <w:lang w:val="es-ES_tradnl"/>
        </w:rPr>
        <w:t>Inter-Agency Working Group on the Private Investment and Job Creation Pillar of the G20 Multi-Year Action Plan on Development, Final report to the High-Level Development Working Group on the work of the Private Investment and Job Creation Pillar</w:t>
      </w:r>
      <w:r w:rsidR="00525E63" w:rsidRPr="00153074">
        <w:rPr>
          <w:sz w:val="18"/>
          <w:lang w:val="es-ES_tradnl"/>
        </w:rPr>
        <w:t xml:space="preserve"> </w:t>
      </w:r>
      <w:r w:rsidRPr="00153074">
        <w:rPr>
          <w:sz w:val="18"/>
          <w:lang w:val="es-ES_tradnl"/>
        </w:rPr>
        <w:t>Mexico Summit</w:t>
      </w:r>
      <w:r w:rsidR="00420E2C" w:rsidRPr="00153074">
        <w:rPr>
          <w:sz w:val="18"/>
          <w:lang w:val="es-ES_tradnl"/>
        </w:rPr>
        <w:t xml:space="preserve">, junio de </w:t>
      </w:r>
      <w:r w:rsidRPr="00153074">
        <w:rPr>
          <w:sz w:val="18"/>
          <w:lang w:val="es-ES_tradnl"/>
        </w:rPr>
        <w:t>2012</w:t>
      </w:r>
    </w:p>
    <w:p w:rsidR="00B1268C" w:rsidRPr="00153074" w:rsidRDefault="00AD6F10" w:rsidP="00790075">
      <w:pPr>
        <w:rPr>
          <w:rFonts w:ascii="Arial" w:hAnsi="Arial" w:cs="Arial"/>
          <w:sz w:val="16"/>
          <w:szCs w:val="16"/>
          <w:lang w:val="es-ES_tradnl"/>
        </w:rPr>
      </w:pPr>
      <w:hyperlink r:id="rId38" w:history="1">
        <w:r w:rsidR="0064050D" w:rsidRPr="00153074">
          <w:rPr>
            <w:rStyle w:val="Hyperlink"/>
            <w:rFonts w:ascii="Arial" w:hAnsi="Arial" w:cs="Arial"/>
            <w:sz w:val="16"/>
            <w:szCs w:val="16"/>
            <w:lang w:val="es-ES_tradnl"/>
          </w:rPr>
          <w:t>http://unctad.org/meetings/en/Miscellaneous%20Documents/diae_g20_Mexico_en.pdf</w:t>
        </w:r>
      </w:hyperlink>
      <w:r w:rsidR="0064050D"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rFonts w:ascii="Arial" w:hAnsi="Arial" w:cs="Arial"/>
          <w:sz w:val="16"/>
          <w:szCs w:val="16"/>
          <w:lang w:val="es-ES_tradnl"/>
        </w:rPr>
      </w:pPr>
      <w:r w:rsidRPr="00153074">
        <w:rPr>
          <w:sz w:val="18"/>
          <w:lang w:val="es-ES_tradnl"/>
        </w:rPr>
        <w:t>IA 2011b</w:t>
      </w:r>
      <w:r w:rsidRPr="00153074">
        <w:rPr>
          <w:sz w:val="18"/>
          <w:lang w:val="es-ES_tradnl"/>
        </w:rPr>
        <w:tab/>
      </w:r>
      <w:r w:rsidR="001539BC" w:rsidRPr="00153074">
        <w:rPr>
          <w:sz w:val="18"/>
          <w:lang w:val="es-ES_tradnl"/>
        </w:rPr>
        <w:tab/>
      </w:r>
      <w:r w:rsidRPr="00153074">
        <w:rPr>
          <w:sz w:val="18"/>
          <w:lang w:val="es-ES_tradnl"/>
        </w:rPr>
        <w:t xml:space="preserve">Indicators for measuring and maximizing economic value added and job creation arising from private sector investment in value </w:t>
      </w:r>
      <w:r w:rsidR="00852D8D" w:rsidRPr="00153074">
        <w:rPr>
          <w:sz w:val="18"/>
          <w:lang w:val="es-ES_tradnl"/>
        </w:rPr>
        <w:t>chains (</w:t>
      </w:r>
      <w:r w:rsidRPr="00153074">
        <w:rPr>
          <w:sz w:val="18"/>
          <w:lang w:val="es-ES_tradnl"/>
        </w:rPr>
        <w:t>Item 2</w:t>
      </w:r>
      <w:r w:rsidR="00852D8D" w:rsidRPr="00153074">
        <w:rPr>
          <w:sz w:val="18"/>
          <w:lang w:val="es-ES_tradnl"/>
        </w:rPr>
        <w:t>) Inter</w:t>
      </w:r>
      <w:r w:rsidRPr="00153074">
        <w:rPr>
          <w:sz w:val="18"/>
          <w:lang w:val="es-ES_tradnl"/>
        </w:rPr>
        <w:t xml:space="preserve">-Agency Working Group on the Private Investment and Job Creation Pillar of the G20 Multi-Year Action Plan on Development, Report to the High-Level Development Working Group, </w:t>
      </w:r>
      <w:r w:rsidR="000A73F5" w:rsidRPr="00153074">
        <w:rPr>
          <w:sz w:val="18"/>
          <w:lang w:val="es-ES_tradnl"/>
        </w:rPr>
        <w:t>septiembre de</w:t>
      </w:r>
      <w:r w:rsidRPr="00153074">
        <w:rPr>
          <w:sz w:val="18"/>
          <w:lang w:val="es-ES_tradnl"/>
        </w:rPr>
        <w:t xml:space="preserve"> 2011</w:t>
      </w:r>
      <w:r w:rsidR="007C5B4D" w:rsidRPr="00153074">
        <w:rPr>
          <w:sz w:val="18"/>
          <w:lang w:val="es-ES_tradnl"/>
        </w:rPr>
        <w:t xml:space="preserve"> </w:t>
      </w:r>
      <w:hyperlink r:id="rId39" w:history="1">
        <w:r w:rsidR="00420E2C" w:rsidRPr="00153074">
          <w:rPr>
            <w:rStyle w:val="Hyperlink"/>
            <w:rFonts w:ascii="Arial" w:hAnsi="Arial" w:cs="Arial"/>
            <w:sz w:val="16"/>
            <w:szCs w:val="16"/>
            <w:lang w:val="es-ES_tradnl"/>
          </w:rPr>
          <w:t>http://unctad.org/sections/dite_dir/docs//diae_G20_Indicators_Report_en.pdf</w:t>
        </w:r>
      </w:hyperlink>
      <w:r w:rsidR="00420E2C" w:rsidRPr="00153074">
        <w:rPr>
          <w:rFonts w:ascii="Arial" w:hAnsi="Arial" w:cs="Arial"/>
          <w:sz w:val="16"/>
          <w:szCs w:val="16"/>
          <w:lang w:val="es-ES_tradnl"/>
        </w:rPr>
        <w:t xml:space="preserve"> </w:t>
      </w:r>
    </w:p>
    <w:p w:rsidR="00D44EAA" w:rsidRPr="00153074" w:rsidRDefault="00D44EAA" w:rsidP="00D44EAA">
      <w:pPr>
        <w:rPr>
          <w:sz w:val="18"/>
          <w:lang w:val="es-ES_tradnl"/>
        </w:rPr>
      </w:pPr>
    </w:p>
    <w:p w:rsidR="00D44EAA" w:rsidRPr="00153074" w:rsidRDefault="00D44EAA" w:rsidP="00D44EAA">
      <w:pPr>
        <w:rPr>
          <w:sz w:val="18"/>
          <w:lang w:val="es-ES_tradnl"/>
        </w:rPr>
      </w:pPr>
      <w:r w:rsidRPr="00153074">
        <w:rPr>
          <w:sz w:val="18"/>
          <w:lang w:val="es-ES_tradnl"/>
        </w:rPr>
        <w:t>IBLF 2012</w:t>
      </w:r>
      <w:r w:rsidRPr="00153074">
        <w:rPr>
          <w:sz w:val="18"/>
          <w:lang w:val="es-ES_tradnl"/>
        </w:rPr>
        <w:tab/>
      </w:r>
      <w:r w:rsidRPr="00153074">
        <w:rPr>
          <w:sz w:val="18"/>
          <w:lang w:val="es-ES_tradnl"/>
        </w:rPr>
        <w:tab/>
        <w:t xml:space="preserve">Business in Development Facility, Concept note, junio de 2012: </w:t>
      </w:r>
      <w:r w:rsidR="000A73F5" w:rsidRPr="00153074">
        <w:rPr>
          <w:sz w:val="18"/>
          <w:lang w:val="es-ES_tradnl"/>
        </w:rPr>
        <w:t>borrador</w:t>
      </w:r>
      <w:r w:rsidRPr="00153074">
        <w:rPr>
          <w:sz w:val="18"/>
          <w:lang w:val="es-ES_tradnl"/>
        </w:rPr>
        <w:t xml:space="preserve"> 1.1</w:t>
      </w:r>
    </w:p>
    <w:p w:rsidR="00B1268C" w:rsidRPr="00153074" w:rsidRDefault="00B1268C" w:rsidP="00790075">
      <w:pPr>
        <w:rPr>
          <w:sz w:val="18"/>
          <w:lang w:val="es-ES_tradnl"/>
        </w:rPr>
      </w:pPr>
    </w:p>
    <w:p w:rsidR="00B1268C" w:rsidRPr="00153074" w:rsidRDefault="0046275F" w:rsidP="00790075">
      <w:pPr>
        <w:rPr>
          <w:sz w:val="18"/>
          <w:lang w:val="es-ES_tradnl"/>
        </w:rPr>
      </w:pPr>
      <w:r w:rsidRPr="00153074">
        <w:rPr>
          <w:sz w:val="18"/>
          <w:lang w:val="es-ES_tradnl"/>
        </w:rPr>
        <w:t>IFC</w:t>
      </w:r>
      <w:r w:rsidR="00B1268C" w:rsidRPr="00153074">
        <w:rPr>
          <w:sz w:val="18"/>
          <w:lang w:val="es-ES_tradnl"/>
        </w:rPr>
        <w:t xml:space="preserve"> 2012</w:t>
      </w:r>
      <w:r w:rsidR="00B1268C" w:rsidRPr="00153074">
        <w:rPr>
          <w:sz w:val="18"/>
          <w:lang w:val="es-ES_tradnl"/>
        </w:rPr>
        <w:tab/>
      </w:r>
      <w:r w:rsidR="001539BC" w:rsidRPr="00153074">
        <w:rPr>
          <w:sz w:val="18"/>
          <w:lang w:val="es-ES_tradnl"/>
        </w:rPr>
        <w:tab/>
      </w:r>
      <w:r w:rsidR="00B1268C" w:rsidRPr="00153074">
        <w:rPr>
          <w:sz w:val="18"/>
          <w:lang w:val="es-ES_tradnl"/>
        </w:rPr>
        <w:t xml:space="preserve">Policy Note on the Business Environment for Inclusive Business Models, </w:t>
      </w:r>
      <w:r w:rsidRPr="00153074">
        <w:rPr>
          <w:sz w:val="18"/>
          <w:lang w:val="es-ES_tradnl"/>
        </w:rPr>
        <w:t>IFC</w:t>
      </w:r>
      <w:r w:rsidR="00B1268C" w:rsidRPr="00153074">
        <w:rPr>
          <w:sz w:val="18"/>
          <w:lang w:val="es-ES_tradnl"/>
        </w:rPr>
        <w:t xml:space="preserve"> 2012</w:t>
      </w:r>
    </w:p>
    <w:p w:rsidR="00B1268C" w:rsidRPr="00153074" w:rsidRDefault="00AD6F10" w:rsidP="00790075">
      <w:pPr>
        <w:rPr>
          <w:rFonts w:ascii="Arial" w:hAnsi="Arial" w:cs="Arial"/>
          <w:sz w:val="16"/>
          <w:szCs w:val="16"/>
          <w:lang w:val="es-ES_tradnl"/>
        </w:rPr>
      </w:pPr>
      <w:hyperlink r:id="rId40" w:history="1">
        <w:r w:rsidR="00420E2C" w:rsidRPr="00153074">
          <w:rPr>
            <w:rStyle w:val="Hyperlink"/>
            <w:rFonts w:ascii="Arial" w:hAnsi="Arial" w:cs="Arial"/>
            <w:sz w:val="16"/>
            <w:szCs w:val="16"/>
            <w:lang w:val="es-ES_tradnl"/>
          </w:rPr>
          <w:t>http://www1.ifc.org/wps/wcm/connect/251803004d19d9ceb933fdf81ee631cc/G20_Challenge_on_Inclusive_Business_Innovation_policy_note.pdf?MOD=AJPERES</w:t>
        </w:r>
      </w:hyperlink>
      <w:r w:rsidR="00420E2C"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4B2E27" w:rsidRPr="00153074" w:rsidRDefault="00B1268C" w:rsidP="00790075">
      <w:pPr>
        <w:rPr>
          <w:sz w:val="18"/>
          <w:lang w:val="es-ES_tradnl"/>
        </w:rPr>
      </w:pPr>
      <w:r w:rsidRPr="00153074">
        <w:rPr>
          <w:sz w:val="18"/>
          <w:lang w:val="es-ES_tradnl"/>
        </w:rPr>
        <w:t>KINDORNAY &amp; REILLY-KING 2012</w:t>
      </w:r>
      <w:r w:rsidRPr="00153074">
        <w:rPr>
          <w:sz w:val="18"/>
          <w:lang w:val="es-ES_tradnl"/>
        </w:rPr>
        <w:tab/>
        <w:t>Investing in the Business of Development - Bilateral Donor Approaches to Engaging the Private Sector, Shannon Kindornay and Fraser Reilly-King., Canadian Council for International Co-operation CCCIC &amp; North South Institute NSI, 2013</w:t>
      </w:r>
      <w:r w:rsidR="00721735" w:rsidRPr="00153074">
        <w:rPr>
          <w:sz w:val="18"/>
          <w:lang w:val="es-ES_tradnl"/>
        </w:rPr>
        <w:t xml:space="preserve"> </w:t>
      </w:r>
    </w:p>
    <w:p w:rsidR="00B1268C" w:rsidRPr="00153074" w:rsidRDefault="00AD6F10" w:rsidP="00790075">
      <w:pPr>
        <w:rPr>
          <w:rFonts w:ascii="Arial" w:hAnsi="Arial" w:cs="Arial"/>
          <w:sz w:val="16"/>
          <w:szCs w:val="16"/>
          <w:lang w:val="es-ES_tradnl"/>
        </w:rPr>
      </w:pPr>
      <w:hyperlink r:id="rId41" w:history="1">
        <w:r w:rsidR="00420E2C" w:rsidRPr="00153074">
          <w:rPr>
            <w:rStyle w:val="Hyperlink"/>
            <w:rFonts w:ascii="Arial" w:hAnsi="Arial" w:cs="Arial"/>
            <w:sz w:val="16"/>
            <w:szCs w:val="16"/>
            <w:lang w:val="es-ES_tradnl"/>
          </w:rPr>
          <w:t>http://www.ccic.ca/_files/en/what_we_do/2013-01-11_The%20Business_of_Development.pdf</w:t>
        </w:r>
      </w:hyperlink>
      <w:r w:rsidR="00420E2C"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MDB 2011</w:t>
      </w:r>
      <w:r w:rsidRPr="00153074">
        <w:rPr>
          <w:sz w:val="18"/>
          <w:lang w:val="es-ES_tradnl"/>
        </w:rPr>
        <w:tab/>
      </w:r>
      <w:r w:rsidR="00AF6921" w:rsidRPr="00153074">
        <w:rPr>
          <w:sz w:val="18"/>
          <w:lang w:val="es-ES_tradnl"/>
        </w:rPr>
        <w:t>Infrastructure Action Plan</w:t>
      </w:r>
      <w:r w:rsidR="00852D8D" w:rsidRPr="00153074">
        <w:rPr>
          <w:sz w:val="18"/>
          <w:lang w:val="es-ES_tradnl"/>
        </w:rPr>
        <w:t xml:space="preserve"> 2011, Submission to the G20 by the MDB Working Group on Infrastructure, </w:t>
      </w:r>
      <w:r w:rsidR="005338CB" w:rsidRPr="00153074">
        <w:rPr>
          <w:sz w:val="18"/>
          <w:lang w:val="es-ES_tradnl"/>
        </w:rPr>
        <w:t>octubre de</w:t>
      </w:r>
      <w:r w:rsidR="00AF6921" w:rsidRPr="00153074">
        <w:rPr>
          <w:sz w:val="18"/>
          <w:lang w:val="es-ES_tradnl"/>
        </w:rPr>
        <w:t xml:space="preserve"> 2011</w:t>
      </w:r>
      <w:r w:rsidR="00852D8D" w:rsidRPr="00153074">
        <w:rPr>
          <w:sz w:val="18"/>
          <w:lang w:val="es-ES_tradnl"/>
        </w:rPr>
        <w:t xml:space="preserve"> </w:t>
      </w:r>
      <w:hyperlink r:id="rId42" w:history="1">
        <w:r w:rsidR="00852D8D" w:rsidRPr="00153074">
          <w:rPr>
            <w:rStyle w:val="Hyperlink"/>
            <w:rFonts w:ascii="Arial" w:hAnsi="Arial" w:cs="Arial"/>
            <w:sz w:val="16"/>
            <w:szCs w:val="16"/>
            <w:lang w:val="es-ES_tradnl"/>
          </w:rPr>
          <w:t>http://www.boell.org/downloads/MDBs_Infrastructure_Action_Plan.pdf</w:t>
        </w:r>
      </w:hyperlink>
    </w:p>
    <w:p w:rsidR="00E23CED" w:rsidRPr="00153074" w:rsidRDefault="00E23CED" w:rsidP="00790075">
      <w:pPr>
        <w:rPr>
          <w:sz w:val="18"/>
          <w:lang w:val="es-ES_tradnl"/>
        </w:rPr>
      </w:pPr>
    </w:p>
    <w:p w:rsidR="00B1268C" w:rsidRPr="00153074" w:rsidRDefault="00B1268C" w:rsidP="00790075">
      <w:pPr>
        <w:rPr>
          <w:sz w:val="18"/>
          <w:lang w:val="es-ES_tradnl"/>
        </w:rPr>
      </w:pPr>
      <w:r w:rsidRPr="00153074">
        <w:rPr>
          <w:sz w:val="18"/>
          <w:lang w:val="es-ES_tradnl"/>
        </w:rPr>
        <w:t>MDB 2012</w:t>
      </w:r>
      <w:r w:rsidRPr="00153074">
        <w:rPr>
          <w:sz w:val="18"/>
          <w:lang w:val="es-ES_tradnl"/>
        </w:rPr>
        <w:tab/>
        <w:t>Infrastructure Action Plan</w:t>
      </w:r>
      <w:r w:rsidR="00AF6921" w:rsidRPr="00153074">
        <w:rPr>
          <w:sz w:val="18"/>
          <w:lang w:val="es-ES_tradnl"/>
        </w:rPr>
        <w:t xml:space="preserve"> </w:t>
      </w:r>
      <w:r w:rsidRPr="00153074">
        <w:rPr>
          <w:sz w:val="18"/>
          <w:lang w:val="es-ES_tradnl"/>
        </w:rPr>
        <w:t xml:space="preserve">2012 Follow-up Report, Submission to the G20 by the MDB Working Group on Infrastructure, </w:t>
      </w:r>
      <w:r w:rsidR="005338CB" w:rsidRPr="00153074">
        <w:rPr>
          <w:sz w:val="18"/>
          <w:lang w:val="es-ES_tradnl"/>
        </w:rPr>
        <w:t>abril de</w:t>
      </w:r>
      <w:r w:rsidRPr="00153074">
        <w:rPr>
          <w:sz w:val="18"/>
          <w:lang w:val="es-ES_tradnl"/>
        </w:rPr>
        <w:t xml:space="preserve"> 2012</w:t>
      </w:r>
      <w:r w:rsidR="00283BD6" w:rsidRPr="00153074">
        <w:rPr>
          <w:sz w:val="18"/>
          <w:lang w:val="es-ES_tradnl"/>
        </w:rPr>
        <w:t xml:space="preserve"> </w:t>
      </w:r>
      <w:r w:rsidR="005338CB" w:rsidRPr="00153074">
        <w:rPr>
          <w:sz w:val="18"/>
          <w:lang w:val="es-ES_tradnl"/>
        </w:rPr>
        <w:t xml:space="preserve"> </w:t>
      </w:r>
      <w:r w:rsidRPr="00153074">
        <w:rPr>
          <w:sz w:val="18"/>
          <w:lang w:val="es-ES_tradnl"/>
        </w:rPr>
        <w:t>g20russia.ru/load/780987101</w:t>
      </w:r>
      <w:r w:rsidRPr="00153074">
        <w:rPr>
          <w:rFonts w:ascii="Arial" w:hAnsi="Arial" w:cs="Arial"/>
          <w:sz w:val="18"/>
          <w:lang w:val="es-ES_tradnl"/>
        </w:rPr>
        <w:t>‎</w:t>
      </w:r>
      <w:r w:rsidR="00283BD6" w:rsidRPr="00153074">
        <w:rPr>
          <w:rFonts w:ascii="Arial" w:hAnsi="Arial" w:cs="Arial"/>
          <w:sz w:val="18"/>
          <w:lang w:val="es-ES_tradnl"/>
        </w:rPr>
        <w:t xml:space="preserve"> </w:t>
      </w:r>
    </w:p>
    <w:p w:rsidR="00B1268C" w:rsidRPr="00153074" w:rsidRDefault="00B1268C" w:rsidP="00790075">
      <w:pPr>
        <w:rPr>
          <w:sz w:val="18"/>
          <w:lang w:val="es-ES_tradnl"/>
        </w:rPr>
      </w:pPr>
    </w:p>
    <w:p w:rsidR="00B1268C" w:rsidRPr="00153074" w:rsidRDefault="003A4EDB" w:rsidP="00790075">
      <w:pPr>
        <w:rPr>
          <w:rFonts w:ascii="Arial" w:hAnsi="Arial" w:cs="Arial"/>
          <w:sz w:val="16"/>
          <w:szCs w:val="16"/>
          <w:lang w:val="es-ES_tradnl"/>
        </w:rPr>
      </w:pPr>
      <w:r w:rsidRPr="00153074">
        <w:rPr>
          <w:sz w:val="18"/>
          <w:lang w:val="es-ES_tradnl"/>
        </w:rPr>
        <w:t>OCDE</w:t>
      </w:r>
      <w:r w:rsidR="00B1268C" w:rsidRPr="00153074">
        <w:rPr>
          <w:sz w:val="18"/>
          <w:lang w:val="es-ES_tradnl"/>
        </w:rPr>
        <w:t xml:space="preserve"> 2008</w:t>
      </w:r>
      <w:r w:rsidR="00B1268C" w:rsidRPr="00153074">
        <w:rPr>
          <w:sz w:val="18"/>
          <w:lang w:val="es-ES_tradnl"/>
        </w:rPr>
        <w:tab/>
        <w:t xml:space="preserve">Public-Private Partnerships: In Pursuit of Risk Sharing and Value for Money, </w:t>
      </w:r>
      <w:r w:rsidRPr="00153074">
        <w:rPr>
          <w:sz w:val="18"/>
          <w:lang w:val="es-ES_tradnl"/>
        </w:rPr>
        <w:t>OCDE</w:t>
      </w:r>
      <w:r w:rsidR="004B2E27" w:rsidRPr="00153074">
        <w:rPr>
          <w:sz w:val="18"/>
          <w:lang w:val="es-ES_tradnl"/>
        </w:rPr>
        <w:t xml:space="preserve">, junio de </w:t>
      </w:r>
      <w:r w:rsidR="00B1268C" w:rsidRPr="00153074">
        <w:rPr>
          <w:sz w:val="18"/>
          <w:lang w:val="es-ES_tradnl"/>
        </w:rPr>
        <w:t>2008</w:t>
      </w:r>
      <w:r w:rsidR="00420E2C" w:rsidRPr="00153074">
        <w:rPr>
          <w:sz w:val="18"/>
          <w:lang w:val="es-ES_tradnl"/>
        </w:rPr>
        <w:t xml:space="preserve"> </w:t>
      </w:r>
      <w:hyperlink r:id="rId43" w:history="1">
        <w:r w:rsidR="00420E2C" w:rsidRPr="00153074">
          <w:rPr>
            <w:rStyle w:val="Hyperlink"/>
            <w:rFonts w:ascii="Arial" w:hAnsi="Arial" w:cs="Arial"/>
            <w:sz w:val="16"/>
            <w:szCs w:val="16"/>
            <w:lang w:val="es-ES_tradnl"/>
          </w:rPr>
          <w:t>http://www.oecd.org/gov/budgeting/public-privatepartnershipsinpursuitofrisksharingandvalueformoney.htm</w:t>
        </w:r>
      </w:hyperlink>
      <w:r w:rsidR="00420E2C"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3A4EDB" w:rsidP="00790075">
      <w:pPr>
        <w:rPr>
          <w:sz w:val="18"/>
          <w:lang w:val="es-ES_tradnl"/>
        </w:rPr>
      </w:pPr>
      <w:r w:rsidRPr="00153074">
        <w:rPr>
          <w:sz w:val="18"/>
          <w:lang w:val="es-ES_tradnl"/>
        </w:rPr>
        <w:t>OCDE</w:t>
      </w:r>
      <w:r w:rsidR="00B1268C" w:rsidRPr="00153074">
        <w:rPr>
          <w:sz w:val="18"/>
          <w:lang w:val="es-ES_tradnl"/>
        </w:rPr>
        <w:t xml:space="preserve"> 2011a</w:t>
      </w:r>
      <w:r w:rsidR="00B1268C" w:rsidRPr="00153074">
        <w:rPr>
          <w:sz w:val="18"/>
          <w:lang w:val="es-ES_tradnl"/>
        </w:rPr>
        <w:tab/>
      </w:r>
      <w:r w:rsidR="00785DAF" w:rsidRPr="00153074">
        <w:rPr>
          <w:sz w:val="18"/>
          <w:lang w:val="es-ES_tradnl"/>
        </w:rPr>
        <w:t xml:space="preserve">Alianza de Busan para la cooperación eficaz al desarrollo, </w:t>
      </w:r>
      <w:r w:rsidR="00727D51" w:rsidRPr="00153074">
        <w:rPr>
          <w:sz w:val="18"/>
          <w:lang w:val="es-ES_tradnl"/>
        </w:rPr>
        <w:t>IV</w:t>
      </w:r>
      <w:r w:rsidR="00785DAF" w:rsidRPr="00153074">
        <w:rPr>
          <w:sz w:val="18"/>
          <w:lang w:val="es-ES_tradnl"/>
        </w:rPr>
        <w:t xml:space="preserve"> Foro de Alto Nivel sobre la Eficacia de la Ayuda</w:t>
      </w:r>
      <w:r w:rsidR="00B1268C" w:rsidRPr="00153074">
        <w:rPr>
          <w:sz w:val="18"/>
          <w:lang w:val="es-ES_tradnl"/>
        </w:rPr>
        <w:t>, Busan,</w:t>
      </w:r>
      <w:r w:rsidR="00785DAF" w:rsidRPr="00153074">
        <w:rPr>
          <w:sz w:val="18"/>
          <w:lang w:val="es-ES_tradnl"/>
        </w:rPr>
        <w:t xml:space="preserve"> C</w:t>
      </w:r>
      <w:r w:rsidR="00B1268C" w:rsidRPr="00153074">
        <w:rPr>
          <w:sz w:val="18"/>
          <w:lang w:val="es-ES_tradnl"/>
        </w:rPr>
        <w:t xml:space="preserve">orea, </w:t>
      </w:r>
      <w:r w:rsidR="00785DAF" w:rsidRPr="00153074">
        <w:rPr>
          <w:sz w:val="18"/>
          <w:lang w:val="es-ES_tradnl"/>
        </w:rPr>
        <w:t>diciembre de</w:t>
      </w:r>
      <w:r w:rsidR="00B1268C" w:rsidRPr="00153074">
        <w:rPr>
          <w:sz w:val="18"/>
          <w:lang w:val="es-ES_tradnl"/>
        </w:rPr>
        <w:t xml:space="preserve"> 2011</w:t>
      </w:r>
      <w:r w:rsidR="00420E2C" w:rsidRPr="00153074">
        <w:rPr>
          <w:sz w:val="18"/>
          <w:lang w:val="es-ES_tradnl"/>
        </w:rPr>
        <w:t xml:space="preserve"> </w:t>
      </w:r>
      <w:hyperlink r:id="rId44" w:history="1">
        <w:r w:rsidR="00785DAF" w:rsidRPr="00153074">
          <w:rPr>
            <w:rStyle w:val="Hyperlink"/>
            <w:rFonts w:ascii="Arial" w:hAnsi="Arial" w:cs="Arial"/>
            <w:sz w:val="16"/>
            <w:szCs w:val="16"/>
            <w:lang w:val="es-ES_tradnl"/>
          </w:rPr>
          <w:t>http://www.oecd.org/dac/effectiveness/49650200.pdf</w:t>
        </w:r>
      </w:hyperlink>
      <w:r w:rsidR="00785DAF" w:rsidRPr="00153074">
        <w:rPr>
          <w:sz w:val="18"/>
          <w:lang w:val="es-ES_tradnl"/>
        </w:rPr>
        <w:t xml:space="preserve"> </w:t>
      </w:r>
    </w:p>
    <w:p w:rsidR="00785DAF" w:rsidRPr="00153074" w:rsidRDefault="00785DAF" w:rsidP="00790075">
      <w:pPr>
        <w:rPr>
          <w:sz w:val="18"/>
          <w:lang w:val="es-ES_tradnl"/>
        </w:rPr>
      </w:pPr>
    </w:p>
    <w:p w:rsidR="00B1268C" w:rsidRPr="00153074" w:rsidRDefault="003A4EDB" w:rsidP="00790075">
      <w:pPr>
        <w:rPr>
          <w:sz w:val="18"/>
          <w:lang w:val="es-ES_tradnl"/>
        </w:rPr>
      </w:pPr>
      <w:r w:rsidRPr="00153074">
        <w:rPr>
          <w:sz w:val="18"/>
          <w:lang w:val="es-ES_tradnl"/>
        </w:rPr>
        <w:t>OCDE</w:t>
      </w:r>
      <w:r w:rsidR="00B1268C" w:rsidRPr="00153074">
        <w:rPr>
          <w:sz w:val="18"/>
          <w:lang w:val="es-ES_tradnl"/>
        </w:rPr>
        <w:t xml:space="preserve"> 2011b</w:t>
      </w:r>
      <w:r w:rsidR="00B1268C" w:rsidRPr="00153074">
        <w:rPr>
          <w:sz w:val="18"/>
          <w:lang w:val="es-ES_tradnl"/>
        </w:rPr>
        <w:tab/>
        <w:t xml:space="preserve">Expanding and Enhancing Public and Private Co-operation for Broad-based, Inclusive and Sustainable Growth - A joint Statement for endorsement by representatives from the public and the private sectors at the Fourth High-Level Forum on Aid Effectiveness, </w:t>
      </w:r>
      <w:r w:rsidR="00FF3E83" w:rsidRPr="00153074">
        <w:rPr>
          <w:sz w:val="18"/>
          <w:lang w:val="es-ES_tradnl"/>
        </w:rPr>
        <w:t>noviembre de</w:t>
      </w:r>
      <w:r w:rsidR="00B1268C" w:rsidRPr="00153074">
        <w:rPr>
          <w:sz w:val="18"/>
          <w:lang w:val="es-ES_tradnl"/>
        </w:rPr>
        <w:t xml:space="preserve"> 2011</w:t>
      </w:r>
      <w:r w:rsidR="00420E2C" w:rsidRPr="00153074">
        <w:rPr>
          <w:sz w:val="18"/>
          <w:lang w:val="es-ES_tradnl"/>
        </w:rPr>
        <w:t xml:space="preserve"> </w:t>
      </w:r>
      <w:hyperlink r:id="rId45" w:history="1">
        <w:r w:rsidR="00420E2C" w:rsidRPr="00153074">
          <w:rPr>
            <w:rStyle w:val="Hyperlink"/>
            <w:rFonts w:ascii="Arial" w:hAnsi="Arial" w:cs="Arial"/>
            <w:sz w:val="16"/>
            <w:szCs w:val="16"/>
            <w:lang w:val="es-ES_tradnl"/>
          </w:rPr>
          <w:t>http://www.oecd.org/development/effectiveness/49211825.pdf</w:t>
        </w:r>
      </w:hyperlink>
      <w:r w:rsidR="00420E2C" w:rsidRPr="00153074">
        <w:rPr>
          <w:sz w:val="18"/>
          <w:lang w:val="es-ES_tradnl"/>
        </w:rPr>
        <w:t xml:space="preserve"> </w:t>
      </w:r>
    </w:p>
    <w:p w:rsidR="006A5FE7" w:rsidRPr="00153074" w:rsidRDefault="006A5FE7" w:rsidP="00790075">
      <w:pPr>
        <w:rPr>
          <w:sz w:val="18"/>
          <w:lang w:val="es-ES_tradnl"/>
        </w:rPr>
      </w:pPr>
    </w:p>
    <w:p w:rsidR="00B1268C" w:rsidRPr="00153074" w:rsidRDefault="003A4EDB" w:rsidP="00790075">
      <w:pPr>
        <w:rPr>
          <w:sz w:val="18"/>
          <w:lang w:val="es-ES_tradnl"/>
        </w:rPr>
      </w:pPr>
      <w:r w:rsidRPr="00153074">
        <w:rPr>
          <w:sz w:val="18"/>
          <w:lang w:val="es-ES_tradnl"/>
        </w:rPr>
        <w:t>OCDE</w:t>
      </w:r>
      <w:r w:rsidR="00B1268C" w:rsidRPr="00153074">
        <w:rPr>
          <w:sz w:val="18"/>
          <w:lang w:val="es-ES_tradnl"/>
        </w:rPr>
        <w:t xml:space="preserve"> 2012</w:t>
      </w:r>
      <w:r w:rsidR="00B1268C" w:rsidRPr="00153074">
        <w:rPr>
          <w:sz w:val="18"/>
          <w:lang w:val="es-ES_tradnl"/>
        </w:rPr>
        <w:tab/>
        <w:t xml:space="preserve">Infrastructure Investment in New Markets - Challenges and Opportunities for Pension Funds, Fiona Stewart, Juan Yermo, </w:t>
      </w:r>
      <w:r w:rsidRPr="00153074">
        <w:rPr>
          <w:sz w:val="18"/>
          <w:lang w:val="es-ES_tradnl"/>
        </w:rPr>
        <w:t>O</w:t>
      </w:r>
      <w:r w:rsidR="00FF3E83" w:rsidRPr="00153074">
        <w:rPr>
          <w:sz w:val="18"/>
          <w:lang w:val="es-ES_tradnl"/>
        </w:rPr>
        <w:t xml:space="preserve">CDE, diciembre de </w:t>
      </w:r>
      <w:r w:rsidR="00B1268C" w:rsidRPr="00153074">
        <w:rPr>
          <w:sz w:val="18"/>
          <w:lang w:val="es-ES_tradnl"/>
        </w:rPr>
        <w:t>2012</w:t>
      </w:r>
    </w:p>
    <w:p w:rsidR="00B1268C" w:rsidRPr="00153074" w:rsidRDefault="00AD6F10" w:rsidP="00790075">
      <w:pPr>
        <w:rPr>
          <w:rFonts w:ascii="Arial" w:hAnsi="Arial" w:cs="Arial"/>
          <w:sz w:val="16"/>
          <w:szCs w:val="16"/>
          <w:lang w:val="es-ES_tradnl"/>
        </w:rPr>
      </w:pPr>
      <w:hyperlink r:id="rId46" w:history="1">
        <w:r w:rsidR="00420E2C" w:rsidRPr="00153074">
          <w:rPr>
            <w:rStyle w:val="Hyperlink"/>
            <w:rFonts w:ascii="Arial" w:hAnsi="Arial" w:cs="Arial"/>
            <w:sz w:val="16"/>
            <w:szCs w:val="16"/>
            <w:lang w:val="es-ES_tradnl"/>
          </w:rPr>
          <w:t>http://www.oecd-ilibrary.org/finance-and-investment/infrastructure-investment-in-new-markets_5k8xff424vln-en</w:t>
        </w:r>
      </w:hyperlink>
      <w:r w:rsidR="00420E2C"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3A4EDB" w:rsidP="00790075">
      <w:pPr>
        <w:rPr>
          <w:sz w:val="18"/>
          <w:lang w:val="es-ES_tradnl"/>
        </w:rPr>
      </w:pPr>
      <w:r w:rsidRPr="00153074">
        <w:rPr>
          <w:sz w:val="18"/>
          <w:lang w:val="es-ES_tradnl"/>
        </w:rPr>
        <w:t>OCDE</w:t>
      </w:r>
      <w:r w:rsidR="00B1268C" w:rsidRPr="00153074">
        <w:rPr>
          <w:sz w:val="18"/>
          <w:lang w:val="es-ES_tradnl"/>
        </w:rPr>
        <w:t xml:space="preserve"> 2013</w:t>
      </w:r>
      <w:r w:rsidR="00B1268C" w:rsidRPr="00153074">
        <w:rPr>
          <w:sz w:val="18"/>
          <w:lang w:val="es-ES_tradnl"/>
        </w:rPr>
        <w:tab/>
        <w:t xml:space="preserve">What drives tax morale? Tax &amp; Development, </w:t>
      </w:r>
      <w:r w:rsidRPr="00153074">
        <w:rPr>
          <w:sz w:val="18"/>
          <w:lang w:val="es-ES_tradnl"/>
        </w:rPr>
        <w:t>OCDE</w:t>
      </w:r>
      <w:r w:rsidR="00B1268C" w:rsidRPr="00153074">
        <w:rPr>
          <w:sz w:val="18"/>
          <w:lang w:val="es-ES_tradnl"/>
        </w:rPr>
        <w:t xml:space="preserve"> Task Force on Tax and Development, </w:t>
      </w:r>
      <w:r w:rsidRPr="00153074">
        <w:rPr>
          <w:sz w:val="18"/>
          <w:lang w:val="es-ES_tradnl"/>
        </w:rPr>
        <w:t>OCDE</w:t>
      </w:r>
      <w:r w:rsidR="00B1268C" w:rsidRPr="00153074">
        <w:rPr>
          <w:sz w:val="18"/>
          <w:lang w:val="es-ES_tradnl"/>
        </w:rPr>
        <w:t xml:space="preserve">, </w:t>
      </w:r>
      <w:r w:rsidR="00FF3E83" w:rsidRPr="00153074">
        <w:rPr>
          <w:sz w:val="18"/>
          <w:lang w:val="es-ES_tradnl"/>
        </w:rPr>
        <w:t>marzo de</w:t>
      </w:r>
      <w:r w:rsidR="00B1268C" w:rsidRPr="00153074">
        <w:rPr>
          <w:sz w:val="18"/>
          <w:lang w:val="es-ES_tradnl"/>
        </w:rPr>
        <w:t xml:space="preserve"> 2013 </w:t>
      </w:r>
      <w:hyperlink r:id="rId47" w:history="1">
        <w:r w:rsidR="00420E2C" w:rsidRPr="00153074">
          <w:rPr>
            <w:rStyle w:val="Hyperlink"/>
            <w:rFonts w:ascii="Arial" w:hAnsi="Arial" w:cs="Arial"/>
            <w:sz w:val="16"/>
            <w:szCs w:val="16"/>
            <w:lang w:val="es-ES_tradnl"/>
          </w:rPr>
          <w:t>http://www.oecd.org/ctp/tax-global/TaxMorale_march13.pdf</w:t>
        </w:r>
      </w:hyperlink>
      <w:r w:rsidR="00420E2C" w:rsidRPr="00153074">
        <w:rPr>
          <w:sz w:val="18"/>
          <w:lang w:val="es-ES_tradnl"/>
        </w:rPr>
        <w:t xml:space="preserve"> </w:t>
      </w:r>
    </w:p>
    <w:p w:rsidR="00D44EAA" w:rsidRPr="00153074" w:rsidRDefault="00D44EAA" w:rsidP="00790075">
      <w:pPr>
        <w:rPr>
          <w:sz w:val="18"/>
          <w:lang w:val="es-ES_tradnl"/>
        </w:rPr>
      </w:pPr>
    </w:p>
    <w:p w:rsidR="00D44EAA" w:rsidRPr="00153074" w:rsidRDefault="00D44EAA" w:rsidP="00D44EAA">
      <w:pPr>
        <w:rPr>
          <w:sz w:val="18"/>
          <w:lang w:val="es-ES_tradnl"/>
        </w:rPr>
      </w:pPr>
      <w:r w:rsidRPr="00153074">
        <w:rPr>
          <w:sz w:val="18"/>
          <w:lang w:val="es-ES_tradnl"/>
        </w:rPr>
        <w:t>OIT 2012</w:t>
      </w:r>
      <w:r w:rsidRPr="00153074">
        <w:rPr>
          <w:sz w:val="18"/>
          <w:lang w:val="es-ES_tradnl"/>
        </w:rPr>
        <w:tab/>
      </w:r>
      <w:r w:rsidRPr="00153074">
        <w:rPr>
          <w:sz w:val="18"/>
          <w:lang w:val="es-ES_tradnl"/>
        </w:rPr>
        <w:tab/>
        <w:t xml:space="preserve">El alto desempleo y las crecientes desigualdades alimentan las tensiones sociales en el mundo, OIT, abril de 2012 </w:t>
      </w:r>
      <w:hyperlink r:id="rId48" w:history="1">
        <w:r w:rsidRPr="00153074">
          <w:rPr>
            <w:rStyle w:val="Hyperlink"/>
            <w:rFonts w:ascii="Arial" w:hAnsi="Arial" w:cs="Arial"/>
            <w:sz w:val="16"/>
            <w:szCs w:val="16"/>
            <w:lang w:val="es-ES_tradnl"/>
          </w:rPr>
          <w:t>http://www.ilo.org/global/about-the-ilo/newsroom/news/WCMS_179431/lang--es/index.htm</w:t>
        </w:r>
      </w:hyperlink>
      <w:r w:rsidRPr="00153074">
        <w:rPr>
          <w:sz w:val="18"/>
          <w:lang w:val="es-ES_tradnl"/>
        </w:rPr>
        <w:t xml:space="preserve"> </w:t>
      </w:r>
    </w:p>
    <w:p w:rsidR="00D44EAA" w:rsidRPr="00153074" w:rsidRDefault="00D44EAA" w:rsidP="00D44EAA">
      <w:pPr>
        <w:rPr>
          <w:sz w:val="18"/>
          <w:lang w:val="es-ES_tradnl"/>
        </w:rPr>
      </w:pPr>
    </w:p>
    <w:p w:rsidR="00B1268C" w:rsidRPr="00153074" w:rsidRDefault="00B1268C" w:rsidP="00790075">
      <w:pPr>
        <w:rPr>
          <w:sz w:val="18"/>
          <w:lang w:val="es-ES_tradnl"/>
        </w:rPr>
      </w:pPr>
      <w:r w:rsidRPr="00153074">
        <w:rPr>
          <w:sz w:val="18"/>
          <w:lang w:val="es-ES_tradnl"/>
        </w:rPr>
        <w:t>PRAHALAD 2004</w:t>
      </w:r>
      <w:r w:rsidRPr="00153074">
        <w:rPr>
          <w:sz w:val="18"/>
          <w:lang w:val="es-ES_tradnl"/>
        </w:rPr>
        <w:tab/>
        <w:t xml:space="preserve">The Fortune at the Bottom of the Pyramid: Eradicating Poverty through Profits, C.K. Prahalad, Wharton School Publishing, </w:t>
      </w:r>
      <w:r w:rsidR="00C5585C" w:rsidRPr="00153074">
        <w:rPr>
          <w:sz w:val="18"/>
          <w:lang w:val="es-ES_tradnl"/>
        </w:rPr>
        <w:t>agosto de</w:t>
      </w:r>
      <w:r w:rsidRPr="00153074">
        <w:rPr>
          <w:sz w:val="18"/>
          <w:lang w:val="es-ES_tradnl"/>
        </w:rPr>
        <w:t xml:space="preserve"> 2004</w:t>
      </w:r>
    </w:p>
    <w:p w:rsidR="00B1268C" w:rsidRPr="00153074" w:rsidRDefault="00AD6F10" w:rsidP="00790075">
      <w:pPr>
        <w:rPr>
          <w:rFonts w:ascii="Arial" w:hAnsi="Arial" w:cs="Arial"/>
          <w:sz w:val="16"/>
          <w:szCs w:val="16"/>
          <w:lang w:val="es-ES_tradnl"/>
        </w:rPr>
      </w:pPr>
      <w:hyperlink r:id="rId49" w:history="1">
        <w:r w:rsidR="00FF3E83" w:rsidRPr="00153074">
          <w:rPr>
            <w:rStyle w:val="Hyperlink"/>
            <w:rFonts w:ascii="Arial" w:hAnsi="Arial" w:cs="Arial"/>
            <w:sz w:val="16"/>
            <w:szCs w:val="16"/>
            <w:lang w:val="es-ES_tradnl"/>
          </w:rPr>
          <w:t>http://knowledge.wharton.upenn.edu/article.cfm?articleid=1020</w:t>
        </w:r>
      </w:hyperlink>
      <w:r w:rsidR="00FF3E83" w:rsidRPr="00153074">
        <w:rPr>
          <w:rFonts w:ascii="Arial" w:hAnsi="Arial" w:cs="Arial"/>
          <w:sz w:val="16"/>
          <w:szCs w:val="16"/>
          <w:lang w:val="es-ES_tradnl"/>
        </w:rPr>
        <w:t xml:space="preserve"> </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RoA 2012</w:t>
      </w:r>
      <w:r w:rsidRPr="00153074">
        <w:rPr>
          <w:sz w:val="18"/>
          <w:lang w:val="es-ES_tradnl"/>
        </w:rPr>
        <w:tab/>
      </w:r>
      <w:r w:rsidR="001539BC" w:rsidRPr="00153074">
        <w:rPr>
          <w:sz w:val="18"/>
          <w:lang w:val="es-ES_tradnl"/>
        </w:rPr>
        <w:tab/>
      </w:r>
      <w:r w:rsidRPr="00153074">
        <w:rPr>
          <w:sz w:val="18"/>
          <w:lang w:val="es-ES_tradnl"/>
        </w:rPr>
        <w:t xml:space="preserve">Reality of Aid Report2012, Aid and the Private Sector: Catalyzing Poverty Reduction and Development? </w:t>
      </w:r>
      <w:hyperlink r:id="rId50" w:history="1">
        <w:r w:rsidRPr="00153074">
          <w:rPr>
            <w:rStyle w:val="Hyperlink"/>
            <w:rFonts w:ascii="Arial" w:hAnsi="Arial" w:cs="Arial"/>
            <w:sz w:val="16"/>
            <w:szCs w:val="20"/>
            <w:lang w:val="es-ES_tradnl"/>
          </w:rPr>
          <w:t>www.realityofaid.org</w:t>
        </w:r>
      </w:hyperlink>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SEN 1999</w:t>
      </w:r>
      <w:r w:rsidRPr="00153074">
        <w:rPr>
          <w:sz w:val="18"/>
          <w:lang w:val="es-ES_tradnl"/>
        </w:rPr>
        <w:tab/>
      </w:r>
      <w:r w:rsidR="001539BC" w:rsidRPr="00153074">
        <w:rPr>
          <w:sz w:val="18"/>
          <w:lang w:val="es-ES_tradnl"/>
        </w:rPr>
        <w:tab/>
      </w:r>
      <w:r w:rsidRPr="00153074">
        <w:rPr>
          <w:sz w:val="18"/>
          <w:lang w:val="es-ES_tradnl"/>
        </w:rPr>
        <w:t xml:space="preserve">Development as Freedom, </w:t>
      </w:r>
      <w:r w:rsidR="00852D8D" w:rsidRPr="00153074">
        <w:rPr>
          <w:sz w:val="18"/>
          <w:lang w:val="es-ES_tradnl"/>
        </w:rPr>
        <w:t>Amartya Sen, Oxford</w:t>
      </w:r>
      <w:r w:rsidRPr="00153074">
        <w:rPr>
          <w:sz w:val="18"/>
          <w:lang w:val="es-ES_tradnl"/>
        </w:rPr>
        <w:t xml:space="preserve"> University Press, 1999.</w:t>
      </w:r>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TUC 2012</w:t>
      </w:r>
      <w:r w:rsidRPr="00153074">
        <w:rPr>
          <w:sz w:val="18"/>
          <w:lang w:val="es-ES_tradnl"/>
        </w:rPr>
        <w:tab/>
      </w:r>
      <w:r w:rsidR="001539BC" w:rsidRPr="00153074">
        <w:rPr>
          <w:sz w:val="18"/>
          <w:lang w:val="es-ES_tradnl"/>
        </w:rPr>
        <w:tab/>
      </w:r>
      <w:r w:rsidRPr="00153074">
        <w:rPr>
          <w:sz w:val="18"/>
          <w:lang w:val="es-ES_tradnl"/>
        </w:rPr>
        <w:t xml:space="preserve">A decent job? DFID fails the TUC’s Decent Work test, TUC, </w:t>
      </w:r>
      <w:r w:rsidR="00C5585C" w:rsidRPr="00153074">
        <w:rPr>
          <w:sz w:val="18"/>
          <w:lang w:val="es-ES_tradnl"/>
        </w:rPr>
        <w:t>octubre de</w:t>
      </w:r>
      <w:r w:rsidRPr="00153074">
        <w:rPr>
          <w:sz w:val="18"/>
          <w:lang w:val="es-ES_tradnl"/>
        </w:rPr>
        <w:t xml:space="preserve"> 2012</w:t>
      </w:r>
    </w:p>
    <w:p w:rsidR="00B1268C" w:rsidRPr="00153074" w:rsidRDefault="00AD6F10" w:rsidP="00790075">
      <w:pPr>
        <w:rPr>
          <w:sz w:val="18"/>
          <w:lang w:val="es-ES_tradnl"/>
        </w:rPr>
      </w:pPr>
      <w:hyperlink r:id="rId51" w:history="1">
        <w:r w:rsidR="00B1268C" w:rsidRPr="00153074">
          <w:rPr>
            <w:rStyle w:val="Hyperlink"/>
            <w:rFonts w:ascii="Arial" w:hAnsi="Arial" w:cs="Arial"/>
            <w:sz w:val="16"/>
            <w:szCs w:val="20"/>
            <w:lang w:val="es-ES_tradnl"/>
          </w:rPr>
          <w:t>http://www.tuc.org.uk/international/tuc-21502-f0.cfm</w:t>
        </w:r>
      </w:hyperlink>
    </w:p>
    <w:p w:rsidR="00B1268C" w:rsidRPr="00153074" w:rsidRDefault="00B1268C" w:rsidP="00790075">
      <w:pPr>
        <w:rPr>
          <w:sz w:val="18"/>
          <w:lang w:val="es-ES_tradnl"/>
        </w:rPr>
      </w:pPr>
    </w:p>
    <w:p w:rsidR="00B1268C" w:rsidRPr="00153074" w:rsidRDefault="00B1268C" w:rsidP="00790075">
      <w:pPr>
        <w:rPr>
          <w:sz w:val="18"/>
          <w:lang w:val="es-ES_tradnl"/>
        </w:rPr>
      </w:pPr>
      <w:r w:rsidRPr="00153074">
        <w:rPr>
          <w:sz w:val="18"/>
          <w:lang w:val="es-ES_tradnl"/>
        </w:rPr>
        <w:t>UNCTAD 2012</w:t>
      </w:r>
      <w:r w:rsidRPr="00153074">
        <w:rPr>
          <w:sz w:val="18"/>
          <w:lang w:val="es-ES_tradnl"/>
        </w:rPr>
        <w:tab/>
      </w:r>
      <w:r w:rsidR="005338CB" w:rsidRPr="00153074">
        <w:rPr>
          <w:sz w:val="18"/>
          <w:lang w:val="es-ES_tradnl"/>
        </w:rPr>
        <w:t xml:space="preserve">Informe del Secretario General de la </w:t>
      </w:r>
      <w:r w:rsidRPr="00153074">
        <w:rPr>
          <w:sz w:val="18"/>
          <w:lang w:val="es-ES_tradnl"/>
        </w:rPr>
        <w:t xml:space="preserve">UNCTAD </w:t>
      </w:r>
      <w:r w:rsidR="005338CB" w:rsidRPr="00153074">
        <w:rPr>
          <w:sz w:val="18"/>
          <w:lang w:val="es-ES_tradnl"/>
        </w:rPr>
        <w:t>a la XIII Conferencia de la</w:t>
      </w:r>
      <w:r w:rsidRPr="00153074">
        <w:rPr>
          <w:sz w:val="18"/>
          <w:lang w:val="es-ES_tradnl"/>
        </w:rPr>
        <w:t xml:space="preserve"> UNCTAD </w:t>
      </w:r>
      <w:r w:rsidR="005338CB" w:rsidRPr="00153074">
        <w:rPr>
          <w:sz w:val="18"/>
          <w:lang w:val="es-ES_tradnl"/>
        </w:rPr>
        <w:t>de 2012</w:t>
      </w:r>
      <w:r w:rsidRPr="00153074">
        <w:rPr>
          <w:sz w:val="18"/>
          <w:lang w:val="es-ES_tradnl"/>
        </w:rPr>
        <w:t xml:space="preserve">: </w:t>
      </w:r>
      <w:hyperlink r:id="rId52" w:history="1">
        <w:r w:rsidR="00717A59" w:rsidRPr="00153074">
          <w:rPr>
            <w:rStyle w:val="Hyperlink"/>
            <w:sz w:val="18"/>
            <w:lang w:val="es-ES_tradnl"/>
          </w:rPr>
          <w:t>http://unctad.org/es/Docs/tdxiii_report_sp.pdf</w:t>
        </w:r>
      </w:hyperlink>
      <w:r w:rsidR="00717A59" w:rsidRPr="00153074">
        <w:rPr>
          <w:sz w:val="18"/>
          <w:lang w:val="es-ES_tradnl"/>
        </w:rPr>
        <w:t xml:space="preserve"> </w:t>
      </w:r>
    </w:p>
    <w:p w:rsidR="00B1268C" w:rsidRPr="00153074" w:rsidRDefault="00B1268C" w:rsidP="008D3287">
      <w:pPr>
        <w:rPr>
          <w:lang w:val="es-ES_tradnl"/>
        </w:rPr>
      </w:pPr>
    </w:p>
    <w:p w:rsidR="006C4D0B" w:rsidRPr="00153074" w:rsidRDefault="006C4D0B" w:rsidP="008D3287">
      <w:pPr>
        <w:rPr>
          <w:color w:val="C2D69B"/>
          <w:sz w:val="32"/>
          <w:lang w:val="es-ES_tradnl"/>
        </w:rPr>
      </w:pPr>
      <w:r w:rsidRPr="00153074">
        <w:rPr>
          <w:color w:val="C2D69B"/>
          <w:sz w:val="32"/>
          <w:lang w:val="es-ES_tradnl"/>
        </w:rPr>
        <w:sym w:font="Webdings" w:char="F03C"/>
      </w:r>
    </w:p>
    <w:sectPr w:rsidR="006C4D0B" w:rsidRPr="00153074" w:rsidSect="006C4D0B">
      <w:headerReference w:type="even" r:id="rId53"/>
      <w:headerReference w:type="default" r:id="rId54"/>
      <w:footerReference w:type="default" r:id="rId55"/>
      <w:headerReference w:type="first" r:id="rId56"/>
      <w:pgSz w:w="11906" w:h="16838" w:code="9"/>
      <w:pgMar w:top="993" w:right="1440" w:bottom="1440" w:left="1440" w:header="510" w:footer="62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10" w:rsidRDefault="00AD6F10">
      <w:r>
        <w:separator/>
      </w:r>
    </w:p>
  </w:endnote>
  <w:endnote w:type="continuationSeparator" w:id="0">
    <w:p w:rsidR="00AD6F10" w:rsidRDefault="00AD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GothicStd-Bold">
    <w:panose1 w:val="00000000000000000000"/>
    <w:charset w:val="00"/>
    <w:family w:val="swiss"/>
    <w:notTrueType/>
    <w:pitch w:val="default"/>
    <w:sig w:usb0="00000003" w:usb1="00000000" w:usb2="00000000" w:usb3="00000000" w:csb0="00000001" w:csb1="00000000"/>
  </w:font>
  <w:font w:name="GothamNarrow-Ligh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0" w:rsidRDefault="00516340" w:rsidP="00C90AC0">
    <w:pPr>
      <w:pStyle w:val="Footer"/>
      <w:pBdr>
        <w:top w:val="single" w:sz="4" w:space="1" w:color="auto"/>
      </w:pBdr>
      <w:tabs>
        <w:tab w:val="left" w:pos="201"/>
        <w:tab w:val="right" w:pos="9026"/>
      </w:tabs>
    </w:pPr>
    <w:r>
      <w:t>CSI/RSCD DOCUMENTO DE DEBATE</w:t>
    </w:r>
    <w:r>
      <w:tab/>
      <w:t>OCTUBRE 2013</w:t>
    </w:r>
    <w:r>
      <w:tab/>
    </w:r>
    <w:r>
      <w:tab/>
    </w:r>
    <w:r>
      <w:fldChar w:fldCharType="begin"/>
    </w:r>
    <w:r>
      <w:instrText xml:space="preserve"> PAGE   \* MERGEFORMAT </w:instrText>
    </w:r>
    <w:r>
      <w:fldChar w:fldCharType="separate"/>
    </w:r>
    <w:r w:rsidR="0047462E">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10" w:rsidRDefault="00AD6F10">
      <w:r>
        <w:separator/>
      </w:r>
    </w:p>
  </w:footnote>
  <w:footnote w:type="continuationSeparator" w:id="0">
    <w:p w:rsidR="00AD6F10" w:rsidRDefault="00AD6F10">
      <w:r>
        <w:continuationSeparator/>
      </w:r>
    </w:p>
  </w:footnote>
  <w:footnote w:id="1">
    <w:p w:rsidR="00516340" w:rsidRPr="00283BD6" w:rsidRDefault="00516340">
      <w:pPr>
        <w:pStyle w:val="FootnoteText"/>
        <w:rPr>
          <w:sz w:val="18"/>
          <w:szCs w:val="18"/>
          <w:lang w:val="es-ES"/>
        </w:rPr>
      </w:pPr>
      <w:r w:rsidRPr="00283BD6">
        <w:rPr>
          <w:rStyle w:val="FootnoteReference"/>
          <w:sz w:val="18"/>
          <w:szCs w:val="18"/>
          <w:lang w:val="es-ES"/>
        </w:rPr>
        <w:footnoteRef/>
      </w:r>
      <w:r w:rsidRPr="00283BD6">
        <w:rPr>
          <w:sz w:val="18"/>
          <w:szCs w:val="18"/>
          <w:lang w:val="es-ES"/>
        </w:rPr>
        <w:t xml:space="preserve"> Fuente: documentos de personal de la OCDE distribuidos en la reunión del Bloque </w:t>
      </w:r>
      <w:r>
        <w:rPr>
          <w:sz w:val="18"/>
          <w:szCs w:val="18"/>
          <w:lang w:val="es-ES"/>
        </w:rPr>
        <w:t>t</w:t>
      </w:r>
      <w:r w:rsidRPr="00283BD6">
        <w:rPr>
          <w:sz w:val="18"/>
          <w:szCs w:val="18"/>
          <w:lang w:val="es-ES"/>
        </w:rPr>
        <w:t xml:space="preserve">emático de Busan sobre </w:t>
      </w:r>
      <w:r>
        <w:rPr>
          <w:sz w:val="18"/>
          <w:szCs w:val="18"/>
          <w:lang w:val="es-ES"/>
        </w:rPr>
        <w:t>c</w:t>
      </w:r>
      <w:r w:rsidRPr="00283BD6">
        <w:rPr>
          <w:sz w:val="18"/>
          <w:szCs w:val="18"/>
          <w:lang w:val="es-ES"/>
        </w:rPr>
        <w:t xml:space="preserve">ooperación público-privada para el </w:t>
      </w:r>
      <w:r>
        <w:rPr>
          <w:sz w:val="18"/>
          <w:szCs w:val="18"/>
          <w:lang w:val="es-ES"/>
        </w:rPr>
        <w:t>d</w:t>
      </w:r>
      <w:r w:rsidRPr="00283BD6">
        <w:rPr>
          <w:sz w:val="18"/>
          <w:szCs w:val="18"/>
          <w:lang w:val="es-ES"/>
        </w:rPr>
        <w:t>esarrollo, 27 de junio de 2012, delegación coreana ante la OCDE, París</w:t>
      </w:r>
    </w:p>
  </w:footnote>
  <w:footnote w:id="2">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http://www.usaid.gov/news-information/fact-sheets/private-capital-group-africa</w:t>
      </w:r>
    </w:p>
  </w:footnote>
  <w:footnote w:id="3">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http://www.kimberleyprocess.com</w:t>
      </w:r>
    </w:p>
  </w:footnote>
  <w:footnote w:id="4">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http://www.euflegt.efi.int</w:t>
      </w:r>
    </w:p>
  </w:footnote>
  <w:footnote w:id="5">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http://www.constructiontransparency.org/</w:t>
      </w:r>
    </w:p>
  </w:footnote>
  <w:footnote w:id="6">
    <w:p w:rsidR="00516340" w:rsidRPr="00283BD6" w:rsidRDefault="00516340" w:rsidP="0059203D">
      <w:pPr>
        <w:rPr>
          <w:sz w:val="18"/>
          <w:szCs w:val="18"/>
          <w:lang w:val="es-ES"/>
        </w:rPr>
      </w:pPr>
      <w:r w:rsidRPr="00283BD6">
        <w:rPr>
          <w:rStyle w:val="FootnoteReference"/>
          <w:sz w:val="18"/>
          <w:szCs w:val="18"/>
          <w:lang w:val="es-ES"/>
        </w:rPr>
        <w:footnoteRef/>
      </w:r>
      <w:r w:rsidRPr="00283BD6">
        <w:rPr>
          <w:sz w:val="18"/>
          <w:szCs w:val="18"/>
          <w:lang w:val="es-ES"/>
        </w:rPr>
        <w:t xml:space="preserve">Reunión de Ministros de Finanzas del G20 y Gobernadores del bancos centrales, 15 y 16 de febrero de 2013, Moscú </w:t>
      </w:r>
      <w:hyperlink r:id="rId1" w:history="1">
        <w:r w:rsidRPr="002A0851">
          <w:rPr>
            <w:rStyle w:val="Hyperlink"/>
            <w:sz w:val="18"/>
            <w:szCs w:val="18"/>
            <w:lang w:val="es-ES"/>
          </w:rPr>
          <w:t>http://www.g20.org/events_financial_track/20130215/780960861.html</w:t>
        </w:r>
      </w:hyperlink>
      <w:r>
        <w:rPr>
          <w:sz w:val="18"/>
          <w:szCs w:val="18"/>
          <w:lang w:val="es-ES"/>
        </w:rPr>
        <w:t xml:space="preserve"> </w:t>
      </w:r>
      <w:r w:rsidRPr="00283BD6">
        <w:rPr>
          <w:sz w:val="18"/>
          <w:szCs w:val="18"/>
          <w:lang w:val="es-ES"/>
        </w:rPr>
        <w:t xml:space="preserve">y Proyecto de la OCDE sobre inversores institucionales e inversión a largo plazo </w:t>
      </w:r>
      <w:hyperlink r:id="rId2" w:history="1">
        <w:r w:rsidRPr="002A0851">
          <w:rPr>
            <w:rStyle w:val="Hyperlink"/>
            <w:sz w:val="18"/>
            <w:szCs w:val="18"/>
            <w:lang w:val="es-ES"/>
          </w:rPr>
          <w:t>http://www.oecd.org/finance/institutionalinvestorsandlong-terminvestment.htm</w:t>
        </w:r>
      </w:hyperlink>
      <w:r>
        <w:rPr>
          <w:sz w:val="18"/>
          <w:szCs w:val="18"/>
          <w:lang w:val="es-ES"/>
        </w:rPr>
        <w:t xml:space="preserve"> </w:t>
      </w:r>
    </w:p>
  </w:footnote>
  <w:footnote w:id="7">
    <w:p w:rsidR="00516340" w:rsidRPr="00283BD6" w:rsidRDefault="00516340" w:rsidP="00D14261">
      <w:pPr>
        <w:pStyle w:val="Heading3"/>
        <w:rPr>
          <w:b w:val="0"/>
          <w:i w:val="0"/>
          <w:sz w:val="18"/>
          <w:szCs w:val="18"/>
          <w:lang w:val="es-ES"/>
        </w:rPr>
      </w:pPr>
      <w:r w:rsidRPr="00283BD6">
        <w:rPr>
          <w:rStyle w:val="FootnoteReference"/>
          <w:sz w:val="18"/>
          <w:szCs w:val="18"/>
          <w:lang w:val="es-ES"/>
        </w:rPr>
        <w:footnoteRef/>
      </w:r>
      <w:r w:rsidRPr="00283BD6">
        <w:rPr>
          <w:b w:val="0"/>
          <w:i w:val="0"/>
          <w:sz w:val="18"/>
          <w:szCs w:val="18"/>
          <w:lang w:val="es-ES"/>
        </w:rPr>
        <w:t xml:space="preserve">Como por ejemplo el Estándar del </w:t>
      </w:r>
      <w:r w:rsidRPr="00C7588F">
        <w:rPr>
          <w:b w:val="0"/>
          <w:i w:val="0"/>
          <w:sz w:val="18"/>
          <w:szCs w:val="18"/>
          <w:lang w:val="es-ES"/>
        </w:rPr>
        <w:t>Comité de Donantes para el Desarrollo Empresarial (CDDE) para la Medición de Resultados, los mecanismos de seguimiento y evaluación de las IFD, las Normas de Buenas Prácticas para la Evaluación de los Bancos Multilaterales de Desarrollo, y los indicadores del G20 para</w:t>
      </w:r>
      <w:r w:rsidRPr="00283BD6">
        <w:rPr>
          <w:b w:val="0"/>
          <w:i w:val="0"/>
          <w:sz w:val="18"/>
          <w:szCs w:val="18"/>
          <w:lang w:val="es-ES"/>
        </w:rPr>
        <w:t xml:space="preserve"> medir el valor añadido de la inversión privada.</w:t>
      </w:r>
    </w:p>
  </w:footnote>
  <w:footnote w:id="8">
    <w:p w:rsidR="00516340" w:rsidRPr="00283BD6" w:rsidRDefault="00516340" w:rsidP="0052045C">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w:t>
      </w:r>
      <w:hyperlink r:id="rId3" w:history="1">
        <w:r w:rsidRPr="00283BD6">
          <w:rPr>
            <w:rStyle w:val="Hyperlink"/>
            <w:rFonts w:cs="Arial"/>
            <w:sz w:val="18"/>
            <w:szCs w:val="18"/>
            <w:lang w:val="es-ES"/>
          </w:rPr>
          <w:t>http://www.boell.org/downloads/2-2012_G20_DWG_Seoul_Meeting_DraftParticipants_List_(as_of_mar.docx</w:t>
        </w:r>
      </w:hyperlink>
      <w:r w:rsidRPr="00283BD6">
        <w:rPr>
          <w:rFonts w:cs="Arial"/>
          <w:sz w:val="18"/>
          <w:szCs w:val="18"/>
          <w:lang w:val="es-ES"/>
        </w:rPr>
        <w:t xml:space="preserve"> </w:t>
      </w:r>
    </w:p>
  </w:footnote>
  <w:footnote w:id="9">
    <w:p w:rsidR="00516340" w:rsidRPr="00283BD6" w:rsidRDefault="00516340" w:rsidP="00F458B7">
      <w:pPr>
        <w:pStyle w:val="FootnoteText"/>
        <w:rPr>
          <w:sz w:val="18"/>
          <w:szCs w:val="18"/>
          <w:lang w:val="es-ES"/>
        </w:rPr>
      </w:pPr>
      <w:r w:rsidRPr="00283BD6">
        <w:rPr>
          <w:rStyle w:val="FootnoteReference"/>
          <w:rFonts w:cs="Arial"/>
          <w:sz w:val="18"/>
          <w:szCs w:val="18"/>
          <w:lang w:val="es-ES"/>
        </w:rPr>
        <w:footnoteRef/>
      </w:r>
      <w:hyperlink r:id="rId4" w:history="1">
        <w:r w:rsidRPr="00283BD6">
          <w:rPr>
            <w:rStyle w:val="Hyperlink"/>
            <w:rFonts w:cs="Arial"/>
            <w:sz w:val="18"/>
            <w:szCs w:val="18"/>
            <w:lang w:val="es-ES"/>
          </w:rPr>
          <w:t>http://siteresources.worldbank.org/INTINFRA/Resources/Transformationthroughinfrastructure.pdf</w:t>
        </w:r>
      </w:hyperlink>
      <w:r w:rsidRPr="00283BD6">
        <w:rPr>
          <w:rFonts w:cs="Arial"/>
          <w:sz w:val="18"/>
          <w:szCs w:val="18"/>
          <w:lang w:val="es-ES"/>
        </w:rPr>
        <w:t xml:space="preserve"> </w:t>
      </w:r>
    </w:p>
  </w:footnote>
  <w:footnote w:id="10">
    <w:p w:rsidR="00516340" w:rsidRPr="00283BD6" w:rsidRDefault="00516340" w:rsidP="006B7466">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w:t>
      </w:r>
      <w:hyperlink r:id="rId5" w:history="1">
        <w:r w:rsidRPr="00283BD6">
          <w:rPr>
            <w:rStyle w:val="Hyperlink"/>
            <w:rFonts w:cs="Arial"/>
            <w:sz w:val="18"/>
            <w:szCs w:val="18"/>
            <w:lang w:val="es-ES"/>
          </w:rPr>
          <w:t>http://www.boell.org/downloads/COMMUNIQUE_HLP.pdf</w:t>
        </w:r>
      </w:hyperlink>
      <w:r w:rsidRPr="00283BD6">
        <w:rPr>
          <w:rFonts w:cs="Arial"/>
          <w:sz w:val="18"/>
          <w:szCs w:val="18"/>
          <w:lang w:val="es-ES"/>
        </w:rPr>
        <w:t xml:space="preserve"> </w:t>
      </w:r>
    </w:p>
  </w:footnote>
  <w:footnote w:id="11">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as</w:t>
      </w:r>
      <w:r>
        <w:rPr>
          <w:rFonts w:cs="Arial"/>
          <w:sz w:val="18"/>
          <w:szCs w:val="18"/>
          <w:lang w:val="es-ES"/>
        </w:rPr>
        <w:t>í como el Marco de Políticas de Inversión para el Desarrollo Sostenible de la UNCTAD</w:t>
      </w:r>
      <w:r w:rsidRPr="00283BD6">
        <w:rPr>
          <w:rFonts w:cs="Arial"/>
          <w:sz w:val="18"/>
          <w:szCs w:val="18"/>
          <w:lang w:val="es-ES"/>
        </w:rPr>
        <w:t xml:space="preserve"> </w:t>
      </w:r>
      <w:r>
        <w:rPr>
          <w:rFonts w:cs="Arial"/>
          <w:sz w:val="18"/>
          <w:szCs w:val="18"/>
          <w:lang w:val="es-ES"/>
        </w:rPr>
        <w:t>y el Marco de Política de Inversión de la OCDE</w:t>
      </w:r>
    </w:p>
  </w:footnote>
  <w:footnote w:id="12">
    <w:p w:rsidR="00516340" w:rsidRPr="00F149CC" w:rsidRDefault="00516340" w:rsidP="00210910">
      <w:pPr>
        <w:pStyle w:val="FootnoteText"/>
      </w:pPr>
      <w:r>
        <w:rPr>
          <w:rStyle w:val="FootnoteReference"/>
        </w:rPr>
        <w:footnoteRef/>
      </w:r>
      <w:r>
        <w:t xml:space="preserve"> </w:t>
      </w:r>
      <w:hyperlink r:id="rId6" w:history="1">
        <w:r>
          <w:rPr>
            <w:rStyle w:val="Hyperlink"/>
          </w:rPr>
          <w:t>http://www.governo.it/GovernoInforma/Dossier/decreto_fare/</w:t>
        </w:r>
      </w:hyperlink>
    </w:p>
  </w:footnote>
  <w:footnote w:id="13">
    <w:p w:rsidR="00516340" w:rsidRPr="00283BD6" w:rsidRDefault="00516340" w:rsidP="001F61FD">
      <w:pPr>
        <w:pStyle w:val="FootnoteText"/>
        <w:rPr>
          <w:lang w:val="es-ES"/>
        </w:rPr>
      </w:pPr>
      <w:r w:rsidRPr="00283BD6">
        <w:rPr>
          <w:rStyle w:val="FootnoteReference"/>
          <w:lang w:val="es-ES"/>
        </w:rPr>
        <w:footnoteRef/>
      </w:r>
      <w:r w:rsidRPr="00283BD6">
        <w:rPr>
          <w:lang w:val="es-ES"/>
        </w:rPr>
        <w:t xml:space="preserve"> </w:t>
      </w:r>
      <w:r>
        <w:rPr>
          <w:lang w:val="es-ES"/>
        </w:rPr>
        <w:t>Informe de la CSI</w:t>
      </w:r>
      <w:r w:rsidRPr="00283BD6">
        <w:rPr>
          <w:lang w:val="es-ES"/>
        </w:rPr>
        <w:t xml:space="preserve">/TUAC </w:t>
      </w:r>
      <w:r>
        <w:rPr>
          <w:lang w:val="es-ES"/>
        </w:rPr>
        <w:t>de una reunión del Bloque temático sobre cooperación público-privada para el desarrollo, 27 de junio de 2012, delegación coreana ante la OCDE, París</w:t>
      </w:r>
    </w:p>
  </w:footnote>
  <w:footnote w:id="14">
    <w:p w:rsidR="00516340" w:rsidRPr="00283BD6" w:rsidRDefault="00516340">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www.inclusive-business.org/tools</w:t>
      </w:r>
    </w:p>
  </w:footnote>
  <w:footnote w:id="15">
    <w:p w:rsidR="00516340" w:rsidRPr="00283BD6" w:rsidRDefault="00516340" w:rsidP="00DB6F4E">
      <w:pPr>
        <w:pStyle w:val="FootnoteText"/>
        <w:rPr>
          <w:sz w:val="18"/>
          <w:szCs w:val="18"/>
          <w:lang w:val="es-ES"/>
        </w:rPr>
      </w:pPr>
      <w:r w:rsidRPr="00283BD6">
        <w:rPr>
          <w:rStyle w:val="FootnoteReference"/>
          <w:sz w:val="18"/>
          <w:szCs w:val="18"/>
          <w:lang w:val="es-ES"/>
        </w:rPr>
        <w:footnoteRef/>
      </w:r>
      <w:r w:rsidRPr="00283BD6">
        <w:rPr>
          <w:sz w:val="18"/>
          <w:szCs w:val="18"/>
          <w:lang w:val="es-ES"/>
        </w:rPr>
        <w:t xml:space="preserve"> Coherencia de las Políticas para el Desarrollo – La OCDE invita a opinar sobre su próxima Estrategia sobre Desarrollo</w:t>
      </w:r>
    </w:p>
    <w:p w:rsidR="00516340" w:rsidRPr="00283BD6" w:rsidRDefault="00AD6F10" w:rsidP="00A00F40">
      <w:pPr>
        <w:pStyle w:val="Footer"/>
        <w:rPr>
          <w:szCs w:val="18"/>
          <w:lang w:val="es-ES"/>
        </w:rPr>
      </w:pPr>
      <w:hyperlink r:id="rId7" w:history="1">
        <w:r w:rsidR="00516340" w:rsidRPr="00313D84">
          <w:rPr>
            <w:rStyle w:val="Hyperlink"/>
            <w:szCs w:val="18"/>
            <w:lang w:val="es-ES"/>
          </w:rPr>
          <w:t>http://www.oecd.org/pcd/theoecdseeksviewsonitsforthcomingstrategyondevelopment.htm</w:t>
        </w:r>
      </w:hyperlink>
      <w:r w:rsidR="00516340">
        <w:rPr>
          <w:szCs w:val="18"/>
          <w:lang w:val="es-ES"/>
        </w:rPr>
        <w:t xml:space="preserve"> </w:t>
      </w:r>
    </w:p>
  </w:footnote>
  <w:footnote w:id="16">
    <w:p w:rsidR="00516340" w:rsidRPr="00283BD6" w:rsidRDefault="00516340" w:rsidP="004F21AB">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Véase el Programa para el Cambio de la UE en </w:t>
      </w:r>
      <w:hyperlink r:id="rId8" w:history="1">
        <w:r w:rsidRPr="00283BD6">
          <w:rPr>
            <w:rStyle w:val="Hyperlink"/>
            <w:rFonts w:cs="Arial"/>
            <w:sz w:val="18"/>
            <w:szCs w:val="18"/>
            <w:lang w:val="es-ES"/>
          </w:rPr>
          <w:t>http://ec.europa.eu/europeaid/what/development-policies/documents/agenda_for_change_es.pdf</w:t>
        </w:r>
      </w:hyperlink>
    </w:p>
  </w:footnote>
  <w:footnote w:id="17">
    <w:p w:rsidR="00516340" w:rsidRPr="00283BD6" w:rsidRDefault="00516340" w:rsidP="00B8523B">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Véase por ejemplo </w:t>
      </w:r>
      <w:r>
        <w:rPr>
          <w:rFonts w:cs="Arial"/>
          <w:sz w:val="18"/>
          <w:szCs w:val="18"/>
          <w:lang w:val="es-ES"/>
        </w:rPr>
        <w:t>“</w:t>
      </w:r>
      <w:r w:rsidRPr="00283BD6">
        <w:rPr>
          <w:rFonts w:cs="Arial"/>
          <w:sz w:val="18"/>
          <w:szCs w:val="18"/>
          <w:lang w:val="es-ES"/>
        </w:rPr>
        <w:t>Conceptualising empowerment and the implications for pro poor growth</w:t>
      </w:r>
      <w:r>
        <w:rPr>
          <w:rFonts w:cs="Arial"/>
          <w:sz w:val="18"/>
          <w:szCs w:val="18"/>
          <w:lang w:val="es-ES"/>
        </w:rPr>
        <w:t>”</w:t>
      </w:r>
      <w:r w:rsidRPr="00283BD6">
        <w:rPr>
          <w:rFonts w:cs="Arial"/>
          <w:sz w:val="18"/>
          <w:szCs w:val="18"/>
          <w:lang w:val="es-ES"/>
        </w:rPr>
        <w:t xml:space="preserve">, Rosalind Eyben, Naila Kabeer y Andrea Cornwall, </w:t>
      </w:r>
      <w:r>
        <w:rPr>
          <w:rFonts w:cs="Arial"/>
          <w:sz w:val="18"/>
          <w:szCs w:val="18"/>
          <w:lang w:val="es-ES"/>
        </w:rPr>
        <w:t xml:space="preserve">informe presentado a la red </w:t>
      </w:r>
      <w:r w:rsidRPr="00283BD6">
        <w:rPr>
          <w:rFonts w:cs="Arial"/>
          <w:sz w:val="18"/>
          <w:szCs w:val="18"/>
          <w:lang w:val="es-ES"/>
        </w:rPr>
        <w:t>POVNET</w:t>
      </w:r>
      <w:r>
        <w:rPr>
          <w:rFonts w:cs="Arial"/>
          <w:sz w:val="18"/>
          <w:szCs w:val="18"/>
          <w:lang w:val="es-ES"/>
        </w:rPr>
        <w:t xml:space="preserve"> del CAD sobre potenciación, Instituto de Estudios sobre Desarrollo</w:t>
      </w:r>
      <w:r w:rsidRPr="00283BD6">
        <w:rPr>
          <w:rFonts w:cs="Arial"/>
          <w:sz w:val="18"/>
          <w:szCs w:val="18"/>
          <w:lang w:val="es-ES"/>
        </w:rPr>
        <w:t>, Londres, 21 de septiembre de 2008</w:t>
      </w:r>
    </w:p>
  </w:footnote>
  <w:footnote w:id="18">
    <w:p w:rsidR="00516340" w:rsidRPr="00283BD6" w:rsidRDefault="00516340">
      <w:pPr>
        <w:pStyle w:val="FootnoteText"/>
        <w:rPr>
          <w:lang w:val="es-ES"/>
        </w:rPr>
      </w:pPr>
      <w:r w:rsidRPr="00283BD6">
        <w:rPr>
          <w:rStyle w:val="FootnoteReference"/>
          <w:lang w:val="es-ES"/>
        </w:rPr>
        <w:footnoteRef/>
      </w:r>
      <w:r w:rsidRPr="00283BD6">
        <w:rPr>
          <w:lang w:val="es-ES"/>
        </w:rPr>
        <w:t xml:space="preserve"> </w:t>
      </w:r>
      <w:hyperlink r:id="rId9" w:history="1">
        <w:r w:rsidRPr="00283BD6">
          <w:rPr>
            <w:rStyle w:val="Hyperlink"/>
            <w:lang w:val="es-ES"/>
          </w:rPr>
          <w:t>http://www.ituc-csi.org/development-cooperation?lang=es</w:t>
        </w:r>
      </w:hyperlink>
      <w:r w:rsidRPr="00283BD6">
        <w:rPr>
          <w:lang w:val="es-ES"/>
        </w:rPr>
        <w:t xml:space="preserve"> </w:t>
      </w:r>
    </w:p>
  </w:footnote>
  <w:footnote w:id="19">
    <w:p w:rsidR="00516340" w:rsidRPr="00283BD6" w:rsidRDefault="00516340" w:rsidP="004F21AB">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0" w:history="1">
        <w:r w:rsidRPr="00283BD6">
          <w:rPr>
            <w:rStyle w:val="Hyperlink"/>
            <w:sz w:val="18"/>
            <w:szCs w:val="18"/>
            <w:lang w:val="es-ES"/>
          </w:rPr>
          <w:t>http://www.ilo.org/public/english/dw/ilo-dw-spanish-web.swf</w:t>
        </w:r>
      </w:hyperlink>
      <w:r w:rsidRPr="00283BD6">
        <w:rPr>
          <w:sz w:val="18"/>
          <w:szCs w:val="18"/>
          <w:lang w:val="es-ES"/>
        </w:rPr>
        <w:t xml:space="preserve"> </w:t>
      </w:r>
    </w:p>
  </w:footnote>
  <w:footnote w:id="20">
    <w:p w:rsidR="00516340" w:rsidRPr="00283BD6" w:rsidRDefault="00516340">
      <w:pPr>
        <w:pStyle w:val="FootnoteText"/>
        <w:rPr>
          <w:lang w:val="es-ES"/>
        </w:rPr>
      </w:pPr>
      <w:r w:rsidRPr="00283BD6">
        <w:rPr>
          <w:rStyle w:val="FootnoteReference"/>
          <w:sz w:val="18"/>
          <w:szCs w:val="18"/>
          <w:lang w:val="es-ES"/>
        </w:rPr>
        <w:footnoteRef/>
      </w:r>
      <w:r w:rsidRPr="00283BD6">
        <w:rPr>
          <w:sz w:val="18"/>
          <w:szCs w:val="18"/>
          <w:lang w:val="es-ES"/>
        </w:rPr>
        <w:t xml:space="preserve"> </w:t>
      </w:r>
      <w:hyperlink r:id="rId11" w:history="1">
        <w:r w:rsidRPr="00283BD6">
          <w:rPr>
            <w:rStyle w:val="Hyperlink"/>
            <w:sz w:val="18"/>
            <w:szCs w:val="18"/>
            <w:lang w:val="es-ES"/>
          </w:rPr>
          <w:t>http://www.ilo.org/jobspact/lang--es/index.htm</w:t>
        </w:r>
      </w:hyperlink>
      <w:r w:rsidRPr="00283BD6">
        <w:rPr>
          <w:lang w:val="es-ES"/>
        </w:rPr>
        <w:t xml:space="preserve"> </w:t>
      </w:r>
    </w:p>
  </w:footnote>
  <w:footnote w:id="21">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2" w:history="1">
        <w:r w:rsidRPr="00283BD6">
          <w:rPr>
            <w:rStyle w:val="Hyperlink"/>
            <w:rFonts w:cs="Arial"/>
            <w:sz w:val="18"/>
            <w:szCs w:val="18"/>
            <w:lang w:val="es-ES"/>
          </w:rPr>
          <w:t>http://www.norad.no/en/tools-and-publications/publications/norad-reports/publication?key=268452</w:t>
        </w:r>
      </w:hyperlink>
    </w:p>
  </w:footnote>
  <w:footnote w:id="22">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3" w:history="1">
        <w:r w:rsidRPr="00283BD6">
          <w:rPr>
            <w:rStyle w:val="Hyperlink"/>
            <w:rFonts w:cs="Arial"/>
            <w:sz w:val="18"/>
            <w:szCs w:val="18"/>
            <w:lang w:val="es-ES"/>
          </w:rPr>
          <w:t>http://www.ilo.org/wcmsp5/groups/public/---ed_emp/---emp_ent/documents/publication/wcms_176786.pdf</w:t>
        </w:r>
      </w:hyperlink>
    </w:p>
  </w:footnote>
  <w:footnote w:id="23">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4" w:history="1">
        <w:r w:rsidRPr="00283BD6">
          <w:rPr>
            <w:rStyle w:val="Hyperlink"/>
            <w:rFonts w:cs="Arial"/>
            <w:sz w:val="18"/>
            <w:szCs w:val="18"/>
            <w:lang w:val="es-ES"/>
          </w:rPr>
          <w:t>http://www.ilo.org/public/english/bureau/program/dwcp/index.htm</w:t>
        </w:r>
      </w:hyperlink>
    </w:p>
  </w:footnote>
  <w:footnote w:id="24">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5" w:history="1">
        <w:r w:rsidRPr="00283BD6">
          <w:rPr>
            <w:rStyle w:val="Hyperlink"/>
            <w:rFonts w:cs="Arial"/>
            <w:sz w:val="18"/>
            <w:szCs w:val="18"/>
            <w:lang w:val="es-ES"/>
          </w:rPr>
          <w:t>http://www.osloconference2010.org/</w:t>
        </w:r>
      </w:hyperlink>
    </w:p>
  </w:footnote>
  <w:footnote w:id="25">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sz w:val="18"/>
          <w:szCs w:val="18"/>
          <w:lang w:val="es-ES"/>
        </w:rPr>
        <w:t xml:space="preserve"> </w:t>
      </w:r>
      <w:hyperlink r:id="rId16" w:history="1">
        <w:r w:rsidRPr="00283BD6">
          <w:rPr>
            <w:rStyle w:val="Hyperlink"/>
            <w:sz w:val="18"/>
            <w:szCs w:val="18"/>
            <w:lang w:val="es-ES"/>
          </w:rPr>
          <w:t>http://www.ituc-csi.org/dialogo-social-un-objetivo?lang=es</w:t>
        </w:r>
      </w:hyperlink>
      <w:r w:rsidRPr="00283BD6">
        <w:rPr>
          <w:sz w:val="18"/>
          <w:szCs w:val="18"/>
          <w:lang w:val="es-ES"/>
        </w:rPr>
        <w:t xml:space="preserve"> </w:t>
      </w:r>
    </w:p>
  </w:footnote>
  <w:footnote w:id="26">
    <w:p w:rsidR="00516340" w:rsidRPr="00283BD6" w:rsidRDefault="00516340" w:rsidP="002218D9">
      <w:pPr>
        <w:pStyle w:val="FootnoteText"/>
        <w:rPr>
          <w:sz w:val="18"/>
          <w:szCs w:val="18"/>
          <w:lang w:val="es-ES"/>
        </w:rPr>
      </w:pPr>
      <w:r w:rsidRPr="00283BD6">
        <w:rPr>
          <w:rStyle w:val="FootnoteReference"/>
          <w:rFonts w:cs="Arial"/>
          <w:sz w:val="18"/>
          <w:szCs w:val="18"/>
          <w:lang w:val="es-ES"/>
        </w:rPr>
        <w:footnoteRef/>
      </w:r>
      <w:r w:rsidRPr="00283BD6">
        <w:rPr>
          <w:rFonts w:cs="Arial"/>
          <w:sz w:val="18"/>
          <w:szCs w:val="18"/>
          <w:lang w:val="es-ES"/>
        </w:rPr>
        <w:t xml:space="preserve"> PRODIAF Promo</w:t>
      </w:r>
      <w:r>
        <w:rPr>
          <w:rFonts w:cs="Arial"/>
          <w:sz w:val="18"/>
          <w:szCs w:val="18"/>
          <w:lang w:val="es-ES"/>
        </w:rPr>
        <w:t>ción del Diálogo Social en África</w:t>
      </w:r>
      <w:r w:rsidRPr="00283BD6">
        <w:rPr>
          <w:rFonts w:cs="Arial"/>
          <w:sz w:val="18"/>
          <w:szCs w:val="18"/>
          <w:lang w:val="es-ES"/>
        </w:rPr>
        <w:t xml:space="preserve"> </w:t>
      </w:r>
      <w:hyperlink r:id="rId17" w:history="1">
        <w:r w:rsidRPr="00283BD6">
          <w:rPr>
            <w:rStyle w:val="Hyperlink"/>
            <w:rFonts w:cs="Arial"/>
            <w:sz w:val="18"/>
            <w:szCs w:val="18"/>
            <w:lang w:val="es-ES"/>
          </w:rPr>
          <w:t>http://www.ilo.org/wcmsp5/groups/public/---ed_mas/---eval/documents/publication/wcms_160680.pdf</w:t>
        </w:r>
      </w:hyperlink>
    </w:p>
  </w:footnote>
  <w:footnote w:id="27">
    <w:p w:rsidR="00516340" w:rsidRPr="00283BD6" w:rsidRDefault="00516340" w:rsidP="00D932E8">
      <w:pPr>
        <w:rPr>
          <w:sz w:val="18"/>
          <w:szCs w:val="18"/>
          <w:lang w:val="es-ES"/>
        </w:rPr>
      </w:pPr>
      <w:r w:rsidRPr="00283BD6">
        <w:rPr>
          <w:rStyle w:val="FootnoteReference"/>
          <w:rFonts w:cs="Arial"/>
          <w:sz w:val="18"/>
          <w:szCs w:val="18"/>
          <w:lang w:val="es-ES" w:eastAsia="en-US"/>
        </w:rPr>
        <w:footnoteRef/>
      </w:r>
      <w:r w:rsidRPr="00283BD6">
        <w:rPr>
          <w:rFonts w:cs="Arial"/>
          <w:sz w:val="18"/>
          <w:szCs w:val="18"/>
          <w:lang w:val="es-ES"/>
        </w:rPr>
        <w:t xml:space="preserve"> Cita de </w:t>
      </w:r>
      <w:r>
        <w:rPr>
          <w:rFonts w:cs="Arial"/>
          <w:sz w:val="18"/>
          <w:szCs w:val="18"/>
          <w:lang w:val="es-ES"/>
        </w:rPr>
        <w:t>“</w:t>
      </w:r>
      <w:r w:rsidRPr="00283BD6">
        <w:rPr>
          <w:rFonts w:cs="Arial"/>
          <w:sz w:val="18"/>
          <w:szCs w:val="18"/>
          <w:lang w:val="es-ES"/>
        </w:rPr>
        <w:t>Sector privado en el desarrollo</w:t>
      </w:r>
      <w:r>
        <w:rPr>
          <w:rFonts w:cs="Arial"/>
          <w:sz w:val="18"/>
          <w:szCs w:val="18"/>
          <w:lang w:val="es-ES"/>
        </w:rPr>
        <w:t>”</w:t>
      </w:r>
      <w:r w:rsidRPr="00283BD6">
        <w:rPr>
          <w:rFonts w:cs="Arial"/>
          <w:sz w:val="18"/>
          <w:szCs w:val="18"/>
          <w:lang w:val="es-ES"/>
        </w:rPr>
        <w:t xml:space="preserve">, Declaración sindical para el </w:t>
      </w:r>
      <w:r>
        <w:rPr>
          <w:rFonts w:cs="Arial"/>
          <w:sz w:val="18"/>
          <w:szCs w:val="18"/>
          <w:lang w:val="es-ES"/>
        </w:rPr>
        <w:t>IV</w:t>
      </w:r>
      <w:r w:rsidRPr="00283BD6">
        <w:rPr>
          <w:rFonts w:cs="Arial"/>
          <w:sz w:val="18"/>
          <w:szCs w:val="18"/>
          <w:lang w:val="es-ES"/>
        </w:rPr>
        <w:t xml:space="preserve"> Foro de Alto Nivel sobre la Eficacia de la Ayuda en Busan, noviembre de 2011, disponible en </w:t>
      </w:r>
      <w:hyperlink r:id="rId18" w:history="1">
        <w:r w:rsidRPr="00283BD6">
          <w:rPr>
            <w:rStyle w:val="Hyperlink"/>
            <w:rFonts w:cs="Arial"/>
            <w:sz w:val="18"/>
            <w:szCs w:val="18"/>
            <w:lang w:val="es-ES"/>
          </w:rPr>
          <w:t>http://www.ituc-csi.org/IMG/pdf/sector_privado.pdf</w:t>
        </w:r>
      </w:hyperlink>
      <w:r w:rsidRPr="00283BD6">
        <w:rPr>
          <w:rFonts w:cs="Arial"/>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0" w:rsidRDefault="00AD6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1.75pt;height:54.5pt;rotation:315;z-index:-251658752;mso-position-horizontal:center;mso-position-horizontal-relative:margin;mso-position-vertical:center;mso-position-vertical-relative:margin" wrapcoords="21349 1479 21210 1775 21127 2663 21071 5030 20737 1775 20264 0 20125 1479 16645 1479 16144 2071 15894 1184 15782 2367 15365 1479 15254 1775 15226 2959 14975 1775 14502 888 13751 1479 13222 888 12609 1775 12331 1479 12275 2071 12275 5030 11969 2071 11412 0 11273 1479 10661 1479 10494 1775 10299 4438 9714 1775 9520 1479 7348 1775 7293 2959 7293 5918 6875 2071 6402 0 6263 1479 4064 1775 4008 2071 3980 4142 3452 1479 3368 1775 3340 4142 2923 1479 2867 1479 2756 4438 2422 1775 2171 1479 2004 3255 1781 1479 1392 1775 1336 2959 1030 1775 612 888 84 1479 28 9173 111 13611 139 13907 306 15682 334 15978 612 15090 835 16570 1002 15682 1030 13019 1364 15682 1781 16274 1809 14499 1921 15682 2422 15978 2533 15682 3813 15682 4036 16570 4231 15682 4259 13611 4398 15386 5010 17162 5122 16274 5623 15682 5651 15090 5901 16274 6096 15682 6096 13315 6291 15090 6820 16274 6875 15090 7098 15978 7432 15682 7432 14203 7627 15682 7961 15682 8044 13611 8156 15090 8740 16274 8796 15090 8879 15978 9353 15682 9380 14795 9742 15978 9909 15682 9993 14499 10716 16274 10772 15978 11440 16570 11886 15682 11941 15090 12192 16274 12387 15682 12414 13611 12637 15682 12915 15682 13027 13315 13249 15682 13611 15978 13751 14203 14224 16866 14419 14795 14419 14499 15031 17162 15198 16274 15643 15682 15838 16274 16116 15682 16228 13611 16311 14795 16979 16570 17091 16570 17536 15682 17564 14795 17842 15978 17981 15386 18037 13019 18566 17162 18844 14795 18956 15682 19457 16274 19540 15682 20180 15682 20320 16570 20459 15682 20542 12723 20737 15090 21322 16866 21516 14795 21544 12723 21544 3255 21349 1479" fillcolor="silver" stroked="f">
          <v:fill opacity=".5"/>
          <v:textpath style="font-family:&quot;Calibri&quot;;font-size:1pt" string="UNICAMENTE PARA CONSULTAS INTERN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0" w:rsidRDefault="00AD6F10" w:rsidP="00C90AC0">
    <w:pPr>
      <w:pStyle w:val="Header"/>
      <w:pBdr>
        <w:bottom w:val="single" w:sz="4" w:space="1" w:color="auto"/>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81.75pt;height:54.5pt;rotation:315;z-index:-251657728;mso-position-horizontal:center;mso-position-horizontal-relative:margin;mso-position-vertical:center;mso-position-vertical-relative:margin" wrapcoords="21349 1479 21210 1775 21127 2663 21071 5030 20737 1775 20264 0 20125 1479 16645 1479 16144 2071 15894 1184 15782 2367 15365 1479 15254 1775 15226 2959 14975 1775 14502 888 13751 1479 13222 888 12609 1775 12331 1479 12275 2071 12275 5030 11969 2071 11412 0 11273 1479 10661 1479 10494 1775 10299 4438 9714 1775 9520 1479 7348 1775 7293 2959 7293 5918 6875 2071 6402 0 6263 1479 4064 1775 4008 2071 3980 4142 3452 1479 3368 1775 3340 4142 2923 1479 2867 1479 2756 4438 2422 1775 2171 1479 2004 3255 1781 1479 1392 1775 1336 2959 1030 1775 612 888 84 1479 28 9173 111 13611 139 13907 306 15682 334 15978 612 15090 835 16570 1002 15682 1030 13019 1364 15682 1781 16274 1809 14499 1921 15682 2422 15978 2533 15682 3813 15682 4036 16570 4231 15682 4259 13611 4398 15386 5010 17162 5122 16274 5623 15682 5651 15090 5901 16274 6096 15682 6096 13315 6291 15090 6820 16274 6875 15090 7098 15978 7432 15682 7432 14203 7627 15682 7961 15682 8044 13611 8156 15090 8740 16274 8796 15090 8879 15978 9353 15682 9380 14795 9742 15978 9909 15682 9993 14499 10716 16274 10772 15978 11440 16570 11886 15682 11941 15090 12192 16274 12387 15682 12414 13611 12637 15682 12915 15682 13027 13315 13249 15682 13611 15978 13751 14203 14224 16866 14419 14795 14419 14499 15031 17162 15198 16274 15643 15682 15838 16274 16116 15682 16228 13611 16311 14795 16979 16570 17091 16570 17536 15682 17564 14795 17842 15978 17981 15386 18037 13019 18566 17162 18844 14795 18956 15682 19457 16274 19540 15682 20180 15682 20320 16570 20459 15682 20542 12723 20737 15090 21322 16866 21516 14795 21544 12723 21544 3255 21349 1479" fillcolor="silver" stroked="f">
          <v:fill opacity=".5"/>
          <v:textpath style="font-family:&quot;Calibri&quot;;font-size:1pt" string="UNICAMENTE PARA CONSULTAS INTERNAS"/>
          <w10:wrap anchorx="margin" anchory="margin"/>
        </v:shape>
      </w:pict>
    </w:r>
    <w:r w:rsidR="00516340">
      <w:t>EL SECTOR PRIVADO Y SU PAPEL EN EL DESARROLLO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40" w:rsidRDefault="00AD6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1.75pt;height:54.5pt;rotation:315;z-index:-251659776;mso-position-horizontal:center;mso-position-horizontal-relative:margin;mso-position-vertical:center;mso-position-vertical-relative:margin" wrapcoords="21349 1479 21210 1775 21127 2663 21071 5030 20737 1775 20264 0 20125 1479 16645 1479 16144 2071 15894 1184 15782 2367 15365 1479 15254 1775 15226 2959 14975 1775 14502 888 13751 1479 13222 888 12609 1775 12331 1479 12275 2071 12275 5030 11969 2071 11412 0 11273 1479 10661 1479 10494 1775 10299 4438 9714 1775 9520 1479 7348 1775 7293 2959 7293 5918 6875 2071 6402 0 6263 1479 4064 1775 4008 2071 3980 4142 3452 1479 3368 1775 3340 4142 2923 1479 2867 1479 2756 4438 2422 1775 2171 1479 2004 3255 1781 1479 1392 1775 1336 2959 1030 1775 612 888 84 1479 28 9173 111 13611 139 13907 306 15682 334 15978 612 15090 835 16570 1002 15682 1030 13019 1364 15682 1781 16274 1809 14499 1921 15682 2422 15978 2533 15682 3813 15682 4036 16570 4231 15682 4259 13611 4398 15386 5010 17162 5122 16274 5623 15682 5651 15090 5901 16274 6096 15682 6096 13315 6291 15090 6820 16274 6875 15090 7098 15978 7432 15682 7432 14203 7627 15682 7961 15682 8044 13611 8156 15090 8740 16274 8796 15090 8879 15978 9353 15682 9380 14795 9742 15978 9909 15682 9993 14499 10716 16274 10772 15978 11440 16570 11886 15682 11941 15090 12192 16274 12387 15682 12414 13611 12637 15682 12915 15682 13027 13315 13249 15682 13611 15978 13751 14203 14224 16866 14419 14795 14419 14499 15031 17162 15198 16274 15643 15682 15838 16274 16116 15682 16228 13611 16311 14795 16979 16570 17091 16570 17536 15682 17564 14795 17842 15978 17981 15386 18037 13019 18566 17162 18844 14795 18956 15682 19457 16274 19540 15682 20180 15682 20320 16570 20459 15682 20542 12723 20737 15090 21322 16866 21516 14795 21544 12723 21544 3255 21349 1479" fillcolor="silver" stroked="f">
          <v:fill opacity=".5"/>
          <v:textpath style="font-family:&quot;Calibri&quot;;font-size:1pt" string="UNICAMENTE PARA CONSULTAS INTERN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13"/>
    <w:multiLevelType w:val="hybridMultilevel"/>
    <w:tmpl w:val="73724084"/>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5F2057"/>
    <w:multiLevelType w:val="hybridMultilevel"/>
    <w:tmpl w:val="DAA8E2CE"/>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3294F"/>
    <w:multiLevelType w:val="hybridMultilevel"/>
    <w:tmpl w:val="E530E330"/>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E91A30"/>
    <w:multiLevelType w:val="hybridMultilevel"/>
    <w:tmpl w:val="627CBDC2"/>
    <w:lvl w:ilvl="0" w:tplc="5F3E66DC">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nsid w:val="09570EB1"/>
    <w:multiLevelType w:val="hybridMultilevel"/>
    <w:tmpl w:val="1DD0231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A16E6"/>
    <w:multiLevelType w:val="hybridMultilevel"/>
    <w:tmpl w:val="43E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E0B41"/>
    <w:multiLevelType w:val="hybridMultilevel"/>
    <w:tmpl w:val="AA005E38"/>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0245760"/>
    <w:multiLevelType w:val="hybridMultilevel"/>
    <w:tmpl w:val="6F9403C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C04F52"/>
    <w:multiLevelType w:val="hybridMultilevel"/>
    <w:tmpl w:val="80ACDC7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4304DA"/>
    <w:multiLevelType w:val="hybridMultilevel"/>
    <w:tmpl w:val="A080C732"/>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F67DD"/>
    <w:multiLevelType w:val="hybridMultilevel"/>
    <w:tmpl w:val="FCE4494E"/>
    <w:lvl w:ilvl="0" w:tplc="77022158">
      <w:start w:val="1"/>
      <w:numFmt w:val="lowerRoman"/>
      <w:lvlText w:val="(%1)"/>
      <w:lvlJc w:val="left"/>
      <w:pPr>
        <w:tabs>
          <w:tab w:val="num" w:pos="1480"/>
        </w:tabs>
        <w:ind w:left="1480" w:hanging="720"/>
      </w:pPr>
      <w:rPr>
        <w:rFonts w:cs="Times New Roman" w:hint="default"/>
      </w:rPr>
    </w:lvl>
    <w:lvl w:ilvl="1" w:tplc="00190409">
      <w:start w:val="1"/>
      <w:numFmt w:val="lowerLetter"/>
      <w:lvlText w:val="%2."/>
      <w:lvlJc w:val="left"/>
      <w:pPr>
        <w:tabs>
          <w:tab w:val="num" w:pos="1840"/>
        </w:tabs>
        <w:ind w:left="1840" w:hanging="360"/>
      </w:pPr>
      <w:rPr>
        <w:rFonts w:cs="Times New Roman"/>
      </w:rPr>
    </w:lvl>
    <w:lvl w:ilvl="2" w:tplc="001B0409">
      <w:start w:val="1"/>
      <w:numFmt w:val="lowerRoman"/>
      <w:lvlText w:val="%3."/>
      <w:lvlJc w:val="right"/>
      <w:pPr>
        <w:tabs>
          <w:tab w:val="num" w:pos="2560"/>
        </w:tabs>
        <w:ind w:left="2560" w:hanging="180"/>
      </w:pPr>
      <w:rPr>
        <w:rFonts w:cs="Times New Roman"/>
      </w:rPr>
    </w:lvl>
    <w:lvl w:ilvl="3" w:tplc="000F0409">
      <w:start w:val="1"/>
      <w:numFmt w:val="decimal"/>
      <w:lvlText w:val="%4."/>
      <w:lvlJc w:val="left"/>
      <w:pPr>
        <w:tabs>
          <w:tab w:val="num" w:pos="3280"/>
        </w:tabs>
        <w:ind w:left="3280" w:hanging="360"/>
      </w:pPr>
      <w:rPr>
        <w:rFonts w:cs="Times New Roman"/>
      </w:rPr>
    </w:lvl>
    <w:lvl w:ilvl="4" w:tplc="00190409">
      <w:start w:val="1"/>
      <w:numFmt w:val="lowerLetter"/>
      <w:lvlText w:val="%5."/>
      <w:lvlJc w:val="left"/>
      <w:pPr>
        <w:tabs>
          <w:tab w:val="num" w:pos="4000"/>
        </w:tabs>
        <w:ind w:left="4000" w:hanging="360"/>
      </w:pPr>
      <w:rPr>
        <w:rFonts w:cs="Times New Roman"/>
      </w:rPr>
    </w:lvl>
    <w:lvl w:ilvl="5" w:tplc="001B0409">
      <w:start w:val="1"/>
      <w:numFmt w:val="lowerRoman"/>
      <w:lvlText w:val="%6."/>
      <w:lvlJc w:val="right"/>
      <w:pPr>
        <w:tabs>
          <w:tab w:val="num" w:pos="4720"/>
        </w:tabs>
        <w:ind w:left="4720" w:hanging="180"/>
      </w:pPr>
      <w:rPr>
        <w:rFonts w:cs="Times New Roman"/>
      </w:rPr>
    </w:lvl>
    <w:lvl w:ilvl="6" w:tplc="000F0409">
      <w:start w:val="1"/>
      <w:numFmt w:val="decimal"/>
      <w:lvlText w:val="%7."/>
      <w:lvlJc w:val="left"/>
      <w:pPr>
        <w:tabs>
          <w:tab w:val="num" w:pos="5440"/>
        </w:tabs>
        <w:ind w:left="5440" w:hanging="360"/>
      </w:pPr>
      <w:rPr>
        <w:rFonts w:cs="Times New Roman"/>
      </w:rPr>
    </w:lvl>
    <w:lvl w:ilvl="7" w:tplc="00190409">
      <w:start w:val="1"/>
      <w:numFmt w:val="lowerLetter"/>
      <w:lvlText w:val="%8."/>
      <w:lvlJc w:val="left"/>
      <w:pPr>
        <w:tabs>
          <w:tab w:val="num" w:pos="6160"/>
        </w:tabs>
        <w:ind w:left="6160" w:hanging="360"/>
      </w:pPr>
      <w:rPr>
        <w:rFonts w:cs="Times New Roman"/>
      </w:rPr>
    </w:lvl>
    <w:lvl w:ilvl="8" w:tplc="001B0409">
      <w:start w:val="1"/>
      <w:numFmt w:val="lowerRoman"/>
      <w:lvlText w:val="%9."/>
      <w:lvlJc w:val="right"/>
      <w:pPr>
        <w:tabs>
          <w:tab w:val="num" w:pos="6880"/>
        </w:tabs>
        <w:ind w:left="6880" w:hanging="180"/>
      </w:pPr>
      <w:rPr>
        <w:rFonts w:cs="Times New Roman"/>
      </w:rPr>
    </w:lvl>
  </w:abstractNum>
  <w:abstractNum w:abstractNumId="11">
    <w:nsid w:val="26471DBC"/>
    <w:multiLevelType w:val="hybridMultilevel"/>
    <w:tmpl w:val="E76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56795"/>
    <w:multiLevelType w:val="hybridMultilevel"/>
    <w:tmpl w:val="219A601A"/>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start w:val="1"/>
      <w:numFmt w:val="bullet"/>
      <w:lvlText w:val="o"/>
      <w:lvlJc w:val="left"/>
      <w:pPr>
        <w:ind w:left="3427" w:hanging="360"/>
      </w:pPr>
      <w:rPr>
        <w:rFonts w:ascii="Courier New" w:hAnsi="Courier New" w:hint="default"/>
      </w:rPr>
    </w:lvl>
    <w:lvl w:ilvl="5" w:tplc="04090005">
      <w:start w:val="1"/>
      <w:numFmt w:val="bullet"/>
      <w:lvlText w:val=""/>
      <w:lvlJc w:val="left"/>
      <w:pPr>
        <w:ind w:left="4147" w:hanging="360"/>
      </w:pPr>
      <w:rPr>
        <w:rFonts w:ascii="Wingdings" w:hAnsi="Wingdings" w:hint="default"/>
      </w:rPr>
    </w:lvl>
    <w:lvl w:ilvl="6" w:tplc="04090001">
      <w:start w:val="1"/>
      <w:numFmt w:val="bullet"/>
      <w:lvlText w:val=""/>
      <w:lvlJc w:val="left"/>
      <w:pPr>
        <w:ind w:left="4867" w:hanging="360"/>
      </w:pPr>
      <w:rPr>
        <w:rFonts w:ascii="Symbol" w:hAnsi="Symbol" w:hint="default"/>
      </w:rPr>
    </w:lvl>
    <w:lvl w:ilvl="7" w:tplc="04090003">
      <w:start w:val="1"/>
      <w:numFmt w:val="bullet"/>
      <w:lvlText w:val="o"/>
      <w:lvlJc w:val="left"/>
      <w:pPr>
        <w:ind w:left="5587" w:hanging="360"/>
      </w:pPr>
      <w:rPr>
        <w:rFonts w:ascii="Courier New" w:hAnsi="Courier New" w:hint="default"/>
      </w:rPr>
    </w:lvl>
    <w:lvl w:ilvl="8" w:tplc="04090005">
      <w:start w:val="1"/>
      <w:numFmt w:val="bullet"/>
      <w:lvlText w:val=""/>
      <w:lvlJc w:val="left"/>
      <w:pPr>
        <w:ind w:left="6307" w:hanging="360"/>
      </w:pPr>
      <w:rPr>
        <w:rFonts w:ascii="Wingdings" w:hAnsi="Wingdings" w:hint="default"/>
      </w:rPr>
    </w:lvl>
  </w:abstractNum>
  <w:abstractNum w:abstractNumId="13">
    <w:nsid w:val="34CA651B"/>
    <w:multiLevelType w:val="hybridMultilevel"/>
    <w:tmpl w:val="6F3AA7D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1D6498"/>
    <w:multiLevelType w:val="hybridMultilevel"/>
    <w:tmpl w:val="DDBE68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5">
    <w:nsid w:val="379045B0"/>
    <w:multiLevelType w:val="hybridMultilevel"/>
    <w:tmpl w:val="900A5FE8"/>
    <w:lvl w:ilvl="0" w:tplc="456479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500EF"/>
    <w:multiLevelType w:val="hybridMultilevel"/>
    <w:tmpl w:val="E432F07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08732EA"/>
    <w:multiLevelType w:val="hybridMultilevel"/>
    <w:tmpl w:val="EECA4F0A"/>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907E75"/>
    <w:multiLevelType w:val="hybridMultilevel"/>
    <w:tmpl w:val="3296180C"/>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4470757"/>
    <w:multiLevelType w:val="hybridMultilevel"/>
    <w:tmpl w:val="673A83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0">
    <w:nsid w:val="454947F4"/>
    <w:multiLevelType w:val="hybridMultilevel"/>
    <w:tmpl w:val="40B848F0"/>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E028D6"/>
    <w:multiLevelType w:val="hybridMultilevel"/>
    <w:tmpl w:val="CAE690D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90A4D70"/>
    <w:multiLevelType w:val="hybridMultilevel"/>
    <w:tmpl w:val="22FED2B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A46328A"/>
    <w:multiLevelType w:val="hybridMultilevel"/>
    <w:tmpl w:val="4BFC510E"/>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A5F5DA0"/>
    <w:multiLevelType w:val="hybridMultilevel"/>
    <w:tmpl w:val="DBDC41EE"/>
    <w:lvl w:ilvl="0" w:tplc="6E60C31A">
      <w:start w:val="1"/>
      <w:numFmt w:val="lowerRoman"/>
      <w:lvlText w:val="(%1)"/>
      <w:lvlJc w:val="left"/>
      <w:pPr>
        <w:tabs>
          <w:tab w:val="num" w:pos="1440"/>
        </w:tabs>
        <w:ind w:left="1440" w:hanging="72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25">
    <w:nsid w:val="4B3C07CA"/>
    <w:multiLevelType w:val="hybridMultilevel"/>
    <w:tmpl w:val="F9DCFD14"/>
    <w:lvl w:ilvl="0" w:tplc="3CF21C5C">
      <w:start w:val="1"/>
      <w:numFmt w:val="lowerRoman"/>
      <w:lvlText w:val="(%1)"/>
      <w:lvlJc w:val="left"/>
      <w:pPr>
        <w:tabs>
          <w:tab w:val="num" w:pos="1440"/>
        </w:tabs>
        <w:ind w:left="1440" w:hanging="720"/>
      </w:pPr>
      <w:rPr>
        <w:rFonts w:cs="Times New Roman" w:hint="default"/>
      </w:rPr>
    </w:lvl>
    <w:lvl w:ilvl="1" w:tplc="A95A8FC4">
      <w:start w:val="1"/>
      <w:numFmt w:val="upperRoman"/>
      <w:lvlText w:val="%2."/>
      <w:lvlJc w:val="left"/>
      <w:pPr>
        <w:tabs>
          <w:tab w:val="num" w:pos="2160"/>
        </w:tabs>
        <w:ind w:left="2160" w:hanging="720"/>
      </w:pPr>
      <w:rPr>
        <w:rFonts w:cs="Times New Roman" w:hint="default"/>
        <w:b/>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26">
    <w:nsid w:val="4DD22F3A"/>
    <w:multiLevelType w:val="hybridMultilevel"/>
    <w:tmpl w:val="107A636C"/>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F969AC"/>
    <w:multiLevelType w:val="hybridMultilevel"/>
    <w:tmpl w:val="66462478"/>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3762409"/>
    <w:multiLevelType w:val="hybridMultilevel"/>
    <w:tmpl w:val="65609362"/>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623441C"/>
    <w:multiLevelType w:val="hybridMultilevel"/>
    <w:tmpl w:val="0D62A970"/>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A0F4D15"/>
    <w:multiLevelType w:val="hybridMultilevel"/>
    <w:tmpl w:val="DDC4611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31">
    <w:nsid w:val="61401E4F"/>
    <w:multiLevelType w:val="hybridMultilevel"/>
    <w:tmpl w:val="0594423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D66B75"/>
    <w:multiLevelType w:val="hybridMultilevel"/>
    <w:tmpl w:val="BF2A5D9A"/>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91773B6"/>
    <w:multiLevelType w:val="hybridMultilevel"/>
    <w:tmpl w:val="9624705C"/>
    <w:lvl w:ilvl="0" w:tplc="54AAF1C2">
      <w:start w:val="1"/>
      <w:numFmt w:val="lowerRoman"/>
      <w:lvlText w:val="(%1)"/>
      <w:lvlJc w:val="left"/>
      <w:pPr>
        <w:tabs>
          <w:tab w:val="num" w:pos="1480"/>
        </w:tabs>
        <w:ind w:left="1480" w:hanging="720"/>
      </w:pPr>
      <w:rPr>
        <w:rFonts w:cs="Times New Roman" w:hint="default"/>
      </w:rPr>
    </w:lvl>
    <w:lvl w:ilvl="1" w:tplc="00190409">
      <w:start w:val="1"/>
      <w:numFmt w:val="lowerLetter"/>
      <w:lvlText w:val="%2."/>
      <w:lvlJc w:val="left"/>
      <w:pPr>
        <w:tabs>
          <w:tab w:val="num" w:pos="1840"/>
        </w:tabs>
        <w:ind w:left="1840" w:hanging="360"/>
      </w:pPr>
      <w:rPr>
        <w:rFonts w:cs="Times New Roman"/>
      </w:rPr>
    </w:lvl>
    <w:lvl w:ilvl="2" w:tplc="001B0409">
      <w:start w:val="1"/>
      <w:numFmt w:val="lowerRoman"/>
      <w:lvlText w:val="%3."/>
      <w:lvlJc w:val="right"/>
      <w:pPr>
        <w:tabs>
          <w:tab w:val="num" w:pos="2560"/>
        </w:tabs>
        <w:ind w:left="2560" w:hanging="180"/>
      </w:pPr>
      <w:rPr>
        <w:rFonts w:cs="Times New Roman"/>
      </w:rPr>
    </w:lvl>
    <w:lvl w:ilvl="3" w:tplc="000F0409">
      <w:start w:val="1"/>
      <w:numFmt w:val="decimal"/>
      <w:lvlText w:val="%4."/>
      <w:lvlJc w:val="left"/>
      <w:pPr>
        <w:tabs>
          <w:tab w:val="num" w:pos="3280"/>
        </w:tabs>
        <w:ind w:left="3280" w:hanging="360"/>
      </w:pPr>
      <w:rPr>
        <w:rFonts w:cs="Times New Roman"/>
      </w:rPr>
    </w:lvl>
    <w:lvl w:ilvl="4" w:tplc="00190409">
      <w:start w:val="1"/>
      <w:numFmt w:val="lowerLetter"/>
      <w:lvlText w:val="%5."/>
      <w:lvlJc w:val="left"/>
      <w:pPr>
        <w:tabs>
          <w:tab w:val="num" w:pos="4000"/>
        </w:tabs>
        <w:ind w:left="4000" w:hanging="360"/>
      </w:pPr>
      <w:rPr>
        <w:rFonts w:cs="Times New Roman"/>
      </w:rPr>
    </w:lvl>
    <w:lvl w:ilvl="5" w:tplc="001B0409">
      <w:start w:val="1"/>
      <w:numFmt w:val="lowerRoman"/>
      <w:lvlText w:val="%6."/>
      <w:lvlJc w:val="right"/>
      <w:pPr>
        <w:tabs>
          <w:tab w:val="num" w:pos="4720"/>
        </w:tabs>
        <w:ind w:left="4720" w:hanging="180"/>
      </w:pPr>
      <w:rPr>
        <w:rFonts w:cs="Times New Roman"/>
      </w:rPr>
    </w:lvl>
    <w:lvl w:ilvl="6" w:tplc="000F0409">
      <w:start w:val="1"/>
      <w:numFmt w:val="decimal"/>
      <w:lvlText w:val="%7."/>
      <w:lvlJc w:val="left"/>
      <w:pPr>
        <w:tabs>
          <w:tab w:val="num" w:pos="5440"/>
        </w:tabs>
        <w:ind w:left="5440" w:hanging="360"/>
      </w:pPr>
      <w:rPr>
        <w:rFonts w:cs="Times New Roman"/>
      </w:rPr>
    </w:lvl>
    <w:lvl w:ilvl="7" w:tplc="00190409">
      <w:start w:val="1"/>
      <w:numFmt w:val="lowerLetter"/>
      <w:lvlText w:val="%8."/>
      <w:lvlJc w:val="left"/>
      <w:pPr>
        <w:tabs>
          <w:tab w:val="num" w:pos="6160"/>
        </w:tabs>
        <w:ind w:left="6160" w:hanging="360"/>
      </w:pPr>
      <w:rPr>
        <w:rFonts w:cs="Times New Roman"/>
      </w:rPr>
    </w:lvl>
    <w:lvl w:ilvl="8" w:tplc="001B0409">
      <w:start w:val="1"/>
      <w:numFmt w:val="lowerRoman"/>
      <w:lvlText w:val="%9."/>
      <w:lvlJc w:val="right"/>
      <w:pPr>
        <w:tabs>
          <w:tab w:val="num" w:pos="6880"/>
        </w:tabs>
        <w:ind w:left="6880" w:hanging="180"/>
      </w:pPr>
      <w:rPr>
        <w:rFonts w:cs="Times New Roman"/>
      </w:rPr>
    </w:lvl>
  </w:abstractNum>
  <w:abstractNum w:abstractNumId="34">
    <w:nsid w:val="72E63A5C"/>
    <w:multiLevelType w:val="hybridMultilevel"/>
    <w:tmpl w:val="562A1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2865E9"/>
    <w:multiLevelType w:val="hybridMultilevel"/>
    <w:tmpl w:val="EF6A5F0E"/>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0B6559"/>
    <w:multiLevelType w:val="hybridMultilevel"/>
    <w:tmpl w:val="DF627762"/>
    <w:lvl w:ilvl="0" w:tplc="5562F3CE">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7C8E39CB"/>
    <w:multiLevelType w:val="hybridMultilevel"/>
    <w:tmpl w:val="D70C8C06"/>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7"/>
  </w:num>
  <w:num w:numId="4">
    <w:abstractNumId w:val="18"/>
  </w:num>
  <w:num w:numId="5">
    <w:abstractNumId w:val="0"/>
  </w:num>
  <w:num w:numId="6">
    <w:abstractNumId w:val="27"/>
  </w:num>
  <w:num w:numId="7">
    <w:abstractNumId w:val="6"/>
  </w:num>
  <w:num w:numId="8">
    <w:abstractNumId w:val="10"/>
  </w:num>
  <w:num w:numId="9">
    <w:abstractNumId w:val="25"/>
  </w:num>
  <w:num w:numId="10">
    <w:abstractNumId w:val="24"/>
  </w:num>
  <w:num w:numId="11">
    <w:abstractNumId w:val="33"/>
  </w:num>
  <w:num w:numId="12">
    <w:abstractNumId w:val="28"/>
  </w:num>
  <w:num w:numId="13">
    <w:abstractNumId w:val="29"/>
  </w:num>
  <w:num w:numId="14">
    <w:abstractNumId w:val="22"/>
  </w:num>
  <w:num w:numId="15">
    <w:abstractNumId w:val="19"/>
  </w:num>
  <w:num w:numId="16">
    <w:abstractNumId w:val="14"/>
  </w:num>
  <w:num w:numId="17">
    <w:abstractNumId w:val="3"/>
  </w:num>
  <w:num w:numId="18">
    <w:abstractNumId w:val="36"/>
  </w:num>
  <w:num w:numId="19">
    <w:abstractNumId w:val="30"/>
  </w:num>
  <w:num w:numId="20">
    <w:abstractNumId w:val="26"/>
  </w:num>
  <w:num w:numId="21">
    <w:abstractNumId w:val="32"/>
  </w:num>
  <w:num w:numId="22">
    <w:abstractNumId w:val="21"/>
  </w:num>
  <w:num w:numId="23">
    <w:abstractNumId w:val="7"/>
  </w:num>
  <w:num w:numId="24">
    <w:abstractNumId w:val="2"/>
  </w:num>
  <w:num w:numId="25">
    <w:abstractNumId w:val="8"/>
  </w:num>
  <w:num w:numId="26">
    <w:abstractNumId w:val="4"/>
  </w:num>
  <w:num w:numId="27">
    <w:abstractNumId w:val="12"/>
  </w:num>
  <w:num w:numId="28">
    <w:abstractNumId w:val="35"/>
  </w:num>
  <w:num w:numId="29">
    <w:abstractNumId w:val="20"/>
  </w:num>
  <w:num w:numId="30">
    <w:abstractNumId w:val="9"/>
  </w:num>
  <w:num w:numId="31">
    <w:abstractNumId w:val="15"/>
  </w:num>
  <w:num w:numId="32">
    <w:abstractNumId w:val="17"/>
  </w:num>
  <w:num w:numId="33">
    <w:abstractNumId w:val="13"/>
  </w:num>
  <w:num w:numId="34">
    <w:abstractNumId w:val="34"/>
  </w:num>
  <w:num w:numId="35">
    <w:abstractNumId w:val="31"/>
  </w:num>
  <w:num w:numId="36">
    <w:abstractNumId w:val="1"/>
  </w:num>
  <w:num w:numId="37">
    <w:abstractNumId w:val="11"/>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2055" style="mso-position-horizontal:center;mso-position-horizontal-relative:margin;mso-position-vertical:center;mso-position-vertical-relative:margin;mso-width-percent:920;mso-height-percent:940" o:allowincell="f" fill="f" fillcolor="black">
      <v:fill color="black" color2="#272727" on="f" type="pattern"/>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609110-3C92-4749-996F-162A61B5C48F}"/>
    <w:docVar w:name="dgnword-eventsink" w:val="223581376"/>
  </w:docVars>
  <w:rsids>
    <w:rsidRoot w:val="00FA3269"/>
    <w:rsid w:val="00004D64"/>
    <w:rsid w:val="00004F07"/>
    <w:rsid w:val="0000585A"/>
    <w:rsid w:val="000061E7"/>
    <w:rsid w:val="00010A42"/>
    <w:rsid w:val="00012830"/>
    <w:rsid w:val="00012D3E"/>
    <w:rsid w:val="00015345"/>
    <w:rsid w:val="0001535E"/>
    <w:rsid w:val="00015415"/>
    <w:rsid w:val="00023F24"/>
    <w:rsid w:val="00026723"/>
    <w:rsid w:val="00027E5F"/>
    <w:rsid w:val="000323AF"/>
    <w:rsid w:val="0003280C"/>
    <w:rsid w:val="00040A47"/>
    <w:rsid w:val="00040B05"/>
    <w:rsid w:val="00041A52"/>
    <w:rsid w:val="00042A38"/>
    <w:rsid w:val="0005051A"/>
    <w:rsid w:val="00057EB9"/>
    <w:rsid w:val="0006041B"/>
    <w:rsid w:val="0006181B"/>
    <w:rsid w:val="000634F7"/>
    <w:rsid w:val="00063992"/>
    <w:rsid w:val="00063EC8"/>
    <w:rsid w:val="00064FF5"/>
    <w:rsid w:val="00065A4B"/>
    <w:rsid w:val="000673A6"/>
    <w:rsid w:val="000718A2"/>
    <w:rsid w:val="00071999"/>
    <w:rsid w:val="00072058"/>
    <w:rsid w:val="000733FD"/>
    <w:rsid w:val="000735FA"/>
    <w:rsid w:val="000741AE"/>
    <w:rsid w:val="00075B46"/>
    <w:rsid w:val="000771BD"/>
    <w:rsid w:val="000773A1"/>
    <w:rsid w:val="00080039"/>
    <w:rsid w:val="00081C02"/>
    <w:rsid w:val="00081D98"/>
    <w:rsid w:val="000836C0"/>
    <w:rsid w:val="00083C2B"/>
    <w:rsid w:val="00086464"/>
    <w:rsid w:val="00090791"/>
    <w:rsid w:val="0009081E"/>
    <w:rsid w:val="00093E2B"/>
    <w:rsid w:val="00094E9D"/>
    <w:rsid w:val="00095276"/>
    <w:rsid w:val="000957EF"/>
    <w:rsid w:val="00096772"/>
    <w:rsid w:val="00097150"/>
    <w:rsid w:val="000979D9"/>
    <w:rsid w:val="000A01B7"/>
    <w:rsid w:val="000A3ACD"/>
    <w:rsid w:val="000A4508"/>
    <w:rsid w:val="000A4A18"/>
    <w:rsid w:val="000A5B8E"/>
    <w:rsid w:val="000A70EE"/>
    <w:rsid w:val="000A73F5"/>
    <w:rsid w:val="000B058F"/>
    <w:rsid w:val="000B1AA1"/>
    <w:rsid w:val="000B1B2A"/>
    <w:rsid w:val="000B3AEF"/>
    <w:rsid w:val="000B3E65"/>
    <w:rsid w:val="000B5EEE"/>
    <w:rsid w:val="000B71CB"/>
    <w:rsid w:val="000B7770"/>
    <w:rsid w:val="000C04DA"/>
    <w:rsid w:val="000C198D"/>
    <w:rsid w:val="000C33C9"/>
    <w:rsid w:val="000C35A8"/>
    <w:rsid w:val="000C3973"/>
    <w:rsid w:val="000C5464"/>
    <w:rsid w:val="000C58DD"/>
    <w:rsid w:val="000C59EA"/>
    <w:rsid w:val="000C7954"/>
    <w:rsid w:val="000D0CD5"/>
    <w:rsid w:val="000D502A"/>
    <w:rsid w:val="000D6C85"/>
    <w:rsid w:val="000E0BE9"/>
    <w:rsid w:val="000E17D0"/>
    <w:rsid w:val="000E1951"/>
    <w:rsid w:val="000E25F1"/>
    <w:rsid w:val="000E2794"/>
    <w:rsid w:val="000E584C"/>
    <w:rsid w:val="000E7CCB"/>
    <w:rsid w:val="000F274A"/>
    <w:rsid w:val="000F2878"/>
    <w:rsid w:val="000F382B"/>
    <w:rsid w:val="000F50D7"/>
    <w:rsid w:val="000F761E"/>
    <w:rsid w:val="00101B51"/>
    <w:rsid w:val="00106A5A"/>
    <w:rsid w:val="00106D09"/>
    <w:rsid w:val="001104EA"/>
    <w:rsid w:val="00110ED0"/>
    <w:rsid w:val="001113A5"/>
    <w:rsid w:val="0011148F"/>
    <w:rsid w:val="0011166B"/>
    <w:rsid w:val="00113706"/>
    <w:rsid w:val="00113E1F"/>
    <w:rsid w:val="0011477C"/>
    <w:rsid w:val="00114CAA"/>
    <w:rsid w:val="001165B4"/>
    <w:rsid w:val="00116F71"/>
    <w:rsid w:val="001207DF"/>
    <w:rsid w:val="00120C24"/>
    <w:rsid w:val="001212C8"/>
    <w:rsid w:val="00124A63"/>
    <w:rsid w:val="00124CD9"/>
    <w:rsid w:val="0012503F"/>
    <w:rsid w:val="0012556C"/>
    <w:rsid w:val="00126702"/>
    <w:rsid w:val="0012757A"/>
    <w:rsid w:val="00127C00"/>
    <w:rsid w:val="001306E9"/>
    <w:rsid w:val="00131660"/>
    <w:rsid w:val="001321A2"/>
    <w:rsid w:val="00132EAC"/>
    <w:rsid w:val="00135060"/>
    <w:rsid w:val="001356D2"/>
    <w:rsid w:val="0014040F"/>
    <w:rsid w:val="00140788"/>
    <w:rsid w:val="00140C94"/>
    <w:rsid w:val="0014211D"/>
    <w:rsid w:val="00142C3F"/>
    <w:rsid w:val="00143FBC"/>
    <w:rsid w:val="0014572E"/>
    <w:rsid w:val="001523C0"/>
    <w:rsid w:val="00153074"/>
    <w:rsid w:val="001539BC"/>
    <w:rsid w:val="00155BB8"/>
    <w:rsid w:val="00155F24"/>
    <w:rsid w:val="0016088D"/>
    <w:rsid w:val="00163376"/>
    <w:rsid w:val="001642A8"/>
    <w:rsid w:val="00164993"/>
    <w:rsid w:val="00165960"/>
    <w:rsid w:val="001718DC"/>
    <w:rsid w:val="00171D21"/>
    <w:rsid w:val="00172598"/>
    <w:rsid w:val="00173515"/>
    <w:rsid w:val="00175328"/>
    <w:rsid w:val="00175A65"/>
    <w:rsid w:val="0018268C"/>
    <w:rsid w:val="00182D08"/>
    <w:rsid w:val="00182EF6"/>
    <w:rsid w:val="0018340A"/>
    <w:rsid w:val="001855C1"/>
    <w:rsid w:val="001855E7"/>
    <w:rsid w:val="00190BEE"/>
    <w:rsid w:val="0019222C"/>
    <w:rsid w:val="0019240D"/>
    <w:rsid w:val="00192686"/>
    <w:rsid w:val="00192DE5"/>
    <w:rsid w:val="00193A6F"/>
    <w:rsid w:val="00193E19"/>
    <w:rsid w:val="001957B3"/>
    <w:rsid w:val="00197293"/>
    <w:rsid w:val="001A3D9B"/>
    <w:rsid w:val="001A4DEF"/>
    <w:rsid w:val="001A57F9"/>
    <w:rsid w:val="001A639A"/>
    <w:rsid w:val="001A661B"/>
    <w:rsid w:val="001A6C4A"/>
    <w:rsid w:val="001A6E64"/>
    <w:rsid w:val="001A76CA"/>
    <w:rsid w:val="001A79E3"/>
    <w:rsid w:val="001B0965"/>
    <w:rsid w:val="001B1806"/>
    <w:rsid w:val="001B5832"/>
    <w:rsid w:val="001B7A3E"/>
    <w:rsid w:val="001C27B6"/>
    <w:rsid w:val="001C3C31"/>
    <w:rsid w:val="001C44C2"/>
    <w:rsid w:val="001C4AC3"/>
    <w:rsid w:val="001D4411"/>
    <w:rsid w:val="001D44FF"/>
    <w:rsid w:val="001D519D"/>
    <w:rsid w:val="001D60E7"/>
    <w:rsid w:val="001D69B1"/>
    <w:rsid w:val="001D72F1"/>
    <w:rsid w:val="001E1304"/>
    <w:rsid w:val="001E4633"/>
    <w:rsid w:val="001E46E6"/>
    <w:rsid w:val="001E5C8E"/>
    <w:rsid w:val="001E758E"/>
    <w:rsid w:val="001F0848"/>
    <w:rsid w:val="001F175F"/>
    <w:rsid w:val="001F27A1"/>
    <w:rsid w:val="001F2C9B"/>
    <w:rsid w:val="001F4461"/>
    <w:rsid w:val="001F61FD"/>
    <w:rsid w:val="001F697D"/>
    <w:rsid w:val="00202478"/>
    <w:rsid w:val="002025F5"/>
    <w:rsid w:val="0020267A"/>
    <w:rsid w:val="002045D9"/>
    <w:rsid w:val="00205682"/>
    <w:rsid w:val="00206E6E"/>
    <w:rsid w:val="0021028F"/>
    <w:rsid w:val="00210910"/>
    <w:rsid w:val="00213EB1"/>
    <w:rsid w:val="00215A02"/>
    <w:rsid w:val="00216265"/>
    <w:rsid w:val="002214AA"/>
    <w:rsid w:val="00221668"/>
    <w:rsid w:val="002218D9"/>
    <w:rsid w:val="00222E9A"/>
    <w:rsid w:val="00224C32"/>
    <w:rsid w:val="00230D4C"/>
    <w:rsid w:val="00234FEC"/>
    <w:rsid w:val="00235C72"/>
    <w:rsid w:val="00235EE1"/>
    <w:rsid w:val="002404AB"/>
    <w:rsid w:val="00241770"/>
    <w:rsid w:val="00242416"/>
    <w:rsid w:val="00245360"/>
    <w:rsid w:val="0024572A"/>
    <w:rsid w:val="00246E9D"/>
    <w:rsid w:val="00251299"/>
    <w:rsid w:val="00251FFD"/>
    <w:rsid w:val="002533F6"/>
    <w:rsid w:val="00254F29"/>
    <w:rsid w:val="0025665F"/>
    <w:rsid w:val="00256AEE"/>
    <w:rsid w:val="002639DE"/>
    <w:rsid w:val="0026460A"/>
    <w:rsid w:val="00265CF6"/>
    <w:rsid w:val="002704EE"/>
    <w:rsid w:val="00270C2B"/>
    <w:rsid w:val="00271294"/>
    <w:rsid w:val="00272AE2"/>
    <w:rsid w:val="0027345C"/>
    <w:rsid w:val="00274DD4"/>
    <w:rsid w:val="002753F8"/>
    <w:rsid w:val="00277359"/>
    <w:rsid w:val="002800C4"/>
    <w:rsid w:val="00280E13"/>
    <w:rsid w:val="002812AC"/>
    <w:rsid w:val="00282E05"/>
    <w:rsid w:val="00283104"/>
    <w:rsid w:val="00283AA1"/>
    <w:rsid w:val="00283BD6"/>
    <w:rsid w:val="00283CE7"/>
    <w:rsid w:val="002841FA"/>
    <w:rsid w:val="00284B20"/>
    <w:rsid w:val="002853DE"/>
    <w:rsid w:val="00286888"/>
    <w:rsid w:val="00291068"/>
    <w:rsid w:val="00292EA5"/>
    <w:rsid w:val="00295679"/>
    <w:rsid w:val="00295D16"/>
    <w:rsid w:val="00297476"/>
    <w:rsid w:val="002A0ECD"/>
    <w:rsid w:val="002A11CE"/>
    <w:rsid w:val="002A420B"/>
    <w:rsid w:val="002A65ED"/>
    <w:rsid w:val="002A6D3C"/>
    <w:rsid w:val="002A7792"/>
    <w:rsid w:val="002B044C"/>
    <w:rsid w:val="002B5986"/>
    <w:rsid w:val="002B5BEB"/>
    <w:rsid w:val="002B73F0"/>
    <w:rsid w:val="002C0C80"/>
    <w:rsid w:val="002C37B3"/>
    <w:rsid w:val="002C60E6"/>
    <w:rsid w:val="002C7306"/>
    <w:rsid w:val="002C7A4C"/>
    <w:rsid w:val="002C7B14"/>
    <w:rsid w:val="002D148A"/>
    <w:rsid w:val="002D7014"/>
    <w:rsid w:val="002D7C6B"/>
    <w:rsid w:val="002E0015"/>
    <w:rsid w:val="002E36EB"/>
    <w:rsid w:val="002E3BAF"/>
    <w:rsid w:val="002E3D5C"/>
    <w:rsid w:val="002E57E8"/>
    <w:rsid w:val="002F0F28"/>
    <w:rsid w:val="002F444C"/>
    <w:rsid w:val="00303C9F"/>
    <w:rsid w:val="00313A24"/>
    <w:rsid w:val="003144F0"/>
    <w:rsid w:val="00315581"/>
    <w:rsid w:val="00315F56"/>
    <w:rsid w:val="003167B1"/>
    <w:rsid w:val="00317FD2"/>
    <w:rsid w:val="0032021A"/>
    <w:rsid w:val="00322C84"/>
    <w:rsid w:val="00322EF8"/>
    <w:rsid w:val="00323AA1"/>
    <w:rsid w:val="00326CF2"/>
    <w:rsid w:val="00326D27"/>
    <w:rsid w:val="00326E81"/>
    <w:rsid w:val="00330CBB"/>
    <w:rsid w:val="00331D7D"/>
    <w:rsid w:val="00333102"/>
    <w:rsid w:val="003342A0"/>
    <w:rsid w:val="00334AF8"/>
    <w:rsid w:val="00336769"/>
    <w:rsid w:val="003368D5"/>
    <w:rsid w:val="00336C07"/>
    <w:rsid w:val="003374F0"/>
    <w:rsid w:val="00341619"/>
    <w:rsid w:val="00342E75"/>
    <w:rsid w:val="00346792"/>
    <w:rsid w:val="003472F4"/>
    <w:rsid w:val="0034750D"/>
    <w:rsid w:val="003503A6"/>
    <w:rsid w:val="00354C3C"/>
    <w:rsid w:val="00357504"/>
    <w:rsid w:val="00357AB3"/>
    <w:rsid w:val="00360B1E"/>
    <w:rsid w:val="00365036"/>
    <w:rsid w:val="00370192"/>
    <w:rsid w:val="00370F02"/>
    <w:rsid w:val="00371DDA"/>
    <w:rsid w:val="003725B1"/>
    <w:rsid w:val="00380119"/>
    <w:rsid w:val="003841C6"/>
    <w:rsid w:val="0038526A"/>
    <w:rsid w:val="003868D9"/>
    <w:rsid w:val="00386FD4"/>
    <w:rsid w:val="00387B0B"/>
    <w:rsid w:val="00390B42"/>
    <w:rsid w:val="00390C6A"/>
    <w:rsid w:val="003919C9"/>
    <w:rsid w:val="0039232F"/>
    <w:rsid w:val="00393225"/>
    <w:rsid w:val="00393884"/>
    <w:rsid w:val="00393C52"/>
    <w:rsid w:val="003A00DF"/>
    <w:rsid w:val="003A1F8C"/>
    <w:rsid w:val="003A2D35"/>
    <w:rsid w:val="003A3386"/>
    <w:rsid w:val="003A3C68"/>
    <w:rsid w:val="003A4EDB"/>
    <w:rsid w:val="003A5277"/>
    <w:rsid w:val="003A58E1"/>
    <w:rsid w:val="003A5D4F"/>
    <w:rsid w:val="003A7B96"/>
    <w:rsid w:val="003B3720"/>
    <w:rsid w:val="003B40A4"/>
    <w:rsid w:val="003B5C47"/>
    <w:rsid w:val="003B6548"/>
    <w:rsid w:val="003B77E7"/>
    <w:rsid w:val="003C42D1"/>
    <w:rsid w:val="003C42F7"/>
    <w:rsid w:val="003C6E55"/>
    <w:rsid w:val="003C710B"/>
    <w:rsid w:val="003D08E1"/>
    <w:rsid w:val="003D3031"/>
    <w:rsid w:val="003D4E72"/>
    <w:rsid w:val="003D601B"/>
    <w:rsid w:val="003D61C8"/>
    <w:rsid w:val="003E17EA"/>
    <w:rsid w:val="003E1D97"/>
    <w:rsid w:val="003E28C2"/>
    <w:rsid w:val="003E7065"/>
    <w:rsid w:val="003F0E1B"/>
    <w:rsid w:val="003F3173"/>
    <w:rsid w:val="003F355C"/>
    <w:rsid w:val="003F6ABC"/>
    <w:rsid w:val="00400955"/>
    <w:rsid w:val="00403F72"/>
    <w:rsid w:val="004061DD"/>
    <w:rsid w:val="00407B09"/>
    <w:rsid w:val="004132C9"/>
    <w:rsid w:val="00413B5E"/>
    <w:rsid w:val="00414A35"/>
    <w:rsid w:val="00416CF1"/>
    <w:rsid w:val="00417ABC"/>
    <w:rsid w:val="00420E2C"/>
    <w:rsid w:val="00423A72"/>
    <w:rsid w:val="00423DD7"/>
    <w:rsid w:val="0042457E"/>
    <w:rsid w:val="00426A12"/>
    <w:rsid w:val="00427C7F"/>
    <w:rsid w:val="00430CD3"/>
    <w:rsid w:val="004335AE"/>
    <w:rsid w:val="00434597"/>
    <w:rsid w:val="004351E1"/>
    <w:rsid w:val="004355EC"/>
    <w:rsid w:val="0044035C"/>
    <w:rsid w:val="00445A2C"/>
    <w:rsid w:val="00451545"/>
    <w:rsid w:val="00451F9A"/>
    <w:rsid w:val="00452CF2"/>
    <w:rsid w:val="00454C15"/>
    <w:rsid w:val="00455C5F"/>
    <w:rsid w:val="00455F9F"/>
    <w:rsid w:val="00460699"/>
    <w:rsid w:val="004612B7"/>
    <w:rsid w:val="00461DB0"/>
    <w:rsid w:val="0046275F"/>
    <w:rsid w:val="00466C2D"/>
    <w:rsid w:val="0047183C"/>
    <w:rsid w:val="004720D5"/>
    <w:rsid w:val="004721DF"/>
    <w:rsid w:val="00472B90"/>
    <w:rsid w:val="0047462E"/>
    <w:rsid w:val="00474990"/>
    <w:rsid w:val="00474E83"/>
    <w:rsid w:val="00477567"/>
    <w:rsid w:val="00480F4D"/>
    <w:rsid w:val="00481003"/>
    <w:rsid w:val="00482BBF"/>
    <w:rsid w:val="00484A43"/>
    <w:rsid w:val="00486637"/>
    <w:rsid w:val="00487057"/>
    <w:rsid w:val="004902BC"/>
    <w:rsid w:val="004914D2"/>
    <w:rsid w:val="00492126"/>
    <w:rsid w:val="004A1E9A"/>
    <w:rsid w:val="004A35B6"/>
    <w:rsid w:val="004A55EB"/>
    <w:rsid w:val="004B01CB"/>
    <w:rsid w:val="004B066E"/>
    <w:rsid w:val="004B1292"/>
    <w:rsid w:val="004B203E"/>
    <w:rsid w:val="004B2E27"/>
    <w:rsid w:val="004B5294"/>
    <w:rsid w:val="004B6CE6"/>
    <w:rsid w:val="004B7382"/>
    <w:rsid w:val="004C0193"/>
    <w:rsid w:val="004C61BB"/>
    <w:rsid w:val="004C7E47"/>
    <w:rsid w:val="004C7F0C"/>
    <w:rsid w:val="004D04C5"/>
    <w:rsid w:val="004D06B5"/>
    <w:rsid w:val="004D2A02"/>
    <w:rsid w:val="004D3C91"/>
    <w:rsid w:val="004D439C"/>
    <w:rsid w:val="004D44DE"/>
    <w:rsid w:val="004D521D"/>
    <w:rsid w:val="004E37C4"/>
    <w:rsid w:val="004E38F5"/>
    <w:rsid w:val="004E4B64"/>
    <w:rsid w:val="004E7A38"/>
    <w:rsid w:val="004F00A6"/>
    <w:rsid w:val="004F1714"/>
    <w:rsid w:val="004F21AB"/>
    <w:rsid w:val="004F23ED"/>
    <w:rsid w:val="004F3CC8"/>
    <w:rsid w:val="004F47E9"/>
    <w:rsid w:val="004F6006"/>
    <w:rsid w:val="0050010F"/>
    <w:rsid w:val="00501012"/>
    <w:rsid w:val="0050112F"/>
    <w:rsid w:val="00501B38"/>
    <w:rsid w:val="00503266"/>
    <w:rsid w:val="00503F54"/>
    <w:rsid w:val="00504AF5"/>
    <w:rsid w:val="00507419"/>
    <w:rsid w:val="0051029D"/>
    <w:rsid w:val="005102B4"/>
    <w:rsid w:val="00510E06"/>
    <w:rsid w:val="00512C8E"/>
    <w:rsid w:val="00513CC0"/>
    <w:rsid w:val="00515FE7"/>
    <w:rsid w:val="00516340"/>
    <w:rsid w:val="005177B4"/>
    <w:rsid w:val="005201EE"/>
    <w:rsid w:val="0052045C"/>
    <w:rsid w:val="00520BE6"/>
    <w:rsid w:val="00523507"/>
    <w:rsid w:val="00525E63"/>
    <w:rsid w:val="00526E0A"/>
    <w:rsid w:val="005307D3"/>
    <w:rsid w:val="005313FC"/>
    <w:rsid w:val="005338CB"/>
    <w:rsid w:val="00534ECB"/>
    <w:rsid w:val="00535B34"/>
    <w:rsid w:val="005376D8"/>
    <w:rsid w:val="00537EEE"/>
    <w:rsid w:val="0054090B"/>
    <w:rsid w:val="0054120C"/>
    <w:rsid w:val="00541F42"/>
    <w:rsid w:val="00543B1F"/>
    <w:rsid w:val="00545ADF"/>
    <w:rsid w:val="005468A6"/>
    <w:rsid w:val="00546BC4"/>
    <w:rsid w:val="00546EBD"/>
    <w:rsid w:val="00550484"/>
    <w:rsid w:val="00554089"/>
    <w:rsid w:val="0055460B"/>
    <w:rsid w:val="00556C6D"/>
    <w:rsid w:val="00557D22"/>
    <w:rsid w:val="005624AF"/>
    <w:rsid w:val="00562DF0"/>
    <w:rsid w:val="00566706"/>
    <w:rsid w:val="005678E8"/>
    <w:rsid w:val="00571177"/>
    <w:rsid w:val="005727A1"/>
    <w:rsid w:val="00572A87"/>
    <w:rsid w:val="0057391D"/>
    <w:rsid w:val="0057552E"/>
    <w:rsid w:val="00575AEF"/>
    <w:rsid w:val="00577B85"/>
    <w:rsid w:val="00586D08"/>
    <w:rsid w:val="00591643"/>
    <w:rsid w:val="0059203D"/>
    <w:rsid w:val="00593D1C"/>
    <w:rsid w:val="005947D7"/>
    <w:rsid w:val="00594F57"/>
    <w:rsid w:val="00595C4F"/>
    <w:rsid w:val="00595E79"/>
    <w:rsid w:val="00596A28"/>
    <w:rsid w:val="005A0540"/>
    <w:rsid w:val="005A3686"/>
    <w:rsid w:val="005A45B5"/>
    <w:rsid w:val="005A4F14"/>
    <w:rsid w:val="005A6FF2"/>
    <w:rsid w:val="005B00B1"/>
    <w:rsid w:val="005B0BC9"/>
    <w:rsid w:val="005B2E97"/>
    <w:rsid w:val="005B413B"/>
    <w:rsid w:val="005B5449"/>
    <w:rsid w:val="005B5619"/>
    <w:rsid w:val="005B6F29"/>
    <w:rsid w:val="005B71D4"/>
    <w:rsid w:val="005B7C9B"/>
    <w:rsid w:val="005C73F9"/>
    <w:rsid w:val="005D047C"/>
    <w:rsid w:val="005D3F44"/>
    <w:rsid w:val="005D5424"/>
    <w:rsid w:val="005D76E6"/>
    <w:rsid w:val="005E0D87"/>
    <w:rsid w:val="005E125B"/>
    <w:rsid w:val="005E3D4C"/>
    <w:rsid w:val="005E3FF4"/>
    <w:rsid w:val="005E5108"/>
    <w:rsid w:val="005E7293"/>
    <w:rsid w:val="005F05E3"/>
    <w:rsid w:val="005F10B7"/>
    <w:rsid w:val="005F1945"/>
    <w:rsid w:val="005F1EB9"/>
    <w:rsid w:val="005F27DC"/>
    <w:rsid w:val="005F3F9F"/>
    <w:rsid w:val="005F528A"/>
    <w:rsid w:val="005F7230"/>
    <w:rsid w:val="005F72A9"/>
    <w:rsid w:val="0060155D"/>
    <w:rsid w:val="0060161D"/>
    <w:rsid w:val="006031DF"/>
    <w:rsid w:val="00604E59"/>
    <w:rsid w:val="00607E90"/>
    <w:rsid w:val="006115ED"/>
    <w:rsid w:val="00612191"/>
    <w:rsid w:val="0061326E"/>
    <w:rsid w:val="006146F1"/>
    <w:rsid w:val="00614926"/>
    <w:rsid w:val="00615B9B"/>
    <w:rsid w:val="006170DE"/>
    <w:rsid w:val="00621315"/>
    <w:rsid w:val="00622634"/>
    <w:rsid w:val="0062341A"/>
    <w:rsid w:val="006276D8"/>
    <w:rsid w:val="00630F39"/>
    <w:rsid w:val="00632619"/>
    <w:rsid w:val="00637890"/>
    <w:rsid w:val="0064050D"/>
    <w:rsid w:val="00641F4D"/>
    <w:rsid w:val="0064740C"/>
    <w:rsid w:val="0065014D"/>
    <w:rsid w:val="0065189C"/>
    <w:rsid w:val="00651E7C"/>
    <w:rsid w:val="006547C9"/>
    <w:rsid w:val="006577F4"/>
    <w:rsid w:val="0066183D"/>
    <w:rsid w:val="0066229A"/>
    <w:rsid w:val="00663DCC"/>
    <w:rsid w:val="00663E4C"/>
    <w:rsid w:val="006668BF"/>
    <w:rsid w:val="00670112"/>
    <w:rsid w:val="00672A3B"/>
    <w:rsid w:val="006764EC"/>
    <w:rsid w:val="00680D66"/>
    <w:rsid w:val="00680E0B"/>
    <w:rsid w:val="00681052"/>
    <w:rsid w:val="006838F4"/>
    <w:rsid w:val="006935C0"/>
    <w:rsid w:val="00695FDB"/>
    <w:rsid w:val="00696B3A"/>
    <w:rsid w:val="006976CA"/>
    <w:rsid w:val="006A515F"/>
    <w:rsid w:val="006A5FE7"/>
    <w:rsid w:val="006A60D6"/>
    <w:rsid w:val="006A670B"/>
    <w:rsid w:val="006A6F95"/>
    <w:rsid w:val="006A7938"/>
    <w:rsid w:val="006B1A4D"/>
    <w:rsid w:val="006B2B87"/>
    <w:rsid w:val="006B3C34"/>
    <w:rsid w:val="006B3EB1"/>
    <w:rsid w:val="006B7466"/>
    <w:rsid w:val="006B74EA"/>
    <w:rsid w:val="006B7FF7"/>
    <w:rsid w:val="006C12DA"/>
    <w:rsid w:val="006C22CA"/>
    <w:rsid w:val="006C4D0B"/>
    <w:rsid w:val="006C7013"/>
    <w:rsid w:val="006C7A9E"/>
    <w:rsid w:val="006D0FC9"/>
    <w:rsid w:val="006D17A8"/>
    <w:rsid w:val="006D350D"/>
    <w:rsid w:val="006D3CA1"/>
    <w:rsid w:val="006D4ADF"/>
    <w:rsid w:val="006D634E"/>
    <w:rsid w:val="006E05E8"/>
    <w:rsid w:val="006E09C8"/>
    <w:rsid w:val="006E1F04"/>
    <w:rsid w:val="006E3763"/>
    <w:rsid w:val="006E3A79"/>
    <w:rsid w:val="006E3ABA"/>
    <w:rsid w:val="006E40A3"/>
    <w:rsid w:val="006E545D"/>
    <w:rsid w:val="006E7317"/>
    <w:rsid w:val="006F18D1"/>
    <w:rsid w:val="006F246A"/>
    <w:rsid w:val="006F56A3"/>
    <w:rsid w:val="006F5717"/>
    <w:rsid w:val="006F5FAC"/>
    <w:rsid w:val="006F6D9B"/>
    <w:rsid w:val="00701150"/>
    <w:rsid w:val="00702F31"/>
    <w:rsid w:val="00703307"/>
    <w:rsid w:val="007033E7"/>
    <w:rsid w:val="00704D92"/>
    <w:rsid w:val="007051DF"/>
    <w:rsid w:val="00713C0F"/>
    <w:rsid w:val="00714D78"/>
    <w:rsid w:val="00714E47"/>
    <w:rsid w:val="00717A59"/>
    <w:rsid w:val="0072035F"/>
    <w:rsid w:val="007208E9"/>
    <w:rsid w:val="00721735"/>
    <w:rsid w:val="00721DEB"/>
    <w:rsid w:val="007230DF"/>
    <w:rsid w:val="0072335E"/>
    <w:rsid w:val="0072429F"/>
    <w:rsid w:val="00725ECE"/>
    <w:rsid w:val="00727B4F"/>
    <w:rsid w:val="00727D51"/>
    <w:rsid w:val="00731F08"/>
    <w:rsid w:val="007345FE"/>
    <w:rsid w:val="0073632C"/>
    <w:rsid w:val="00741B13"/>
    <w:rsid w:val="00743EA9"/>
    <w:rsid w:val="007462FA"/>
    <w:rsid w:val="00752959"/>
    <w:rsid w:val="00753B9B"/>
    <w:rsid w:val="007566BB"/>
    <w:rsid w:val="00756803"/>
    <w:rsid w:val="0075774C"/>
    <w:rsid w:val="00760F90"/>
    <w:rsid w:val="00764B4F"/>
    <w:rsid w:val="007661F7"/>
    <w:rsid w:val="00767205"/>
    <w:rsid w:val="00767344"/>
    <w:rsid w:val="0077157F"/>
    <w:rsid w:val="00771C04"/>
    <w:rsid w:val="007733A7"/>
    <w:rsid w:val="00776451"/>
    <w:rsid w:val="007803E1"/>
    <w:rsid w:val="00781183"/>
    <w:rsid w:val="0078125A"/>
    <w:rsid w:val="00781705"/>
    <w:rsid w:val="007825DA"/>
    <w:rsid w:val="007848DC"/>
    <w:rsid w:val="00785DAF"/>
    <w:rsid w:val="00786CBD"/>
    <w:rsid w:val="00786FF4"/>
    <w:rsid w:val="00790075"/>
    <w:rsid w:val="00791FA5"/>
    <w:rsid w:val="00792140"/>
    <w:rsid w:val="00792FE5"/>
    <w:rsid w:val="007939C9"/>
    <w:rsid w:val="0079452A"/>
    <w:rsid w:val="00794C1C"/>
    <w:rsid w:val="00795714"/>
    <w:rsid w:val="007A5B41"/>
    <w:rsid w:val="007A6161"/>
    <w:rsid w:val="007A731A"/>
    <w:rsid w:val="007B204B"/>
    <w:rsid w:val="007B4563"/>
    <w:rsid w:val="007B57B6"/>
    <w:rsid w:val="007B6E31"/>
    <w:rsid w:val="007C02EA"/>
    <w:rsid w:val="007C1525"/>
    <w:rsid w:val="007C1F8D"/>
    <w:rsid w:val="007C50D7"/>
    <w:rsid w:val="007C5B4D"/>
    <w:rsid w:val="007C6643"/>
    <w:rsid w:val="007C73DB"/>
    <w:rsid w:val="007D07BF"/>
    <w:rsid w:val="007D1F82"/>
    <w:rsid w:val="007D43DB"/>
    <w:rsid w:val="007D61B5"/>
    <w:rsid w:val="007D664F"/>
    <w:rsid w:val="007E1EB4"/>
    <w:rsid w:val="007E24FB"/>
    <w:rsid w:val="007E2A23"/>
    <w:rsid w:val="007E2AD3"/>
    <w:rsid w:val="007E7AA6"/>
    <w:rsid w:val="007F0F4B"/>
    <w:rsid w:val="007F13BA"/>
    <w:rsid w:val="007F16B3"/>
    <w:rsid w:val="007F247A"/>
    <w:rsid w:val="007F2A00"/>
    <w:rsid w:val="007F3583"/>
    <w:rsid w:val="007F38F5"/>
    <w:rsid w:val="007F547E"/>
    <w:rsid w:val="007F54C5"/>
    <w:rsid w:val="007F63DA"/>
    <w:rsid w:val="008015DF"/>
    <w:rsid w:val="00802CAE"/>
    <w:rsid w:val="00805925"/>
    <w:rsid w:val="00806930"/>
    <w:rsid w:val="00810442"/>
    <w:rsid w:val="00812445"/>
    <w:rsid w:val="008125F4"/>
    <w:rsid w:val="00814354"/>
    <w:rsid w:val="00822565"/>
    <w:rsid w:val="00824002"/>
    <w:rsid w:val="00824199"/>
    <w:rsid w:val="008254B1"/>
    <w:rsid w:val="00825634"/>
    <w:rsid w:val="00826346"/>
    <w:rsid w:val="008264F2"/>
    <w:rsid w:val="0082750E"/>
    <w:rsid w:val="0083027C"/>
    <w:rsid w:val="00831FF2"/>
    <w:rsid w:val="0083269F"/>
    <w:rsid w:val="00832D9E"/>
    <w:rsid w:val="00833157"/>
    <w:rsid w:val="0083363B"/>
    <w:rsid w:val="00833C1B"/>
    <w:rsid w:val="00835DB6"/>
    <w:rsid w:val="00837088"/>
    <w:rsid w:val="00837CFA"/>
    <w:rsid w:val="00840A11"/>
    <w:rsid w:val="0084102B"/>
    <w:rsid w:val="008415A6"/>
    <w:rsid w:val="00843551"/>
    <w:rsid w:val="0084702B"/>
    <w:rsid w:val="00847CCF"/>
    <w:rsid w:val="008505BD"/>
    <w:rsid w:val="0085063D"/>
    <w:rsid w:val="00851AB4"/>
    <w:rsid w:val="0085251B"/>
    <w:rsid w:val="00852D8D"/>
    <w:rsid w:val="008570F0"/>
    <w:rsid w:val="008607D1"/>
    <w:rsid w:val="00864464"/>
    <w:rsid w:val="00865284"/>
    <w:rsid w:val="00867691"/>
    <w:rsid w:val="00871983"/>
    <w:rsid w:val="00872189"/>
    <w:rsid w:val="0087434F"/>
    <w:rsid w:val="00875A37"/>
    <w:rsid w:val="00876208"/>
    <w:rsid w:val="00877BED"/>
    <w:rsid w:val="00877F38"/>
    <w:rsid w:val="00877F84"/>
    <w:rsid w:val="0088054A"/>
    <w:rsid w:val="00881A77"/>
    <w:rsid w:val="008849BB"/>
    <w:rsid w:val="00886BDB"/>
    <w:rsid w:val="00886F34"/>
    <w:rsid w:val="00892408"/>
    <w:rsid w:val="00892DB7"/>
    <w:rsid w:val="00893E83"/>
    <w:rsid w:val="008947B9"/>
    <w:rsid w:val="00894DCB"/>
    <w:rsid w:val="00895160"/>
    <w:rsid w:val="00896EE8"/>
    <w:rsid w:val="008A1E0B"/>
    <w:rsid w:val="008A1EA1"/>
    <w:rsid w:val="008A30DA"/>
    <w:rsid w:val="008A723D"/>
    <w:rsid w:val="008A7529"/>
    <w:rsid w:val="008B38EF"/>
    <w:rsid w:val="008B4439"/>
    <w:rsid w:val="008B51D9"/>
    <w:rsid w:val="008B6651"/>
    <w:rsid w:val="008B683C"/>
    <w:rsid w:val="008B68D0"/>
    <w:rsid w:val="008B6A20"/>
    <w:rsid w:val="008B714D"/>
    <w:rsid w:val="008C021A"/>
    <w:rsid w:val="008C36E5"/>
    <w:rsid w:val="008C4760"/>
    <w:rsid w:val="008C5916"/>
    <w:rsid w:val="008C5F1D"/>
    <w:rsid w:val="008C617C"/>
    <w:rsid w:val="008C64A5"/>
    <w:rsid w:val="008D0E34"/>
    <w:rsid w:val="008D141A"/>
    <w:rsid w:val="008D3287"/>
    <w:rsid w:val="008D32B9"/>
    <w:rsid w:val="008D4D9B"/>
    <w:rsid w:val="008E0C71"/>
    <w:rsid w:val="008E108A"/>
    <w:rsid w:val="008E20A9"/>
    <w:rsid w:val="008E34A9"/>
    <w:rsid w:val="008E3FCC"/>
    <w:rsid w:val="008E6808"/>
    <w:rsid w:val="008E737F"/>
    <w:rsid w:val="008F09F5"/>
    <w:rsid w:val="008F1BB5"/>
    <w:rsid w:val="008F4447"/>
    <w:rsid w:val="008F529F"/>
    <w:rsid w:val="008F7757"/>
    <w:rsid w:val="00902AC7"/>
    <w:rsid w:val="00902E23"/>
    <w:rsid w:val="009071AB"/>
    <w:rsid w:val="0091132E"/>
    <w:rsid w:val="00911983"/>
    <w:rsid w:val="00914A6B"/>
    <w:rsid w:val="009160B7"/>
    <w:rsid w:val="0091679C"/>
    <w:rsid w:val="0091688E"/>
    <w:rsid w:val="0091697F"/>
    <w:rsid w:val="009203BF"/>
    <w:rsid w:val="00921141"/>
    <w:rsid w:val="00924CAE"/>
    <w:rsid w:val="00926293"/>
    <w:rsid w:val="009268EA"/>
    <w:rsid w:val="00926BBB"/>
    <w:rsid w:val="009271E9"/>
    <w:rsid w:val="009275AC"/>
    <w:rsid w:val="00927F1F"/>
    <w:rsid w:val="00930233"/>
    <w:rsid w:val="00931AE0"/>
    <w:rsid w:val="009401FE"/>
    <w:rsid w:val="009414FA"/>
    <w:rsid w:val="00943613"/>
    <w:rsid w:val="009465AE"/>
    <w:rsid w:val="00946C47"/>
    <w:rsid w:val="00947CA3"/>
    <w:rsid w:val="00950066"/>
    <w:rsid w:val="009513BA"/>
    <w:rsid w:val="009524D3"/>
    <w:rsid w:val="00952AD9"/>
    <w:rsid w:val="00954347"/>
    <w:rsid w:val="00956789"/>
    <w:rsid w:val="00956B85"/>
    <w:rsid w:val="00961602"/>
    <w:rsid w:val="00961DBF"/>
    <w:rsid w:val="00965AA8"/>
    <w:rsid w:val="00970879"/>
    <w:rsid w:val="00970E6B"/>
    <w:rsid w:val="00971AD0"/>
    <w:rsid w:val="0097394D"/>
    <w:rsid w:val="009806C1"/>
    <w:rsid w:val="00982214"/>
    <w:rsid w:val="00982DE0"/>
    <w:rsid w:val="00983DF2"/>
    <w:rsid w:val="0098705D"/>
    <w:rsid w:val="0098778F"/>
    <w:rsid w:val="00992403"/>
    <w:rsid w:val="00993488"/>
    <w:rsid w:val="00993745"/>
    <w:rsid w:val="00994880"/>
    <w:rsid w:val="009952C5"/>
    <w:rsid w:val="00995D70"/>
    <w:rsid w:val="009971A4"/>
    <w:rsid w:val="009A0141"/>
    <w:rsid w:val="009A25FE"/>
    <w:rsid w:val="009A34A5"/>
    <w:rsid w:val="009A37EA"/>
    <w:rsid w:val="009A40A9"/>
    <w:rsid w:val="009A4548"/>
    <w:rsid w:val="009A45CC"/>
    <w:rsid w:val="009A583E"/>
    <w:rsid w:val="009A6A82"/>
    <w:rsid w:val="009B0253"/>
    <w:rsid w:val="009B19AC"/>
    <w:rsid w:val="009B637D"/>
    <w:rsid w:val="009B79C4"/>
    <w:rsid w:val="009C0CAD"/>
    <w:rsid w:val="009C0FD1"/>
    <w:rsid w:val="009C40EF"/>
    <w:rsid w:val="009C4C4A"/>
    <w:rsid w:val="009C56BE"/>
    <w:rsid w:val="009C712A"/>
    <w:rsid w:val="009D30BD"/>
    <w:rsid w:val="009D45FE"/>
    <w:rsid w:val="009D597D"/>
    <w:rsid w:val="009D67F6"/>
    <w:rsid w:val="009D7404"/>
    <w:rsid w:val="009D7A41"/>
    <w:rsid w:val="009E056E"/>
    <w:rsid w:val="009E0E56"/>
    <w:rsid w:val="009E0FD5"/>
    <w:rsid w:val="009E14A5"/>
    <w:rsid w:val="009E1AD5"/>
    <w:rsid w:val="009E32AC"/>
    <w:rsid w:val="009E468E"/>
    <w:rsid w:val="009E54FF"/>
    <w:rsid w:val="009E691D"/>
    <w:rsid w:val="009E6D39"/>
    <w:rsid w:val="009E783D"/>
    <w:rsid w:val="009F03AC"/>
    <w:rsid w:val="009F2155"/>
    <w:rsid w:val="009F3EB3"/>
    <w:rsid w:val="009F5C97"/>
    <w:rsid w:val="009F6457"/>
    <w:rsid w:val="00A00F40"/>
    <w:rsid w:val="00A04764"/>
    <w:rsid w:val="00A06BA5"/>
    <w:rsid w:val="00A06CED"/>
    <w:rsid w:val="00A101AC"/>
    <w:rsid w:val="00A12120"/>
    <w:rsid w:val="00A12A54"/>
    <w:rsid w:val="00A13B60"/>
    <w:rsid w:val="00A23EA2"/>
    <w:rsid w:val="00A245B4"/>
    <w:rsid w:val="00A259EB"/>
    <w:rsid w:val="00A25A15"/>
    <w:rsid w:val="00A2698F"/>
    <w:rsid w:val="00A275C1"/>
    <w:rsid w:val="00A31A2F"/>
    <w:rsid w:val="00A348E6"/>
    <w:rsid w:val="00A3666D"/>
    <w:rsid w:val="00A422C1"/>
    <w:rsid w:val="00A42EB5"/>
    <w:rsid w:val="00A4661C"/>
    <w:rsid w:val="00A508F5"/>
    <w:rsid w:val="00A52401"/>
    <w:rsid w:val="00A54540"/>
    <w:rsid w:val="00A54B60"/>
    <w:rsid w:val="00A57C27"/>
    <w:rsid w:val="00A607CF"/>
    <w:rsid w:val="00A616C4"/>
    <w:rsid w:val="00A6246F"/>
    <w:rsid w:val="00A63A7D"/>
    <w:rsid w:val="00A65F6F"/>
    <w:rsid w:val="00A66125"/>
    <w:rsid w:val="00A669EB"/>
    <w:rsid w:val="00A70F68"/>
    <w:rsid w:val="00A73709"/>
    <w:rsid w:val="00A74708"/>
    <w:rsid w:val="00A75C91"/>
    <w:rsid w:val="00A76B21"/>
    <w:rsid w:val="00A76F4F"/>
    <w:rsid w:val="00A7710F"/>
    <w:rsid w:val="00A80629"/>
    <w:rsid w:val="00A80EE0"/>
    <w:rsid w:val="00A824D5"/>
    <w:rsid w:val="00A82F32"/>
    <w:rsid w:val="00A83D9B"/>
    <w:rsid w:val="00A8589E"/>
    <w:rsid w:val="00A92DBD"/>
    <w:rsid w:val="00A93084"/>
    <w:rsid w:val="00A9348D"/>
    <w:rsid w:val="00A95731"/>
    <w:rsid w:val="00A9678A"/>
    <w:rsid w:val="00AA1E75"/>
    <w:rsid w:val="00AA1ECB"/>
    <w:rsid w:val="00AB2E15"/>
    <w:rsid w:val="00AB3931"/>
    <w:rsid w:val="00AB7712"/>
    <w:rsid w:val="00AC00BF"/>
    <w:rsid w:val="00AC04FB"/>
    <w:rsid w:val="00AC0880"/>
    <w:rsid w:val="00AC08C1"/>
    <w:rsid w:val="00AC4C90"/>
    <w:rsid w:val="00AD031D"/>
    <w:rsid w:val="00AD0BD0"/>
    <w:rsid w:val="00AD195B"/>
    <w:rsid w:val="00AD4E4A"/>
    <w:rsid w:val="00AD6F10"/>
    <w:rsid w:val="00AD7836"/>
    <w:rsid w:val="00AE0040"/>
    <w:rsid w:val="00AE533B"/>
    <w:rsid w:val="00AE6201"/>
    <w:rsid w:val="00AE68A0"/>
    <w:rsid w:val="00AE6976"/>
    <w:rsid w:val="00AE6DE1"/>
    <w:rsid w:val="00AE71BF"/>
    <w:rsid w:val="00AE73B6"/>
    <w:rsid w:val="00AF3DD4"/>
    <w:rsid w:val="00AF6687"/>
    <w:rsid w:val="00AF6921"/>
    <w:rsid w:val="00AF6DE1"/>
    <w:rsid w:val="00B004A4"/>
    <w:rsid w:val="00B008BA"/>
    <w:rsid w:val="00B009C4"/>
    <w:rsid w:val="00B045F9"/>
    <w:rsid w:val="00B06F5B"/>
    <w:rsid w:val="00B111CA"/>
    <w:rsid w:val="00B1268C"/>
    <w:rsid w:val="00B2164A"/>
    <w:rsid w:val="00B2234C"/>
    <w:rsid w:val="00B25898"/>
    <w:rsid w:val="00B26AA4"/>
    <w:rsid w:val="00B32C16"/>
    <w:rsid w:val="00B32F21"/>
    <w:rsid w:val="00B35292"/>
    <w:rsid w:val="00B40EE1"/>
    <w:rsid w:val="00B426F3"/>
    <w:rsid w:val="00B4403D"/>
    <w:rsid w:val="00B463E9"/>
    <w:rsid w:val="00B529C0"/>
    <w:rsid w:val="00B52D2D"/>
    <w:rsid w:val="00B54B6F"/>
    <w:rsid w:val="00B57CCC"/>
    <w:rsid w:val="00B60CC2"/>
    <w:rsid w:val="00B633B4"/>
    <w:rsid w:val="00B66968"/>
    <w:rsid w:val="00B67BD5"/>
    <w:rsid w:val="00B7410C"/>
    <w:rsid w:val="00B74138"/>
    <w:rsid w:val="00B7511F"/>
    <w:rsid w:val="00B76238"/>
    <w:rsid w:val="00B801F6"/>
    <w:rsid w:val="00B849FA"/>
    <w:rsid w:val="00B8523B"/>
    <w:rsid w:val="00B87ECF"/>
    <w:rsid w:val="00B91D95"/>
    <w:rsid w:val="00B9258E"/>
    <w:rsid w:val="00B92814"/>
    <w:rsid w:val="00B92BAC"/>
    <w:rsid w:val="00B936B5"/>
    <w:rsid w:val="00B952B3"/>
    <w:rsid w:val="00B9667C"/>
    <w:rsid w:val="00BA2E7F"/>
    <w:rsid w:val="00BA5836"/>
    <w:rsid w:val="00BA6F89"/>
    <w:rsid w:val="00BA70CD"/>
    <w:rsid w:val="00BB28E5"/>
    <w:rsid w:val="00BB2ACD"/>
    <w:rsid w:val="00BB3BEB"/>
    <w:rsid w:val="00BB453F"/>
    <w:rsid w:val="00BB4F85"/>
    <w:rsid w:val="00BB5612"/>
    <w:rsid w:val="00BB5966"/>
    <w:rsid w:val="00BB5CA4"/>
    <w:rsid w:val="00BC0545"/>
    <w:rsid w:val="00BC1F01"/>
    <w:rsid w:val="00BC59FD"/>
    <w:rsid w:val="00BC7831"/>
    <w:rsid w:val="00BD1A2F"/>
    <w:rsid w:val="00BD1CAC"/>
    <w:rsid w:val="00BD4118"/>
    <w:rsid w:val="00BD4552"/>
    <w:rsid w:val="00BE1B3E"/>
    <w:rsid w:val="00BE25B8"/>
    <w:rsid w:val="00BE28B9"/>
    <w:rsid w:val="00BE51DC"/>
    <w:rsid w:val="00BE57F4"/>
    <w:rsid w:val="00BE593D"/>
    <w:rsid w:val="00BE696B"/>
    <w:rsid w:val="00BE7A4C"/>
    <w:rsid w:val="00BF04EB"/>
    <w:rsid w:val="00BF1D75"/>
    <w:rsid w:val="00BF2022"/>
    <w:rsid w:val="00BF2EBE"/>
    <w:rsid w:val="00BF3002"/>
    <w:rsid w:val="00BF4C41"/>
    <w:rsid w:val="00BF528E"/>
    <w:rsid w:val="00BF5414"/>
    <w:rsid w:val="00BF60DF"/>
    <w:rsid w:val="00BF671A"/>
    <w:rsid w:val="00C06300"/>
    <w:rsid w:val="00C10B41"/>
    <w:rsid w:val="00C12A0C"/>
    <w:rsid w:val="00C131CE"/>
    <w:rsid w:val="00C1341D"/>
    <w:rsid w:val="00C16C9D"/>
    <w:rsid w:val="00C16F64"/>
    <w:rsid w:val="00C1735F"/>
    <w:rsid w:val="00C17EE3"/>
    <w:rsid w:val="00C23F6F"/>
    <w:rsid w:val="00C2410C"/>
    <w:rsid w:val="00C25279"/>
    <w:rsid w:val="00C262D4"/>
    <w:rsid w:val="00C27806"/>
    <w:rsid w:val="00C30524"/>
    <w:rsid w:val="00C30896"/>
    <w:rsid w:val="00C31BC3"/>
    <w:rsid w:val="00C31DDA"/>
    <w:rsid w:val="00C3436A"/>
    <w:rsid w:val="00C36C22"/>
    <w:rsid w:val="00C372EE"/>
    <w:rsid w:val="00C4016D"/>
    <w:rsid w:val="00C41A15"/>
    <w:rsid w:val="00C41AEC"/>
    <w:rsid w:val="00C450AD"/>
    <w:rsid w:val="00C47FC6"/>
    <w:rsid w:val="00C5004F"/>
    <w:rsid w:val="00C53DB5"/>
    <w:rsid w:val="00C5585C"/>
    <w:rsid w:val="00C60324"/>
    <w:rsid w:val="00C60EAF"/>
    <w:rsid w:val="00C617E6"/>
    <w:rsid w:val="00C62A64"/>
    <w:rsid w:val="00C62C84"/>
    <w:rsid w:val="00C64BFC"/>
    <w:rsid w:val="00C64FBD"/>
    <w:rsid w:val="00C65818"/>
    <w:rsid w:val="00C65863"/>
    <w:rsid w:val="00C65F48"/>
    <w:rsid w:val="00C67116"/>
    <w:rsid w:val="00C672A0"/>
    <w:rsid w:val="00C67993"/>
    <w:rsid w:val="00C7184D"/>
    <w:rsid w:val="00C7232B"/>
    <w:rsid w:val="00C74032"/>
    <w:rsid w:val="00C742B2"/>
    <w:rsid w:val="00C7588F"/>
    <w:rsid w:val="00C82682"/>
    <w:rsid w:val="00C82853"/>
    <w:rsid w:val="00C82F32"/>
    <w:rsid w:val="00C84BB3"/>
    <w:rsid w:val="00C855EB"/>
    <w:rsid w:val="00C86799"/>
    <w:rsid w:val="00C90AC0"/>
    <w:rsid w:val="00CA4EF9"/>
    <w:rsid w:val="00CA5146"/>
    <w:rsid w:val="00CA59C6"/>
    <w:rsid w:val="00CB0563"/>
    <w:rsid w:val="00CB47B9"/>
    <w:rsid w:val="00CC1480"/>
    <w:rsid w:val="00CC1FAC"/>
    <w:rsid w:val="00CD1C59"/>
    <w:rsid w:val="00CD2061"/>
    <w:rsid w:val="00CD2088"/>
    <w:rsid w:val="00CD4004"/>
    <w:rsid w:val="00CD40FA"/>
    <w:rsid w:val="00CD4834"/>
    <w:rsid w:val="00CD54A3"/>
    <w:rsid w:val="00CD568C"/>
    <w:rsid w:val="00CD5F5A"/>
    <w:rsid w:val="00CD7E7D"/>
    <w:rsid w:val="00CE09AE"/>
    <w:rsid w:val="00CE2057"/>
    <w:rsid w:val="00CE2308"/>
    <w:rsid w:val="00CE525D"/>
    <w:rsid w:val="00CE52FE"/>
    <w:rsid w:val="00CE5B7F"/>
    <w:rsid w:val="00CF02D6"/>
    <w:rsid w:val="00CF5EE9"/>
    <w:rsid w:val="00CF6FA2"/>
    <w:rsid w:val="00D0143A"/>
    <w:rsid w:val="00D01817"/>
    <w:rsid w:val="00D10800"/>
    <w:rsid w:val="00D10932"/>
    <w:rsid w:val="00D11105"/>
    <w:rsid w:val="00D11601"/>
    <w:rsid w:val="00D1400F"/>
    <w:rsid w:val="00D14261"/>
    <w:rsid w:val="00D1628F"/>
    <w:rsid w:val="00D20F00"/>
    <w:rsid w:val="00D211A8"/>
    <w:rsid w:val="00D22100"/>
    <w:rsid w:val="00D229E7"/>
    <w:rsid w:val="00D241B9"/>
    <w:rsid w:val="00D26DDA"/>
    <w:rsid w:val="00D314D2"/>
    <w:rsid w:val="00D324EA"/>
    <w:rsid w:val="00D33AE7"/>
    <w:rsid w:val="00D33E35"/>
    <w:rsid w:val="00D3423B"/>
    <w:rsid w:val="00D3580C"/>
    <w:rsid w:val="00D36456"/>
    <w:rsid w:val="00D377E8"/>
    <w:rsid w:val="00D40A8E"/>
    <w:rsid w:val="00D42E31"/>
    <w:rsid w:val="00D43FDE"/>
    <w:rsid w:val="00D44EAA"/>
    <w:rsid w:val="00D47237"/>
    <w:rsid w:val="00D51135"/>
    <w:rsid w:val="00D51919"/>
    <w:rsid w:val="00D5292A"/>
    <w:rsid w:val="00D55C04"/>
    <w:rsid w:val="00D561E7"/>
    <w:rsid w:val="00D634D0"/>
    <w:rsid w:val="00D63CBF"/>
    <w:rsid w:val="00D641F0"/>
    <w:rsid w:val="00D6496A"/>
    <w:rsid w:val="00D65C60"/>
    <w:rsid w:val="00D66326"/>
    <w:rsid w:val="00D66BFD"/>
    <w:rsid w:val="00D67D54"/>
    <w:rsid w:val="00D7467A"/>
    <w:rsid w:val="00D75BCA"/>
    <w:rsid w:val="00D81A44"/>
    <w:rsid w:val="00D82E3A"/>
    <w:rsid w:val="00D911E7"/>
    <w:rsid w:val="00D92D17"/>
    <w:rsid w:val="00D92FDC"/>
    <w:rsid w:val="00D932E8"/>
    <w:rsid w:val="00D9413C"/>
    <w:rsid w:val="00D94BD3"/>
    <w:rsid w:val="00D97281"/>
    <w:rsid w:val="00D97B3D"/>
    <w:rsid w:val="00DA59A4"/>
    <w:rsid w:val="00DA6FBA"/>
    <w:rsid w:val="00DA7B45"/>
    <w:rsid w:val="00DB0F5D"/>
    <w:rsid w:val="00DB1EDE"/>
    <w:rsid w:val="00DB2CA3"/>
    <w:rsid w:val="00DB4850"/>
    <w:rsid w:val="00DB5680"/>
    <w:rsid w:val="00DB6F4E"/>
    <w:rsid w:val="00DC071A"/>
    <w:rsid w:val="00DC0962"/>
    <w:rsid w:val="00DC3116"/>
    <w:rsid w:val="00DC428A"/>
    <w:rsid w:val="00DC7C30"/>
    <w:rsid w:val="00DD1542"/>
    <w:rsid w:val="00DD2E40"/>
    <w:rsid w:val="00DD354B"/>
    <w:rsid w:val="00DD3663"/>
    <w:rsid w:val="00DD3E79"/>
    <w:rsid w:val="00DD4597"/>
    <w:rsid w:val="00DD4A16"/>
    <w:rsid w:val="00DD60E4"/>
    <w:rsid w:val="00DD7649"/>
    <w:rsid w:val="00DE1CF7"/>
    <w:rsid w:val="00DE29E9"/>
    <w:rsid w:val="00DE37CA"/>
    <w:rsid w:val="00DE5188"/>
    <w:rsid w:val="00DF10CF"/>
    <w:rsid w:val="00DF155B"/>
    <w:rsid w:val="00DF3F38"/>
    <w:rsid w:val="00DF6032"/>
    <w:rsid w:val="00DF78D6"/>
    <w:rsid w:val="00E00060"/>
    <w:rsid w:val="00E01BC9"/>
    <w:rsid w:val="00E01FE0"/>
    <w:rsid w:val="00E02C8B"/>
    <w:rsid w:val="00E0384B"/>
    <w:rsid w:val="00E03BEA"/>
    <w:rsid w:val="00E04479"/>
    <w:rsid w:val="00E11C42"/>
    <w:rsid w:val="00E123D2"/>
    <w:rsid w:val="00E13FA5"/>
    <w:rsid w:val="00E14D4B"/>
    <w:rsid w:val="00E178CD"/>
    <w:rsid w:val="00E2015D"/>
    <w:rsid w:val="00E20C31"/>
    <w:rsid w:val="00E20EB6"/>
    <w:rsid w:val="00E22A2D"/>
    <w:rsid w:val="00E23CED"/>
    <w:rsid w:val="00E3320A"/>
    <w:rsid w:val="00E342FC"/>
    <w:rsid w:val="00E3692B"/>
    <w:rsid w:val="00E403B4"/>
    <w:rsid w:val="00E42802"/>
    <w:rsid w:val="00E42841"/>
    <w:rsid w:val="00E432A2"/>
    <w:rsid w:val="00E43C81"/>
    <w:rsid w:val="00E4641F"/>
    <w:rsid w:val="00E46A76"/>
    <w:rsid w:val="00E46ADA"/>
    <w:rsid w:val="00E507D3"/>
    <w:rsid w:val="00E54384"/>
    <w:rsid w:val="00E548AF"/>
    <w:rsid w:val="00E54F55"/>
    <w:rsid w:val="00E55090"/>
    <w:rsid w:val="00E55379"/>
    <w:rsid w:val="00E62DE7"/>
    <w:rsid w:val="00E6578F"/>
    <w:rsid w:val="00E65923"/>
    <w:rsid w:val="00E65A8F"/>
    <w:rsid w:val="00E67A3A"/>
    <w:rsid w:val="00E70126"/>
    <w:rsid w:val="00E71AB8"/>
    <w:rsid w:val="00E726F8"/>
    <w:rsid w:val="00E77192"/>
    <w:rsid w:val="00E82E3E"/>
    <w:rsid w:val="00E8343B"/>
    <w:rsid w:val="00E857D6"/>
    <w:rsid w:val="00E90046"/>
    <w:rsid w:val="00E923A9"/>
    <w:rsid w:val="00E934B1"/>
    <w:rsid w:val="00E95247"/>
    <w:rsid w:val="00E95AA6"/>
    <w:rsid w:val="00E95C44"/>
    <w:rsid w:val="00E96825"/>
    <w:rsid w:val="00E97055"/>
    <w:rsid w:val="00E97D12"/>
    <w:rsid w:val="00EA0485"/>
    <w:rsid w:val="00EA128D"/>
    <w:rsid w:val="00EA1FF1"/>
    <w:rsid w:val="00EA20F4"/>
    <w:rsid w:val="00EA2AB4"/>
    <w:rsid w:val="00EB14D0"/>
    <w:rsid w:val="00EB22A9"/>
    <w:rsid w:val="00EB29D5"/>
    <w:rsid w:val="00EB4590"/>
    <w:rsid w:val="00EB5ED6"/>
    <w:rsid w:val="00EC0DCA"/>
    <w:rsid w:val="00EC1585"/>
    <w:rsid w:val="00EC49B1"/>
    <w:rsid w:val="00ED07CD"/>
    <w:rsid w:val="00ED0AD6"/>
    <w:rsid w:val="00ED0B7F"/>
    <w:rsid w:val="00ED0D4E"/>
    <w:rsid w:val="00ED1161"/>
    <w:rsid w:val="00ED2EB2"/>
    <w:rsid w:val="00ED4A9B"/>
    <w:rsid w:val="00ED4E22"/>
    <w:rsid w:val="00ED6EED"/>
    <w:rsid w:val="00ED7AA9"/>
    <w:rsid w:val="00EE0F36"/>
    <w:rsid w:val="00EE2342"/>
    <w:rsid w:val="00EE3972"/>
    <w:rsid w:val="00EE5356"/>
    <w:rsid w:val="00EE7019"/>
    <w:rsid w:val="00EE71FB"/>
    <w:rsid w:val="00EF1AF6"/>
    <w:rsid w:val="00EF7DEA"/>
    <w:rsid w:val="00F00E5A"/>
    <w:rsid w:val="00F01102"/>
    <w:rsid w:val="00F02265"/>
    <w:rsid w:val="00F022BA"/>
    <w:rsid w:val="00F040EA"/>
    <w:rsid w:val="00F051F0"/>
    <w:rsid w:val="00F0657B"/>
    <w:rsid w:val="00F10233"/>
    <w:rsid w:val="00F137A9"/>
    <w:rsid w:val="00F14396"/>
    <w:rsid w:val="00F1598A"/>
    <w:rsid w:val="00F16B65"/>
    <w:rsid w:val="00F17739"/>
    <w:rsid w:val="00F20C7B"/>
    <w:rsid w:val="00F219D6"/>
    <w:rsid w:val="00F23B70"/>
    <w:rsid w:val="00F2445E"/>
    <w:rsid w:val="00F27464"/>
    <w:rsid w:val="00F30640"/>
    <w:rsid w:val="00F32F22"/>
    <w:rsid w:val="00F32F76"/>
    <w:rsid w:val="00F36FF6"/>
    <w:rsid w:val="00F41304"/>
    <w:rsid w:val="00F41C78"/>
    <w:rsid w:val="00F42885"/>
    <w:rsid w:val="00F43D4C"/>
    <w:rsid w:val="00F458B7"/>
    <w:rsid w:val="00F4759C"/>
    <w:rsid w:val="00F47711"/>
    <w:rsid w:val="00F517CD"/>
    <w:rsid w:val="00F527B2"/>
    <w:rsid w:val="00F52936"/>
    <w:rsid w:val="00F532D6"/>
    <w:rsid w:val="00F54D4C"/>
    <w:rsid w:val="00F60B95"/>
    <w:rsid w:val="00F61B6A"/>
    <w:rsid w:val="00F62F2B"/>
    <w:rsid w:val="00F63005"/>
    <w:rsid w:val="00F643B4"/>
    <w:rsid w:val="00F65E55"/>
    <w:rsid w:val="00F66998"/>
    <w:rsid w:val="00F72434"/>
    <w:rsid w:val="00F7375B"/>
    <w:rsid w:val="00F74CD7"/>
    <w:rsid w:val="00F77ED4"/>
    <w:rsid w:val="00F802DB"/>
    <w:rsid w:val="00F81101"/>
    <w:rsid w:val="00F82B4C"/>
    <w:rsid w:val="00F840BF"/>
    <w:rsid w:val="00F852AD"/>
    <w:rsid w:val="00F918AC"/>
    <w:rsid w:val="00F946B3"/>
    <w:rsid w:val="00F946EA"/>
    <w:rsid w:val="00F95480"/>
    <w:rsid w:val="00F960D2"/>
    <w:rsid w:val="00F9745C"/>
    <w:rsid w:val="00FA3269"/>
    <w:rsid w:val="00FA4076"/>
    <w:rsid w:val="00FA4C75"/>
    <w:rsid w:val="00FA5657"/>
    <w:rsid w:val="00FA63B3"/>
    <w:rsid w:val="00FA6E56"/>
    <w:rsid w:val="00FA7282"/>
    <w:rsid w:val="00FB46F2"/>
    <w:rsid w:val="00FB4D91"/>
    <w:rsid w:val="00FC1D27"/>
    <w:rsid w:val="00FC2B00"/>
    <w:rsid w:val="00FC33ED"/>
    <w:rsid w:val="00FC66D9"/>
    <w:rsid w:val="00FD1241"/>
    <w:rsid w:val="00FD310A"/>
    <w:rsid w:val="00FD39ED"/>
    <w:rsid w:val="00FD3E16"/>
    <w:rsid w:val="00FD4C46"/>
    <w:rsid w:val="00FD5A06"/>
    <w:rsid w:val="00FD6613"/>
    <w:rsid w:val="00FD7123"/>
    <w:rsid w:val="00FD79AE"/>
    <w:rsid w:val="00FE08E3"/>
    <w:rsid w:val="00FE16BF"/>
    <w:rsid w:val="00FE1941"/>
    <w:rsid w:val="00FE6437"/>
    <w:rsid w:val="00FE658B"/>
    <w:rsid w:val="00FE7668"/>
    <w:rsid w:val="00FF0DC7"/>
    <w:rsid w:val="00FF15C9"/>
    <w:rsid w:val="00FF18E0"/>
    <w:rsid w:val="00FF37D4"/>
    <w:rsid w:val="00FF3E83"/>
    <w:rsid w:val="00FF64A4"/>
    <w:rsid w:val="00FF72FC"/>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style="mso-position-horizontal:center;mso-position-horizontal-relative:margin;mso-position-vertical:center;mso-position-vertical-relative:margin;mso-width-percent:920;mso-height-percent:940" o:allowincell="f" fill="f" fillcolor="black">
      <v:fill color="black" color2="#272727" on="f" type="pattern"/>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val="en-GB" w:eastAsia="ja-JP"/>
    </w:rPr>
  </w:style>
  <w:style w:type="paragraph" w:styleId="Heading1">
    <w:name w:val="heading 1"/>
    <w:basedOn w:val="Normal"/>
    <w:next w:val="Normal"/>
    <w:qFormat/>
    <w:pPr>
      <w:keepNext/>
      <w:spacing w:before="240" w:after="60"/>
      <w:outlineLvl w:val="0"/>
    </w:pPr>
    <w:rPr>
      <w:rFonts w:cs="Arial"/>
      <w:bCs/>
      <w:smallCaps/>
      <w:kern w:val="32"/>
      <w:sz w:val="32"/>
      <w:szCs w:val="32"/>
    </w:rPr>
  </w:style>
  <w:style w:type="paragraph" w:styleId="Heading2">
    <w:name w:val="heading 2"/>
    <w:basedOn w:val="Normal"/>
    <w:next w:val="Normal"/>
    <w:autoRedefine/>
    <w:qFormat/>
    <w:rsid w:val="00C90AC0"/>
    <w:pPr>
      <w:keepNext/>
      <w:jc w:val="both"/>
      <w:outlineLvl w:val="1"/>
    </w:pPr>
    <w:rPr>
      <w:rFonts w:cs="Arial"/>
      <w:b/>
      <w:bCs/>
      <w:iCs/>
      <w:sz w:val="28"/>
      <w:szCs w:val="28"/>
    </w:rPr>
  </w:style>
  <w:style w:type="paragraph" w:styleId="Heading3">
    <w:name w:val="heading 3"/>
    <w:basedOn w:val="Normal"/>
    <w:next w:val="Normal"/>
    <w:autoRedefine/>
    <w:qFormat/>
    <w:rsid w:val="00790075"/>
    <w:pPr>
      <w:keepNext/>
      <w:jc w:val="both"/>
      <w:outlineLvl w:val="2"/>
    </w:pPr>
    <w:rPr>
      <w:rFonts w:cs="Arial"/>
      <w:b/>
      <w:bCs/>
      <w:i/>
      <w:szCs w:val="26"/>
    </w:rPr>
  </w:style>
  <w:style w:type="paragraph" w:styleId="Heading4">
    <w:name w:val="heading 4"/>
    <w:basedOn w:val="Normal"/>
    <w:next w:val="Normal"/>
    <w:qFormat/>
    <w:locked/>
    <w:pPr>
      <w:keepNext/>
      <w:spacing w:before="240" w:after="60"/>
      <w:ind w:left="720"/>
      <w:outlineLvl w:val="3"/>
    </w:pPr>
    <w:rPr>
      <w:bCs/>
      <w:i/>
      <w:szCs w:val="28"/>
    </w:rPr>
  </w:style>
  <w:style w:type="paragraph" w:styleId="Heading5">
    <w:name w:val="heading 5"/>
    <w:basedOn w:val="Normal"/>
    <w:next w:val="Normal"/>
    <w:qFormat/>
    <w:locked/>
    <w:pPr>
      <w:spacing w:before="240" w:after="60"/>
      <w:outlineLvl w:val="4"/>
    </w:pPr>
    <w:rPr>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F547E"/>
    <w:pPr>
      <w:ind w:left="240"/>
    </w:pPr>
    <w:rPr>
      <w:sz w:val="20"/>
    </w:rPr>
  </w:style>
  <w:style w:type="paragraph" w:styleId="TOC3">
    <w:name w:val="toc 3"/>
    <w:basedOn w:val="Normal"/>
    <w:next w:val="Normal"/>
    <w:autoRedefine/>
    <w:uiPriority w:val="39"/>
    <w:rsid w:val="007F547E"/>
    <w:pPr>
      <w:ind w:left="480"/>
    </w:pPr>
    <w:rPr>
      <w:i/>
      <w:sz w:val="18"/>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ListParagraph">
    <w:name w:val="List Paragraph"/>
    <w:basedOn w:val="Normal"/>
    <w:qFormat/>
    <w:pPr>
      <w:ind w:left="720"/>
    </w:pPr>
    <w:rPr>
      <w:rFonts w:eastAsia="Malgun Gothic"/>
      <w:szCs w:val="22"/>
      <w:lang w:val="en-US" w:eastAsia="en-US"/>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TOC1">
    <w:name w:val="toc 1"/>
    <w:basedOn w:val="Normal"/>
    <w:next w:val="Normal"/>
    <w:autoRedefine/>
    <w:uiPriority w:val="39"/>
    <w:rsid w:val="007F547E"/>
    <w:pPr>
      <w:spacing w:before="1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table" w:styleId="TableGrid">
    <w:name w:val="Table Grid"/>
    <w:basedOn w:val="TableNormal"/>
    <w:uiPriority w:val="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locked/>
    <w:rPr>
      <w:rFonts w:ascii="Tahoma" w:hAnsi="Tahoma"/>
      <w:sz w:val="16"/>
      <w:lang w:val="en-GB" w:eastAsia="ja-JP"/>
    </w:rPr>
  </w:style>
  <w:style w:type="character" w:styleId="CommentReference">
    <w:name w:val="annotation reference"/>
    <w:semiHidden/>
    <w:rsid w:val="0073632C"/>
    <w:rPr>
      <w:rFonts w:cs="Times New Roman"/>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character" w:customStyle="1" w:styleId="FootnoteTextChar">
    <w:name w:val="Footnote Text Char"/>
    <w:link w:val="FootnoteText"/>
    <w:semiHidden/>
    <w:locked/>
    <w:rsid w:val="006F6D9B"/>
    <w:rPr>
      <w:rFonts w:ascii="Calibri" w:eastAsia="MS Mincho" w:hAnsi="Calibri" w:cs="Times New Roman"/>
      <w:lang w:val="en-GB" w:eastAsia="ja-JP" w:bidi="ar-SA"/>
    </w:rPr>
  </w:style>
  <w:style w:type="paragraph" w:customStyle="1" w:styleId="Default">
    <w:name w:val="Default"/>
    <w:rsid w:val="006F6D9B"/>
    <w:pPr>
      <w:autoSpaceDE w:val="0"/>
      <w:autoSpaceDN w:val="0"/>
      <w:adjustRightInd w:val="0"/>
    </w:pPr>
    <w:rPr>
      <w:rFonts w:ascii="Calibri" w:hAnsi="Calibri" w:cs="Calibri"/>
      <w:color w:val="000000"/>
      <w:sz w:val="24"/>
      <w:szCs w:val="24"/>
      <w:lang w:val="nl-BE"/>
    </w:rPr>
  </w:style>
  <w:style w:type="character" w:styleId="HTMLCite">
    <w:name w:val="HTML Cite"/>
    <w:rsid w:val="006F6D9B"/>
    <w:rPr>
      <w:rFonts w:cs="Times New Roman"/>
      <w:i/>
    </w:rPr>
  </w:style>
  <w:style w:type="paragraph" w:styleId="TOC4">
    <w:name w:val="toc 4"/>
    <w:basedOn w:val="Normal"/>
    <w:next w:val="Normal"/>
    <w:autoRedefine/>
    <w:semiHidden/>
    <w:rsid w:val="00E01BC9"/>
    <w:pPr>
      <w:ind w:left="660"/>
    </w:pPr>
  </w:style>
  <w:style w:type="paragraph" w:styleId="TOC5">
    <w:name w:val="toc 5"/>
    <w:basedOn w:val="Normal"/>
    <w:next w:val="Normal"/>
    <w:autoRedefine/>
    <w:semiHidden/>
    <w:rsid w:val="00E01BC9"/>
    <w:pPr>
      <w:ind w:left="880"/>
    </w:pPr>
  </w:style>
  <w:style w:type="paragraph" w:styleId="TOC6">
    <w:name w:val="toc 6"/>
    <w:basedOn w:val="Normal"/>
    <w:next w:val="Normal"/>
    <w:autoRedefine/>
    <w:semiHidden/>
    <w:rsid w:val="00E01BC9"/>
    <w:pPr>
      <w:ind w:left="1100"/>
    </w:pPr>
  </w:style>
  <w:style w:type="paragraph" w:styleId="TOC7">
    <w:name w:val="toc 7"/>
    <w:basedOn w:val="Normal"/>
    <w:next w:val="Normal"/>
    <w:autoRedefine/>
    <w:semiHidden/>
    <w:rsid w:val="00E01BC9"/>
    <w:pPr>
      <w:ind w:left="1320"/>
    </w:pPr>
  </w:style>
  <w:style w:type="paragraph" w:styleId="TOC8">
    <w:name w:val="toc 8"/>
    <w:basedOn w:val="Normal"/>
    <w:next w:val="Normal"/>
    <w:autoRedefine/>
    <w:semiHidden/>
    <w:rsid w:val="00E01BC9"/>
    <w:pPr>
      <w:ind w:left="1540"/>
    </w:pPr>
  </w:style>
  <w:style w:type="paragraph" w:styleId="TOC9">
    <w:name w:val="toc 9"/>
    <w:basedOn w:val="Normal"/>
    <w:next w:val="Normal"/>
    <w:autoRedefine/>
    <w:semiHidden/>
    <w:rsid w:val="00E01BC9"/>
    <w:pPr>
      <w:ind w:left="1760"/>
    </w:pPr>
  </w:style>
  <w:style w:type="paragraph" w:styleId="Revision">
    <w:name w:val="Revision"/>
    <w:hidden/>
    <w:semiHidden/>
    <w:rsid w:val="00756803"/>
    <w:rPr>
      <w:rFonts w:ascii="Calibri" w:hAnsi="Calibri"/>
      <w:sz w:val="22"/>
      <w:szCs w:val="24"/>
      <w:lang w:val="en-GB" w:eastAsia="ja-JP"/>
    </w:rPr>
  </w:style>
  <w:style w:type="character" w:styleId="FollowedHyperlink">
    <w:name w:val="FollowedHyperlink"/>
    <w:rsid w:val="00637890"/>
    <w:rPr>
      <w:rFonts w:cs="Times New Roman"/>
      <w:color w:val="800080"/>
      <w:u w:val="single"/>
    </w:rPr>
  </w:style>
  <w:style w:type="paragraph" w:styleId="Date">
    <w:name w:val="Date"/>
    <w:basedOn w:val="Normal"/>
    <w:next w:val="Normal"/>
    <w:rsid w:val="00CB47B9"/>
  </w:style>
  <w:style w:type="paragraph" w:styleId="NoSpacing">
    <w:name w:val="No Spacing"/>
    <w:link w:val="NoSpacingChar"/>
    <w:uiPriority w:val="1"/>
    <w:qFormat/>
    <w:rsid w:val="00297476"/>
    <w:rPr>
      <w:rFonts w:ascii="Calibri" w:hAnsi="Calibri" w:cs="Arial"/>
      <w:sz w:val="22"/>
      <w:szCs w:val="22"/>
      <w:lang w:eastAsia="ja-JP"/>
    </w:rPr>
  </w:style>
  <w:style w:type="character" w:customStyle="1" w:styleId="NoSpacingChar">
    <w:name w:val="No Spacing Char"/>
    <w:link w:val="NoSpacing"/>
    <w:uiPriority w:val="1"/>
    <w:rsid w:val="00297476"/>
    <w:rPr>
      <w:rFonts w:ascii="Calibri" w:hAnsi="Calibri" w:cs="Arial"/>
      <w:sz w:val="22"/>
      <w:szCs w:val="22"/>
      <w:lang w:val="en-US" w:eastAsia="ja-JP"/>
    </w:rPr>
  </w:style>
  <w:style w:type="character" w:customStyle="1" w:styleId="FooterChar">
    <w:name w:val="Footer Char"/>
    <w:link w:val="Footer"/>
    <w:uiPriority w:val="99"/>
    <w:rsid w:val="001113A5"/>
    <w:rPr>
      <w:rFonts w:ascii="Calibri" w:hAnsi="Calibri"/>
      <w:sz w:val="18"/>
      <w:szCs w:val="24"/>
      <w:lang w:val="en-GB" w:eastAsia="ja-JP"/>
    </w:rPr>
  </w:style>
  <w:style w:type="character" w:customStyle="1" w:styleId="HeaderChar">
    <w:name w:val="Header Char"/>
    <w:link w:val="Header"/>
    <w:uiPriority w:val="99"/>
    <w:rsid w:val="001113A5"/>
    <w:rPr>
      <w:rFonts w:ascii="Calibri" w:hAnsi="Calibri"/>
      <w:sz w:val="22"/>
      <w:szCs w:val="24"/>
      <w:lang w:val="en-GB" w:eastAsia="ja-JP"/>
    </w:rPr>
  </w:style>
  <w:style w:type="character" w:customStyle="1" w:styleId="st">
    <w:name w:val="st"/>
    <w:basedOn w:val="DefaultParagraphFont"/>
    <w:rsid w:val="003C6E55"/>
  </w:style>
  <w:style w:type="character" w:styleId="Emphasis">
    <w:name w:val="Emphasis"/>
    <w:qFormat/>
    <w:rsid w:val="003C6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val="en-GB" w:eastAsia="ja-JP"/>
    </w:rPr>
  </w:style>
  <w:style w:type="paragraph" w:styleId="Heading1">
    <w:name w:val="heading 1"/>
    <w:basedOn w:val="Normal"/>
    <w:next w:val="Normal"/>
    <w:qFormat/>
    <w:pPr>
      <w:keepNext/>
      <w:spacing w:before="240" w:after="60"/>
      <w:outlineLvl w:val="0"/>
    </w:pPr>
    <w:rPr>
      <w:rFonts w:cs="Arial"/>
      <w:bCs/>
      <w:smallCaps/>
      <w:kern w:val="32"/>
      <w:sz w:val="32"/>
      <w:szCs w:val="32"/>
    </w:rPr>
  </w:style>
  <w:style w:type="paragraph" w:styleId="Heading2">
    <w:name w:val="heading 2"/>
    <w:basedOn w:val="Normal"/>
    <w:next w:val="Normal"/>
    <w:autoRedefine/>
    <w:qFormat/>
    <w:rsid w:val="00C90AC0"/>
    <w:pPr>
      <w:keepNext/>
      <w:jc w:val="both"/>
      <w:outlineLvl w:val="1"/>
    </w:pPr>
    <w:rPr>
      <w:rFonts w:cs="Arial"/>
      <w:b/>
      <w:bCs/>
      <w:iCs/>
      <w:sz w:val="28"/>
      <w:szCs w:val="28"/>
    </w:rPr>
  </w:style>
  <w:style w:type="paragraph" w:styleId="Heading3">
    <w:name w:val="heading 3"/>
    <w:basedOn w:val="Normal"/>
    <w:next w:val="Normal"/>
    <w:autoRedefine/>
    <w:qFormat/>
    <w:rsid w:val="00790075"/>
    <w:pPr>
      <w:keepNext/>
      <w:jc w:val="both"/>
      <w:outlineLvl w:val="2"/>
    </w:pPr>
    <w:rPr>
      <w:rFonts w:cs="Arial"/>
      <w:b/>
      <w:bCs/>
      <w:i/>
      <w:szCs w:val="26"/>
    </w:rPr>
  </w:style>
  <w:style w:type="paragraph" w:styleId="Heading4">
    <w:name w:val="heading 4"/>
    <w:basedOn w:val="Normal"/>
    <w:next w:val="Normal"/>
    <w:qFormat/>
    <w:locked/>
    <w:pPr>
      <w:keepNext/>
      <w:spacing w:before="240" w:after="60"/>
      <w:ind w:left="720"/>
      <w:outlineLvl w:val="3"/>
    </w:pPr>
    <w:rPr>
      <w:bCs/>
      <w:i/>
      <w:szCs w:val="28"/>
    </w:rPr>
  </w:style>
  <w:style w:type="paragraph" w:styleId="Heading5">
    <w:name w:val="heading 5"/>
    <w:basedOn w:val="Normal"/>
    <w:next w:val="Normal"/>
    <w:qFormat/>
    <w:locked/>
    <w:pPr>
      <w:spacing w:before="240" w:after="60"/>
      <w:outlineLvl w:val="4"/>
    </w:pPr>
    <w:rPr>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F547E"/>
    <w:pPr>
      <w:ind w:left="240"/>
    </w:pPr>
    <w:rPr>
      <w:sz w:val="20"/>
    </w:rPr>
  </w:style>
  <w:style w:type="paragraph" w:styleId="TOC3">
    <w:name w:val="toc 3"/>
    <w:basedOn w:val="Normal"/>
    <w:next w:val="Normal"/>
    <w:autoRedefine/>
    <w:uiPriority w:val="39"/>
    <w:rsid w:val="007F547E"/>
    <w:pPr>
      <w:ind w:left="480"/>
    </w:pPr>
    <w:rPr>
      <w:i/>
      <w:sz w:val="18"/>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ListParagraph">
    <w:name w:val="List Paragraph"/>
    <w:basedOn w:val="Normal"/>
    <w:qFormat/>
    <w:pPr>
      <w:ind w:left="720"/>
    </w:pPr>
    <w:rPr>
      <w:rFonts w:eastAsia="Malgun Gothic"/>
      <w:szCs w:val="22"/>
      <w:lang w:val="en-US" w:eastAsia="en-US"/>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TOC1">
    <w:name w:val="toc 1"/>
    <w:basedOn w:val="Normal"/>
    <w:next w:val="Normal"/>
    <w:autoRedefine/>
    <w:uiPriority w:val="39"/>
    <w:rsid w:val="007F547E"/>
    <w:pPr>
      <w:spacing w:before="1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table" w:styleId="TableGrid">
    <w:name w:val="Table Grid"/>
    <w:basedOn w:val="TableNormal"/>
    <w:uiPriority w:val="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locked/>
    <w:rPr>
      <w:rFonts w:ascii="Tahoma" w:hAnsi="Tahoma"/>
      <w:sz w:val="16"/>
      <w:lang w:val="en-GB" w:eastAsia="ja-JP"/>
    </w:rPr>
  </w:style>
  <w:style w:type="character" w:styleId="CommentReference">
    <w:name w:val="annotation reference"/>
    <w:semiHidden/>
    <w:rsid w:val="0073632C"/>
    <w:rPr>
      <w:rFonts w:cs="Times New Roman"/>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character" w:customStyle="1" w:styleId="FootnoteTextChar">
    <w:name w:val="Footnote Text Char"/>
    <w:link w:val="FootnoteText"/>
    <w:semiHidden/>
    <w:locked/>
    <w:rsid w:val="006F6D9B"/>
    <w:rPr>
      <w:rFonts w:ascii="Calibri" w:eastAsia="MS Mincho" w:hAnsi="Calibri" w:cs="Times New Roman"/>
      <w:lang w:val="en-GB" w:eastAsia="ja-JP" w:bidi="ar-SA"/>
    </w:rPr>
  </w:style>
  <w:style w:type="paragraph" w:customStyle="1" w:styleId="Default">
    <w:name w:val="Default"/>
    <w:rsid w:val="006F6D9B"/>
    <w:pPr>
      <w:autoSpaceDE w:val="0"/>
      <w:autoSpaceDN w:val="0"/>
      <w:adjustRightInd w:val="0"/>
    </w:pPr>
    <w:rPr>
      <w:rFonts w:ascii="Calibri" w:hAnsi="Calibri" w:cs="Calibri"/>
      <w:color w:val="000000"/>
      <w:sz w:val="24"/>
      <w:szCs w:val="24"/>
      <w:lang w:val="nl-BE"/>
    </w:rPr>
  </w:style>
  <w:style w:type="character" w:styleId="HTMLCite">
    <w:name w:val="HTML Cite"/>
    <w:rsid w:val="006F6D9B"/>
    <w:rPr>
      <w:rFonts w:cs="Times New Roman"/>
      <w:i/>
    </w:rPr>
  </w:style>
  <w:style w:type="paragraph" w:styleId="TOC4">
    <w:name w:val="toc 4"/>
    <w:basedOn w:val="Normal"/>
    <w:next w:val="Normal"/>
    <w:autoRedefine/>
    <w:semiHidden/>
    <w:rsid w:val="00E01BC9"/>
    <w:pPr>
      <w:ind w:left="660"/>
    </w:pPr>
  </w:style>
  <w:style w:type="paragraph" w:styleId="TOC5">
    <w:name w:val="toc 5"/>
    <w:basedOn w:val="Normal"/>
    <w:next w:val="Normal"/>
    <w:autoRedefine/>
    <w:semiHidden/>
    <w:rsid w:val="00E01BC9"/>
    <w:pPr>
      <w:ind w:left="880"/>
    </w:pPr>
  </w:style>
  <w:style w:type="paragraph" w:styleId="TOC6">
    <w:name w:val="toc 6"/>
    <w:basedOn w:val="Normal"/>
    <w:next w:val="Normal"/>
    <w:autoRedefine/>
    <w:semiHidden/>
    <w:rsid w:val="00E01BC9"/>
    <w:pPr>
      <w:ind w:left="1100"/>
    </w:pPr>
  </w:style>
  <w:style w:type="paragraph" w:styleId="TOC7">
    <w:name w:val="toc 7"/>
    <w:basedOn w:val="Normal"/>
    <w:next w:val="Normal"/>
    <w:autoRedefine/>
    <w:semiHidden/>
    <w:rsid w:val="00E01BC9"/>
    <w:pPr>
      <w:ind w:left="1320"/>
    </w:pPr>
  </w:style>
  <w:style w:type="paragraph" w:styleId="TOC8">
    <w:name w:val="toc 8"/>
    <w:basedOn w:val="Normal"/>
    <w:next w:val="Normal"/>
    <w:autoRedefine/>
    <w:semiHidden/>
    <w:rsid w:val="00E01BC9"/>
    <w:pPr>
      <w:ind w:left="1540"/>
    </w:pPr>
  </w:style>
  <w:style w:type="paragraph" w:styleId="TOC9">
    <w:name w:val="toc 9"/>
    <w:basedOn w:val="Normal"/>
    <w:next w:val="Normal"/>
    <w:autoRedefine/>
    <w:semiHidden/>
    <w:rsid w:val="00E01BC9"/>
    <w:pPr>
      <w:ind w:left="1760"/>
    </w:pPr>
  </w:style>
  <w:style w:type="paragraph" w:styleId="Revision">
    <w:name w:val="Revision"/>
    <w:hidden/>
    <w:semiHidden/>
    <w:rsid w:val="00756803"/>
    <w:rPr>
      <w:rFonts w:ascii="Calibri" w:hAnsi="Calibri"/>
      <w:sz w:val="22"/>
      <w:szCs w:val="24"/>
      <w:lang w:val="en-GB" w:eastAsia="ja-JP"/>
    </w:rPr>
  </w:style>
  <w:style w:type="character" w:styleId="FollowedHyperlink">
    <w:name w:val="FollowedHyperlink"/>
    <w:rsid w:val="00637890"/>
    <w:rPr>
      <w:rFonts w:cs="Times New Roman"/>
      <w:color w:val="800080"/>
      <w:u w:val="single"/>
    </w:rPr>
  </w:style>
  <w:style w:type="paragraph" w:styleId="Date">
    <w:name w:val="Date"/>
    <w:basedOn w:val="Normal"/>
    <w:next w:val="Normal"/>
    <w:rsid w:val="00CB47B9"/>
  </w:style>
  <w:style w:type="paragraph" w:styleId="NoSpacing">
    <w:name w:val="No Spacing"/>
    <w:link w:val="NoSpacingChar"/>
    <w:uiPriority w:val="1"/>
    <w:qFormat/>
    <w:rsid w:val="00297476"/>
    <w:rPr>
      <w:rFonts w:ascii="Calibri" w:hAnsi="Calibri" w:cs="Arial"/>
      <w:sz w:val="22"/>
      <w:szCs w:val="22"/>
      <w:lang w:eastAsia="ja-JP"/>
    </w:rPr>
  </w:style>
  <w:style w:type="character" w:customStyle="1" w:styleId="NoSpacingChar">
    <w:name w:val="No Spacing Char"/>
    <w:link w:val="NoSpacing"/>
    <w:uiPriority w:val="1"/>
    <w:rsid w:val="00297476"/>
    <w:rPr>
      <w:rFonts w:ascii="Calibri" w:hAnsi="Calibri" w:cs="Arial"/>
      <w:sz w:val="22"/>
      <w:szCs w:val="22"/>
      <w:lang w:val="en-US" w:eastAsia="ja-JP"/>
    </w:rPr>
  </w:style>
  <w:style w:type="character" w:customStyle="1" w:styleId="FooterChar">
    <w:name w:val="Footer Char"/>
    <w:link w:val="Footer"/>
    <w:uiPriority w:val="99"/>
    <w:rsid w:val="001113A5"/>
    <w:rPr>
      <w:rFonts w:ascii="Calibri" w:hAnsi="Calibri"/>
      <w:sz w:val="18"/>
      <w:szCs w:val="24"/>
      <w:lang w:val="en-GB" w:eastAsia="ja-JP"/>
    </w:rPr>
  </w:style>
  <w:style w:type="character" w:customStyle="1" w:styleId="HeaderChar">
    <w:name w:val="Header Char"/>
    <w:link w:val="Header"/>
    <w:uiPriority w:val="99"/>
    <w:rsid w:val="001113A5"/>
    <w:rPr>
      <w:rFonts w:ascii="Calibri" w:hAnsi="Calibri"/>
      <w:sz w:val="22"/>
      <w:szCs w:val="24"/>
      <w:lang w:val="en-GB" w:eastAsia="ja-JP"/>
    </w:rPr>
  </w:style>
  <w:style w:type="character" w:customStyle="1" w:styleId="st">
    <w:name w:val="st"/>
    <w:basedOn w:val="DefaultParagraphFont"/>
    <w:rsid w:val="003C6E55"/>
  </w:style>
  <w:style w:type="character" w:styleId="Emphasis">
    <w:name w:val="Emphasis"/>
    <w:qFormat/>
    <w:rsid w:val="003C6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7259">
      <w:bodyDiv w:val="1"/>
      <w:marLeft w:val="0"/>
      <w:marRight w:val="0"/>
      <w:marTop w:val="0"/>
      <w:marBottom w:val="0"/>
      <w:divBdr>
        <w:top w:val="none" w:sz="0" w:space="0" w:color="auto"/>
        <w:left w:val="none" w:sz="0" w:space="0" w:color="auto"/>
        <w:bottom w:val="none" w:sz="0" w:space="0" w:color="auto"/>
        <w:right w:val="none" w:sz="0" w:space="0" w:color="auto"/>
      </w:divBdr>
      <w:divsChild>
        <w:div w:id="27293550">
          <w:marLeft w:val="0"/>
          <w:marRight w:val="0"/>
          <w:marTop w:val="0"/>
          <w:marBottom w:val="0"/>
          <w:divBdr>
            <w:top w:val="none" w:sz="0" w:space="0" w:color="auto"/>
            <w:left w:val="none" w:sz="0" w:space="0" w:color="auto"/>
            <w:bottom w:val="none" w:sz="0" w:space="0" w:color="auto"/>
            <w:right w:val="none" w:sz="0" w:space="0" w:color="auto"/>
          </w:divBdr>
        </w:div>
        <w:div w:id="111246978">
          <w:marLeft w:val="0"/>
          <w:marRight w:val="0"/>
          <w:marTop w:val="0"/>
          <w:marBottom w:val="0"/>
          <w:divBdr>
            <w:top w:val="none" w:sz="0" w:space="0" w:color="auto"/>
            <w:left w:val="none" w:sz="0" w:space="0" w:color="auto"/>
            <w:bottom w:val="none" w:sz="0" w:space="0" w:color="auto"/>
            <w:right w:val="none" w:sz="0" w:space="0" w:color="auto"/>
          </w:divBdr>
        </w:div>
        <w:div w:id="163011670">
          <w:marLeft w:val="0"/>
          <w:marRight w:val="0"/>
          <w:marTop w:val="0"/>
          <w:marBottom w:val="0"/>
          <w:divBdr>
            <w:top w:val="none" w:sz="0" w:space="0" w:color="auto"/>
            <w:left w:val="none" w:sz="0" w:space="0" w:color="auto"/>
            <w:bottom w:val="none" w:sz="0" w:space="0" w:color="auto"/>
            <w:right w:val="none" w:sz="0" w:space="0" w:color="auto"/>
          </w:divBdr>
        </w:div>
        <w:div w:id="187917444">
          <w:marLeft w:val="0"/>
          <w:marRight w:val="0"/>
          <w:marTop w:val="0"/>
          <w:marBottom w:val="0"/>
          <w:divBdr>
            <w:top w:val="none" w:sz="0" w:space="0" w:color="auto"/>
            <w:left w:val="none" w:sz="0" w:space="0" w:color="auto"/>
            <w:bottom w:val="none" w:sz="0" w:space="0" w:color="auto"/>
            <w:right w:val="none" w:sz="0" w:space="0" w:color="auto"/>
          </w:divBdr>
        </w:div>
        <w:div w:id="254021986">
          <w:marLeft w:val="0"/>
          <w:marRight w:val="0"/>
          <w:marTop w:val="0"/>
          <w:marBottom w:val="0"/>
          <w:divBdr>
            <w:top w:val="none" w:sz="0" w:space="0" w:color="auto"/>
            <w:left w:val="none" w:sz="0" w:space="0" w:color="auto"/>
            <w:bottom w:val="none" w:sz="0" w:space="0" w:color="auto"/>
            <w:right w:val="none" w:sz="0" w:space="0" w:color="auto"/>
          </w:divBdr>
        </w:div>
        <w:div w:id="257637120">
          <w:marLeft w:val="0"/>
          <w:marRight w:val="0"/>
          <w:marTop w:val="0"/>
          <w:marBottom w:val="0"/>
          <w:divBdr>
            <w:top w:val="none" w:sz="0" w:space="0" w:color="auto"/>
            <w:left w:val="none" w:sz="0" w:space="0" w:color="auto"/>
            <w:bottom w:val="none" w:sz="0" w:space="0" w:color="auto"/>
            <w:right w:val="none" w:sz="0" w:space="0" w:color="auto"/>
          </w:divBdr>
        </w:div>
        <w:div w:id="303242203">
          <w:marLeft w:val="0"/>
          <w:marRight w:val="0"/>
          <w:marTop w:val="0"/>
          <w:marBottom w:val="0"/>
          <w:divBdr>
            <w:top w:val="none" w:sz="0" w:space="0" w:color="auto"/>
            <w:left w:val="none" w:sz="0" w:space="0" w:color="auto"/>
            <w:bottom w:val="none" w:sz="0" w:space="0" w:color="auto"/>
            <w:right w:val="none" w:sz="0" w:space="0" w:color="auto"/>
          </w:divBdr>
        </w:div>
        <w:div w:id="365567198">
          <w:marLeft w:val="0"/>
          <w:marRight w:val="0"/>
          <w:marTop w:val="0"/>
          <w:marBottom w:val="0"/>
          <w:divBdr>
            <w:top w:val="none" w:sz="0" w:space="0" w:color="auto"/>
            <w:left w:val="none" w:sz="0" w:space="0" w:color="auto"/>
            <w:bottom w:val="none" w:sz="0" w:space="0" w:color="auto"/>
            <w:right w:val="none" w:sz="0" w:space="0" w:color="auto"/>
          </w:divBdr>
        </w:div>
        <w:div w:id="484515603">
          <w:marLeft w:val="0"/>
          <w:marRight w:val="0"/>
          <w:marTop w:val="0"/>
          <w:marBottom w:val="0"/>
          <w:divBdr>
            <w:top w:val="none" w:sz="0" w:space="0" w:color="auto"/>
            <w:left w:val="none" w:sz="0" w:space="0" w:color="auto"/>
            <w:bottom w:val="none" w:sz="0" w:space="0" w:color="auto"/>
            <w:right w:val="none" w:sz="0" w:space="0" w:color="auto"/>
          </w:divBdr>
        </w:div>
        <w:div w:id="724917120">
          <w:marLeft w:val="0"/>
          <w:marRight w:val="0"/>
          <w:marTop w:val="0"/>
          <w:marBottom w:val="0"/>
          <w:divBdr>
            <w:top w:val="none" w:sz="0" w:space="0" w:color="auto"/>
            <w:left w:val="none" w:sz="0" w:space="0" w:color="auto"/>
            <w:bottom w:val="none" w:sz="0" w:space="0" w:color="auto"/>
            <w:right w:val="none" w:sz="0" w:space="0" w:color="auto"/>
          </w:divBdr>
        </w:div>
        <w:div w:id="867060812">
          <w:marLeft w:val="0"/>
          <w:marRight w:val="0"/>
          <w:marTop w:val="0"/>
          <w:marBottom w:val="0"/>
          <w:divBdr>
            <w:top w:val="none" w:sz="0" w:space="0" w:color="auto"/>
            <w:left w:val="none" w:sz="0" w:space="0" w:color="auto"/>
            <w:bottom w:val="none" w:sz="0" w:space="0" w:color="auto"/>
            <w:right w:val="none" w:sz="0" w:space="0" w:color="auto"/>
          </w:divBdr>
        </w:div>
        <w:div w:id="951017361">
          <w:marLeft w:val="0"/>
          <w:marRight w:val="0"/>
          <w:marTop w:val="0"/>
          <w:marBottom w:val="0"/>
          <w:divBdr>
            <w:top w:val="none" w:sz="0" w:space="0" w:color="auto"/>
            <w:left w:val="none" w:sz="0" w:space="0" w:color="auto"/>
            <w:bottom w:val="none" w:sz="0" w:space="0" w:color="auto"/>
            <w:right w:val="none" w:sz="0" w:space="0" w:color="auto"/>
          </w:divBdr>
        </w:div>
        <w:div w:id="970286810">
          <w:marLeft w:val="0"/>
          <w:marRight w:val="0"/>
          <w:marTop w:val="0"/>
          <w:marBottom w:val="0"/>
          <w:divBdr>
            <w:top w:val="none" w:sz="0" w:space="0" w:color="auto"/>
            <w:left w:val="none" w:sz="0" w:space="0" w:color="auto"/>
            <w:bottom w:val="none" w:sz="0" w:space="0" w:color="auto"/>
            <w:right w:val="none" w:sz="0" w:space="0" w:color="auto"/>
          </w:divBdr>
        </w:div>
        <w:div w:id="1015426671">
          <w:marLeft w:val="0"/>
          <w:marRight w:val="0"/>
          <w:marTop w:val="0"/>
          <w:marBottom w:val="0"/>
          <w:divBdr>
            <w:top w:val="none" w:sz="0" w:space="0" w:color="auto"/>
            <w:left w:val="none" w:sz="0" w:space="0" w:color="auto"/>
            <w:bottom w:val="none" w:sz="0" w:space="0" w:color="auto"/>
            <w:right w:val="none" w:sz="0" w:space="0" w:color="auto"/>
          </w:divBdr>
        </w:div>
        <w:div w:id="1041176099">
          <w:marLeft w:val="0"/>
          <w:marRight w:val="0"/>
          <w:marTop w:val="0"/>
          <w:marBottom w:val="0"/>
          <w:divBdr>
            <w:top w:val="none" w:sz="0" w:space="0" w:color="auto"/>
            <w:left w:val="none" w:sz="0" w:space="0" w:color="auto"/>
            <w:bottom w:val="none" w:sz="0" w:space="0" w:color="auto"/>
            <w:right w:val="none" w:sz="0" w:space="0" w:color="auto"/>
          </w:divBdr>
        </w:div>
        <w:div w:id="1177303926">
          <w:marLeft w:val="0"/>
          <w:marRight w:val="0"/>
          <w:marTop w:val="0"/>
          <w:marBottom w:val="0"/>
          <w:divBdr>
            <w:top w:val="none" w:sz="0" w:space="0" w:color="auto"/>
            <w:left w:val="none" w:sz="0" w:space="0" w:color="auto"/>
            <w:bottom w:val="none" w:sz="0" w:space="0" w:color="auto"/>
            <w:right w:val="none" w:sz="0" w:space="0" w:color="auto"/>
          </w:divBdr>
        </w:div>
        <w:div w:id="1187254971">
          <w:marLeft w:val="0"/>
          <w:marRight w:val="0"/>
          <w:marTop w:val="0"/>
          <w:marBottom w:val="0"/>
          <w:divBdr>
            <w:top w:val="none" w:sz="0" w:space="0" w:color="auto"/>
            <w:left w:val="none" w:sz="0" w:space="0" w:color="auto"/>
            <w:bottom w:val="none" w:sz="0" w:space="0" w:color="auto"/>
            <w:right w:val="none" w:sz="0" w:space="0" w:color="auto"/>
          </w:divBdr>
        </w:div>
        <w:div w:id="1280146243">
          <w:marLeft w:val="0"/>
          <w:marRight w:val="0"/>
          <w:marTop w:val="0"/>
          <w:marBottom w:val="0"/>
          <w:divBdr>
            <w:top w:val="none" w:sz="0" w:space="0" w:color="auto"/>
            <w:left w:val="none" w:sz="0" w:space="0" w:color="auto"/>
            <w:bottom w:val="none" w:sz="0" w:space="0" w:color="auto"/>
            <w:right w:val="none" w:sz="0" w:space="0" w:color="auto"/>
          </w:divBdr>
        </w:div>
        <w:div w:id="1364477004">
          <w:marLeft w:val="0"/>
          <w:marRight w:val="0"/>
          <w:marTop w:val="0"/>
          <w:marBottom w:val="0"/>
          <w:divBdr>
            <w:top w:val="none" w:sz="0" w:space="0" w:color="auto"/>
            <w:left w:val="none" w:sz="0" w:space="0" w:color="auto"/>
            <w:bottom w:val="none" w:sz="0" w:space="0" w:color="auto"/>
            <w:right w:val="none" w:sz="0" w:space="0" w:color="auto"/>
          </w:divBdr>
        </w:div>
        <w:div w:id="1558660101">
          <w:marLeft w:val="0"/>
          <w:marRight w:val="0"/>
          <w:marTop w:val="0"/>
          <w:marBottom w:val="0"/>
          <w:divBdr>
            <w:top w:val="none" w:sz="0" w:space="0" w:color="auto"/>
            <w:left w:val="none" w:sz="0" w:space="0" w:color="auto"/>
            <w:bottom w:val="none" w:sz="0" w:space="0" w:color="auto"/>
            <w:right w:val="none" w:sz="0" w:space="0" w:color="auto"/>
          </w:divBdr>
        </w:div>
        <w:div w:id="1655186522">
          <w:marLeft w:val="0"/>
          <w:marRight w:val="0"/>
          <w:marTop w:val="0"/>
          <w:marBottom w:val="0"/>
          <w:divBdr>
            <w:top w:val="none" w:sz="0" w:space="0" w:color="auto"/>
            <w:left w:val="none" w:sz="0" w:space="0" w:color="auto"/>
            <w:bottom w:val="none" w:sz="0" w:space="0" w:color="auto"/>
            <w:right w:val="none" w:sz="0" w:space="0" w:color="auto"/>
          </w:divBdr>
        </w:div>
        <w:div w:id="1662002511">
          <w:marLeft w:val="0"/>
          <w:marRight w:val="0"/>
          <w:marTop w:val="0"/>
          <w:marBottom w:val="0"/>
          <w:divBdr>
            <w:top w:val="none" w:sz="0" w:space="0" w:color="auto"/>
            <w:left w:val="none" w:sz="0" w:space="0" w:color="auto"/>
            <w:bottom w:val="none" w:sz="0" w:space="0" w:color="auto"/>
            <w:right w:val="none" w:sz="0" w:space="0" w:color="auto"/>
          </w:divBdr>
        </w:div>
        <w:div w:id="1704866095">
          <w:marLeft w:val="0"/>
          <w:marRight w:val="0"/>
          <w:marTop w:val="0"/>
          <w:marBottom w:val="0"/>
          <w:divBdr>
            <w:top w:val="none" w:sz="0" w:space="0" w:color="auto"/>
            <w:left w:val="none" w:sz="0" w:space="0" w:color="auto"/>
            <w:bottom w:val="none" w:sz="0" w:space="0" w:color="auto"/>
            <w:right w:val="none" w:sz="0" w:space="0" w:color="auto"/>
          </w:divBdr>
        </w:div>
        <w:div w:id="1725181110">
          <w:marLeft w:val="0"/>
          <w:marRight w:val="0"/>
          <w:marTop w:val="0"/>
          <w:marBottom w:val="0"/>
          <w:divBdr>
            <w:top w:val="none" w:sz="0" w:space="0" w:color="auto"/>
            <w:left w:val="none" w:sz="0" w:space="0" w:color="auto"/>
            <w:bottom w:val="none" w:sz="0" w:space="0" w:color="auto"/>
            <w:right w:val="none" w:sz="0" w:space="0" w:color="auto"/>
          </w:divBdr>
        </w:div>
        <w:div w:id="1736975153">
          <w:marLeft w:val="0"/>
          <w:marRight w:val="0"/>
          <w:marTop w:val="0"/>
          <w:marBottom w:val="0"/>
          <w:divBdr>
            <w:top w:val="none" w:sz="0" w:space="0" w:color="auto"/>
            <w:left w:val="none" w:sz="0" w:space="0" w:color="auto"/>
            <w:bottom w:val="none" w:sz="0" w:space="0" w:color="auto"/>
            <w:right w:val="none" w:sz="0" w:space="0" w:color="auto"/>
          </w:divBdr>
        </w:div>
        <w:div w:id="1761834033">
          <w:marLeft w:val="0"/>
          <w:marRight w:val="0"/>
          <w:marTop w:val="0"/>
          <w:marBottom w:val="0"/>
          <w:divBdr>
            <w:top w:val="none" w:sz="0" w:space="0" w:color="auto"/>
            <w:left w:val="none" w:sz="0" w:space="0" w:color="auto"/>
            <w:bottom w:val="none" w:sz="0" w:space="0" w:color="auto"/>
            <w:right w:val="none" w:sz="0" w:space="0" w:color="auto"/>
          </w:divBdr>
        </w:div>
        <w:div w:id="1870289591">
          <w:marLeft w:val="0"/>
          <w:marRight w:val="0"/>
          <w:marTop w:val="0"/>
          <w:marBottom w:val="0"/>
          <w:divBdr>
            <w:top w:val="none" w:sz="0" w:space="0" w:color="auto"/>
            <w:left w:val="none" w:sz="0" w:space="0" w:color="auto"/>
            <w:bottom w:val="none" w:sz="0" w:space="0" w:color="auto"/>
            <w:right w:val="none" w:sz="0" w:space="0" w:color="auto"/>
          </w:divBdr>
        </w:div>
        <w:div w:id="1916738665">
          <w:marLeft w:val="0"/>
          <w:marRight w:val="0"/>
          <w:marTop w:val="0"/>
          <w:marBottom w:val="0"/>
          <w:divBdr>
            <w:top w:val="none" w:sz="0" w:space="0" w:color="auto"/>
            <w:left w:val="none" w:sz="0" w:space="0" w:color="auto"/>
            <w:bottom w:val="none" w:sz="0" w:space="0" w:color="auto"/>
            <w:right w:val="none" w:sz="0" w:space="0" w:color="auto"/>
          </w:divBdr>
        </w:div>
        <w:div w:id="1918661293">
          <w:marLeft w:val="0"/>
          <w:marRight w:val="0"/>
          <w:marTop w:val="0"/>
          <w:marBottom w:val="0"/>
          <w:divBdr>
            <w:top w:val="none" w:sz="0" w:space="0" w:color="auto"/>
            <w:left w:val="none" w:sz="0" w:space="0" w:color="auto"/>
            <w:bottom w:val="none" w:sz="0" w:space="0" w:color="auto"/>
            <w:right w:val="none" w:sz="0" w:space="0" w:color="auto"/>
          </w:divBdr>
        </w:div>
        <w:div w:id="2026588441">
          <w:marLeft w:val="0"/>
          <w:marRight w:val="0"/>
          <w:marTop w:val="0"/>
          <w:marBottom w:val="0"/>
          <w:divBdr>
            <w:top w:val="none" w:sz="0" w:space="0" w:color="auto"/>
            <w:left w:val="none" w:sz="0" w:space="0" w:color="auto"/>
            <w:bottom w:val="none" w:sz="0" w:space="0" w:color="auto"/>
            <w:right w:val="none" w:sz="0" w:space="0" w:color="auto"/>
          </w:divBdr>
        </w:div>
        <w:div w:id="2139251919">
          <w:marLeft w:val="0"/>
          <w:marRight w:val="0"/>
          <w:marTop w:val="0"/>
          <w:marBottom w:val="0"/>
          <w:divBdr>
            <w:top w:val="none" w:sz="0" w:space="0" w:color="auto"/>
            <w:left w:val="none" w:sz="0" w:space="0" w:color="auto"/>
            <w:bottom w:val="none" w:sz="0" w:space="0" w:color="auto"/>
            <w:right w:val="none" w:sz="0" w:space="0" w:color="auto"/>
          </w:divBdr>
        </w:div>
      </w:divsChild>
    </w:div>
    <w:div w:id="490484951">
      <w:bodyDiv w:val="1"/>
      <w:marLeft w:val="0"/>
      <w:marRight w:val="0"/>
      <w:marTop w:val="0"/>
      <w:marBottom w:val="0"/>
      <w:divBdr>
        <w:top w:val="none" w:sz="0" w:space="0" w:color="auto"/>
        <w:left w:val="none" w:sz="0" w:space="0" w:color="auto"/>
        <w:bottom w:val="none" w:sz="0" w:space="0" w:color="auto"/>
        <w:right w:val="none" w:sz="0" w:space="0" w:color="auto"/>
      </w:divBdr>
      <w:divsChild>
        <w:div w:id="1094857852">
          <w:marLeft w:val="0"/>
          <w:marRight w:val="0"/>
          <w:marTop w:val="0"/>
          <w:marBottom w:val="0"/>
          <w:divBdr>
            <w:top w:val="none" w:sz="0" w:space="0" w:color="auto"/>
            <w:left w:val="none" w:sz="0" w:space="0" w:color="auto"/>
            <w:bottom w:val="none" w:sz="0" w:space="0" w:color="auto"/>
            <w:right w:val="none" w:sz="0" w:space="0" w:color="auto"/>
          </w:divBdr>
          <w:divsChild>
            <w:div w:id="32119431">
              <w:marLeft w:val="0"/>
              <w:marRight w:val="0"/>
              <w:marTop w:val="0"/>
              <w:marBottom w:val="0"/>
              <w:divBdr>
                <w:top w:val="none" w:sz="0" w:space="0" w:color="auto"/>
                <w:left w:val="none" w:sz="0" w:space="0" w:color="auto"/>
                <w:bottom w:val="none" w:sz="0" w:space="0" w:color="auto"/>
                <w:right w:val="none" w:sz="0" w:space="0" w:color="auto"/>
              </w:divBdr>
            </w:div>
            <w:div w:id="137646686">
              <w:marLeft w:val="0"/>
              <w:marRight w:val="0"/>
              <w:marTop w:val="0"/>
              <w:marBottom w:val="0"/>
              <w:divBdr>
                <w:top w:val="none" w:sz="0" w:space="0" w:color="auto"/>
                <w:left w:val="none" w:sz="0" w:space="0" w:color="auto"/>
                <w:bottom w:val="none" w:sz="0" w:space="0" w:color="auto"/>
                <w:right w:val="none" w:sz="0" w:space="0" w:color="auto"/>
              </w:divBdr>
            </w:div>
            <w:div w:id="211699109">
              <w:marLeft w:val="0"/>
              <w:marRight w:val="0"/>
              <w:marTop w:val="0"/>
              <w:marBottom w:val="0"/>
              <w:divBdr>
                <w:top w:val="none" w:sz="0" w:space="0" w:color="auto"/>
                <w:left w:val="none" w:sz="0" w:space="0" w:color="auto"/>
                <w:bottom w:val="none" w:sz="0" w:space="0" w:color="auto"/>
                <w:right w:val="none" w:sz="0" w:space="0" w:color="auto"/>
              </w:divBdr>
            </w:div>
            <w:div w:id="283658883">
              <w:marLeft w:val="0"/>
              <w:marRight w:val="0"/>
              <w:marTop w:val="0"/>
              <w:marBottom w:val="0"/>
              <w:divBdr>
                <w:top w:val="none" w:sz="0" w:space="0" w:color="auto"/>
                <w:left w:val="none" w:sz="0" w:space="0" w:color="auto"/>
                <w:bottom w:val="none" w:sz="0" w:space="0" w:color="auto"/>
                <w:right w:val="none" w:sz="0" w:space="0" w:color="auto"/>
              </w:divBdr>
            </w:div>
            <w:div w:id="332421345">
              <w:marLeft w:val="0"/>
              <w:marRight w:val="0"/>
              <w:marTop w:val="0"/>
              <w:marBottom w:val="0"/>
              <w:divBdr>
                <w:top w:val="none" w:sz="0" w:space="0" w:color="auto"/>
                <w:left w:val="none" w:sz="0" w:space="0" w:color="auto"/>
                <w:bottom w:val="none" w:sz="0" w:space="0" w:color="auto"/>
                <w:right w:val="none" w:sz="0" w:space="0" w:color="auto"/>
              </w:divBdr>
            </w:div>
            <w:div w:id="358941668">
              <w:marLeft w:val="0"/>
              <w:marRight w:val="0"/>
              <w:marTop w:val="0"/>
              <w:marBottom w:val="0"/>
              <w:divBdr>
                <w:top w:val="none" w:sz="0" w:space="0" w:color="auto"/>
                <w:left w:val="none" w:sz="0" w:space="0" w:color="auto"/>
                <w:bottom w:val="none" w:sz="0" w:space="0" w:color="auto"/>
                <w:right w:val="none" w:sz="0" w:space="0" w:color="auto"/>
              </w:divBdr>
            </w:div>
            <w:div w:id="375086608">
              <w:marLeft w:val="0"/>
              <w:marRight w:val="0"/>
              <w:marTop w:val="0"/>
              <w:marBottom w:val="0"/>
              <w:divBdr>
                <w:top w:val="none" w:sz="0" w:space="0" w:color="auto"/>
                <w:left w:val="none" w:sz="0" w:space="0" w:color="auto"/>
                <w:bottom w:val="none" w:sz="0" w:space="0" w:color="auto"/>
                <w:right w:val="none" w:sz="0" w:space="0" w:color="auto"/>
              </w:divBdr>
            </w:div>
            <w:div w:id="421688347">
              <w:marLeft w:val="0"/>
              <w:marRight w:val="0"/>
              <w:marTop w:val="0"/>
              <w:marBottom w:val="0"/>
              <w:divBdr>
                <w:top w:val="none" w:sz="0" w:space="0" w:color="auto"/>
                <w:left w:val="none" w:sz="0" w:space="0" w:color="auto"/>
                <w:bottom w:val="none" w:sz="0" w:space="0" w:color="auto"/>
                <w:right w:val="none" w:sz="0" w:space="0" w:color="auto"/>
              </w:divBdr>
            </w:div>
            <w:div w:id="516039089">
              <w:marLeft w:val="0"/>
              <w:marRight w:val="0"/>
              <w:marTop w:val="0"/>
              <w:marBottom w:val="0"/>
              <w:divBdr>
                <w:top w:val="none" w:sz="0" w:space="0" w:color="auto"/>
                <w:left w:val="none" w:sz="0" w:space="0" w:color="auto"/>
                <w:bottom w:val="none" w:sz="0" w:space="0" w:color="auto"/>
                <w:right w:val="none" w:sz="0" w:space="0" w:color="auto"/>
              </w:divBdr>
            </w:div>
            <w:div w:id="602035933">
              <w:marLeft w:val="0"/>
              <w:marRight w:val="0"/>
              <w:marTop w:val="0"/>
              <w:marBottom w:val="0"/>
              <w:divBdr>
                <w:top w:val="none" w:sz="0" w:space="0" w:color="auto"/>
                <w:left w:val="none" w:sz="0" w:space="0" w:color="auto"/>
                <w:bottom w:val="none" w:sz="0" w:space="0" w:color="auto"/>
                <w:right w:val="none" w:sz="0" w:space="0" w:color="auto"/>
              </w:divBdr>
            </w:div>
            <w:div w:id="923145608">
              <w:marLeft w:val="0"/>
              <w:marRight w:val="0"/>
              <w:marTop w:val="0"/>
              <w:marBottom w:val="0"/>
              <w:divBdr>
                <w:top w:val="none" w:sz="0" w:space="0" w:color="auto"/>
                <w:left w:val="none" w:sz="0" w:space="0" w:color="auto"/>
                <w:bottom w:val="none" w:sz="0" w:space="0" w:color="auto"/>
                <w:right w:val="none" w:sz="0" w:space="0" w:color="auto"/>
              </w:divBdr>
            </w:div>
            <w:div w:id="1058633267">
              <w:marLeft w:val="0"/>
              <w:marRight w:val="0"/>
              <w:marTop w:val="0"/>
              <w:marBottom w:val="0"/>
              <w:divBdr>
                <w:top w:val="none" w:sz="0" w:space="0" w:color="auto"/>
                <w:left w:val="none" w:sz="0" w:space="0" w:color="auto"/>
                <w:bottom w:val="none" w:sz="0" w:space="0" w:color="auto"/>
                <w:right w:val="none" w:sz="0" w:space="0" w:color="auto"/>
              </w:divBdr>
            </w:div>
            <w:div w:id="1093625231">
              <w:marLeft w:val="0"/>
              <w:marRight w:val="0"/>
              <w:marTop w:val="0"/>
              <w:marBottom w:val="0"/>
              <w:divBdr>
                <w:top w:val="none" w:sz="0" w:space="0" w:color="auto"/>
                <w:left w:val="none" w:sz="0" w:space="0" w:color="auto"/>
                <w:bottom w:val="none" w:sz="0" w:space="0" w:color="auto"/>
                <w:right w:val="none" w:sz="0" w:space="0" w:color="auto"/>
              </w:divBdr>
            </w:div>
            <w:div w:id="1211767052">
              <w:marLeft w:val="0"/>
              <w:marRight w:val="0"/>
              <w:marTop w:val="0"/>
              <w:marBottom w:val="0"/>
              <w:divBdr>
                <w:top w:val="none" w:sz="0" w:space="0" w:color="auto"/>
                <w:left w:val="none" w:sz="0" w:space="0" w:color="auto"/>
                <w:bottom w:val="none" w:sz="0" w:space="0" w:color="auto"/>
                <w:right w:val="none" w:sz="0" w:space="0" w:color="auto"/>
              </w:divBdr>
            </w:div>
            <w:div w:id="1362168263">
              <w:marLeft w:val="0"/>
              <w:marRight w:val="0"/>
              <w:marTop w:val="0"/>
              <w:marBottom w:val="0"/>
              <w:divBdr>
                <w:top w:val="none" w:sz="0" w:space="0" w:color="auto"/>
                <w:left w:val="none" w:sz="0" w:space="0" w:color="auto"/>
                <w:bottom w:val="none" w:sz="0" w:space="0" w:color="auto"/>
                <w:right w:val="none" w:sz="0" w:space="0" w:color="auto"/>
              </w:divBdr>
            </w:div>
            <w:div w:id="1417823652">
              <w:marLeft w:val="0"/>
              <w:marRight w:val="0"/>
              <w:marTop w:val="0"/>
              <w:marBottom w:val="0"/>
              <w:divBdr>
                <w:top w:val="none" w:sz="0" w:space="0" w:color="auto"/>
                <w:left w:val="none" w:sz="0" w:space="0" w:color="auto"/>
                <w:bottom w:val="none" w:sz="0" w:space="0" w:color="auto"/>
                <w:right w:val="none" w:sz="0" w:space="0" w:color="auto"/>
              </w:divBdr>
            </w:div>
            <w:div w:id="1425613919">
              <w:marLeft w:val="0"/>
              <w:marRight w:val="0"/>
              <w:marTop w:val="0"/>
              <w:marBottom w:val="0"/>
              <w:divBdr>
                <w:top w:val="none" w:sz="0" w:space="0" w:color="auto"/>
                <w:left w:val="none" w:sz="0" w:space="0" w:color="auto"/>
                <w:bottom w:val="none" w:sz="0" w:space="0" w:color="auto"/>
                <w:right w:val="none" w:sz="0" w:space="0" w:color="auto"/>
              </w:divBdr>
            </w:div>
            <w:div w:id="1478180543">
              <w:marLeft w:val="0"/>
              <w:marRight w:val="0"/>
              <w:marTop w:val="0"/>
              <w:marBottom w:val="0"/>
              <w:divBdr>
                <w:top w:val="none" w:sz="0" w:space="0" w:color="auto"/>
                <w:left w:val="none" w:sz="0" w:space="0" w:color="auto"/>
                <w:bottom w:val="none" w:sz="0" w:space="0" w:color="auto"/>
                <w:right w:val="none" w:sz="0" w:space="0" w:color="auto"/>
              </w:divBdr>
            </w:div>
            <w:div w:id="1535844388">
              <w:marLeft w:val="0"/>
              <w:marRight w:val="0"/>
              <w:marTop w:val="0"/>
              <w:marBottom w:val="0"/>
              <w:divBdr>
                <w:top w:val="none" w:sz="0" w:space="0" w:color="auto"/>
                <w:left w:val="none" w:sz="0" w:space="0" w:color="auto"/>
                <w:bottom w:val="none" w:sz="0" w:space="0" w:color="auto"/>
                <w:right w:val="none" w:sz="0" w:space="0" w:color="auto"/>
              </w:divBdr>
            </w:div>
            <w:div w:id="1593658060">
              <w:marLeft w:val="0"/>
              <w:marRight w:val="0"/>
              <w:marTop w:val="0"/>
              <w:marBottom w:val="0"/>
              <w:divBdr>
                <w:top w:val="none" w:sz="0" w:space="0" w:color="auto"/>
                <w:left w:val="none" w:sz="0" w:space="0" w:color="auto"/>
                <w:bottom w:val="none" w:sz="0" w:space="0" w:color="auto"/>
                <w:right w:val="none" w:sz="0" w:space="0" w:color="auto"/>
              </w:divBdr>
            </w:div>
            <w:div w:id="1671327648">
              <w:marLeft w:val="0"/>
              <w:marRight w:val="0"/>
              <w:marTop w:val="0"/>
              <w:marBottom w:val="0"/>
              <w:divBdr>
                <w:top w:val="none" w:sz="0" w:space="0" w:color="auto"/>
                <w:left w:val="none" w:sz="0" w:space="0" w:color="auto"/>
                <w:bottom w:val="none" w:sz="0" w:space="0" w:color="auto"/>
                <w:right w:val="none" w:sz="0" w:space="0" w:color="auto"/>
              </w:divBdr>
            </w:div>
            <w:div w:id="1947495718">
              <w:marLeft w:val="0"/>
              <w:marRight w:val="0"/>
              <w:marTop w:val="0"/>
              <w:marBottom w:val="0"/>
              <w:divBdr>
                <w:top w:val="none" w:sz="0" w:space="0" w:color="auto"/>
                <w:left w:val="none" w:sz="0" w:space="0" w:color="auto"/>
                <w:bottom w:val="none" w:sz="0" w:space="0" w:color="auto"/>
                <w:right w:val="none" w:sz="0" w:space="0" w:color="auto"/>
              </w:divBdr>
            </w:div>
            <w:div w:id="2031491943">
              <w:marLeft w:val="0"/>
              <w:marRight w:val="0"/>
              <w:marTop w:val="0"/>
              <w:marBottom w:val="0"/>
              <w:divBdr>
                <w:top w:val="none" w:sz="0" w:space="0" w:color="auto"/>
                <w:left w:val="none" w:sz="0" w:space="0" w:color="auto"/>
                <w:bottom w:val="none" w:sz="0" w:space="0" w:color="auto"/>
                <w:right w:val="none" w:sz="0" w:space="0" w:color="auto"/>
              </w:divBdr>
            </w:div>
            <w:div w:id="20497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9238">
      <w:bodyDiv w:val="1"/>
      <w:marLeft w:val="0"/>
      <w:marRight w:val="0"/>
      <w:marTop w:val="0"/>
      <w:marBottom w:val="0"/>
      <w:divBdr>
        <w:top w:val="none" w:sz="0" w:space="0" w:color="auto"/>
        <w:left w:val="none" w:sz="0" w:space="0" w:color="auto"/>
        <w:bottom w:val="none" w:sz="0" w:space="0" w:color="auto"/>
        <w:right w:val="none" w:sz="0" w:space="0" w:color="auto"/>
      </w:divBdr>
    </w:div>
    <w:div w:id="1673414857">
      <w:bodyDiv w:val="1"/>
      <w:marLeft w:val="0"/>
      <w:marRight w:val="0"/>
      <w:marTop w:val="0"/>
      <w:marBottom w:val="0"/>
      <w:divBdr>
        <w:top w:val="none" w:sz="0" w:space="0" w:color="auto"/>
        <w:left w:val="none" w:sz="0" w:space="0" w:color="auto"/>
        <w:bottom w:val="none" w:sz="0" w:space="0" w:color="auto"/>
        <w:right w:val="none" w:sz="0" w:space="0" w:color="auto"/>
      </w:divBdr>
    </w:div>
    <w:div w:id="1683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ts.oecd.org/OECDStat_Metadata/ShowMetadata.ashx?Dataset=TABLE5&amp;Coords=%5bSECTOR%5d.%5b400%5d&amp;ShowOnWeb=true&amp;Lang=en" TargetMode="External"/><Relationship Id="rId18" Type="http://schemas.openxmlformats.org/officeDocument/2006/relationships/image" Target="media/image3.emf"/><Relationship Id="rId26" Type="http://schemas.openxmlformats.org/officeDocument/2006/relationships/hyperlink" Target="http://www.strategie.gouv.fr/system/files/2012-11-27-bop-na-307.pdf" TargetMode="External"/><Relationship Id="rId39" Type="http://schemas.openxmlformats.org/officeDocument/2006/relationships/hyperlink" Target="http://unctad.org/sections/dite_dir/docs//diae_G20_Indicators_Report_en.pdf" TargetMode="External"/><Relationship Id="rId21" Type="http://schemas.openxmlformats.org/officeDocument/2006/relationships/hyperlink" Target="http://www.ilo.org/global/about-the-ilo/decent-work-agenda/social-protection/lang--es/index.htm" TargetMode="External"/><Relationship Id="rId34" Type="http://schemas.openxmlformats.org/officeDocument/2006/relationships/hyperlink" Target="http://www.g20mexico.org/images/stories/docs/canalsherpas/binfotrab.pdf" TargetMode="External"/><Relationship Id="rId42" Type="http://schemas.openxmlformats.org/officeDocument/2006/relationships/hyperlink" Target="http://www.boell.org/downloads/MDBs_Infrastructure_Action_Plan.pdf" TargetMode="External"/><Relationship Id="rId47" Type="http://schemas.openxmlformats.org/officeDocument/2006/relationships/hyperlink" Target="http://www.oecd.org/ctp/tax-global/TaxMorale_march13.pdf" TargetMode="External"/><Relationship Id="rId50" Type="http://schemas.openxmlformats.org/officeDocument/2006/relationships/hyperlink" Target="http://www.realityofaid.org"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ts.oecd.org/OECDStat_Metadata/ShowMetadata.ashx?Dataset=TABLE5&amp;Coords=%5bSECTOR%5d.%5b300%5d&amp;ShowOnWeb=true&amp;Lang=en" TargetMode="External"/><Relationship Id="rId17" Type="http://schemas.openxmlformats.org/officeDocument/2006/relationships/image" Target="media/image2.emf"/><Relationship Id="rId25" Type="http://schemas.openxmlformats.org/officeDocument/2006/relationships/hyperlink" Target="http://www.brettonwoodsproject.org/art-572062" TargetMode="External"/><Relationship Id="rId33" Type="http://schemas.openxmlformats.org/officeDocument/2006/relationships/hyperlink" Target="http://www.canadainternational.gc.ca/g20/summit-sommet/2011/DWG_20111104.aspx" TargetMode="External"/><Relationship Id="rId38" Type="http://schemas.openxmlformats.org/officeDocument/2006/relationships/hyperlink" Target="http://unctad.org/meetings/en/Miscellaneous%20Documents/diae_g20_Mexico_en.pdf" TargetMode="External"/><Relationship Id="rId46" Type="http://schemas.openxmlformats.org/officeDocument/2006/relationships/hyperlink" Target="http://www.oecd-ilibrary.org/finance-and-investment/infrastructure-investment-in-new-markets_5k8xff424vln-en" TargetMode="External"/><Relationship Id="rId2" Type="http://schemas.openxmlformats.org/officeDocument/2006/relationships/numbering" Target="numbering.xml"/><Relationship Id="rId16" Type="http://schemas.openxmlformats.org/officeDocument/2006/relationships/hyperlink" Target="http://stats.oecd.org/OECDStat_Metadata/ShowMetadata.ashx?Dataset=TABLE5&amp;Coords=%5bSECTOR%5d.%5b998%5d&amp;ShowOnWeb=true&amp;Lang=en" TargetMode="External"/><Relationship Id="rId20" Type="http://schemas.openxmlformats.org/officeDocument/2006/relationships/hyperlink" Target="http://www.ilo.org/global/about-the-ilo/decent-work-agenda/rights-at-work/lang--es/index.htm" TargetMode="External"/><Relationship Id="rId29" Type="http://schemas.openxmlformats.org/officeDocument/2006/relationships/hyperlink" Target="http://www.ecdpm.org/dp131" TargetMode="External"/><Relationship Id="rId41" Type="http://schemas.openxmlformats.org/officeDocument/2006/relationships/hyperlink" Target="http://www.ccic.ca/_files/en/what_we_do/2013-01-11_The%20Business_of_Development.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s.oecd.org/OECDStat_Metadata/ShowMetadata.ashx?Dataset=TABLE5&amp;Coords=%5bSECTOR%5d.%5b200%5d&amp;ShowOnWeb=true&amp;Lang=en" TargetMode="External"/><Relationship Id="rId24" Type="http://schemas.openxmlformats.org/officeDocument/2006/relationships/hyperlink" Target="http://www.boell.org/downloads/Alexander_G20_spanish.pdf" TargetMode="External"/><Relationship Id="rId32" Type="http://schemas.openxmlformats.org/officeDocument/2006/relationships/hyperlink" Target="http://www.g20.utoronto.ca/2010/g20seoul-development.html" TargetMode="External"/><Relationship Id="rId37" Type="http://schemas.openxmlformats.org/officeDocument/2006/relationships/hyperlink" Target="http://unctad.org/sections/dite_dir/docs//diae_G20_CSR_Standards_Report_en.pdf" TargetMode="External"/><Relationship Id="rId40" Type="http://schemas.openxmlformats.org/officeDocument/2006/relationships/hyperlink" Target="http://www1.ifc.org/wps/wcm/connect/251803004d19d9ceb933fdf81ee631cc/G20_Challenge_on_Inclusive_Business_Innovation_policy_note.pdf?MOD=AJPERES" TargetMode="External"/><Relationship Id="rId45" Type="http://schemas.openxmlformats.org/officeDocument/2006/relationships/hyperlink" Target="http://www.oecd.org/development/effectiveness/49211825.pdf"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ts.oecd.org/OECDStat_Metadata/ShowMetadata.ashx?Dataset=TABLE5&amp;Coords=%5bSECTOR%5d.%5b700%5d&amp;ShowOnWeb=true&amp;Lang=en" TargetMode="External"/><Relationship Id="rId23" Type="http://schemas.openxmlformats.org/officeDocument/2006/relationships/hyperlink" Target="http://www.businesscalltoaction.org/wp-content/uploads/2011/11/Enhancing-Value-through-IB-Event-Report-11.2011.pdf" TargetMode="External"/><Relationship Id="rId28" Type="http://schemas.openxmlformats.org/officeDocument/2006/relationships/hyperlink" Target="http://www.oecd.org/dac/49266238.pdf" TargetMode="External"/><Relationship Id="rId36" Type="http://schemas.openxmlformats.org/officeDocument/2006/relationships/hyperlink" Target="http://www.boell.org/downloads/HPL_Report_on_Infrastructure_10-26-2011.pdf" TargetMode="External"/><Relationship Id="rId49" Type="http://schemas.openxmlformats.org/officeDocument/2006/relationships/hyperlink" Target="http://knowledge.wharton.upenn.edu/article.cfm?articleid=1020" TargetMode="External"/><Relationship Id="rId57" Type="http://schemas.openxmlformats.org/officeDocument/2006/relationships/fontTable" Target="fontTable.xml"/><Relationship Id="rId10" Type="http://schemas.openxmlformats.org/officeDocument/2006/relationships/hyperlink" Target="http://stats.oecd.org/OECDStat_Metadata/ShowMetadata.ashx?Dataset=TABLE5&amp;Coords=%5bSECTOR%5d.%5b100%5d&amp;ShowOnWeb=true&amp;Lang=en" TargetMode="External"/><Relationship Id="rId19" Type="http://schemas.openxmlformats.org/officeDocument/2006/relationships/hyperlink" Target="http://www.ilo.org/global/about-the-ilo/decent-work-agenda/employment-creation/lang--es/index.htm" TargetMode="External"/><Relationship Id="rId31" Type="http://schemas.openxmlformats.org/officeDocument/2006/relationships/hyperlink" Target="http://www.canadainternational.gc.ca/g20/summit-sommet/2010/g20_seoul_declaration.aspx" TargetMode="External"/><Relationship Id="rId44" Type="http://schemas.openxmlformats.org/officeDocument/2006/relationships/hyperlink" Target="http://www.oecd.org/dac/effectiveness/49650200.pdf" TargetMode="External"/><Relationship Id="rId52" Type="http://schemas.openxmlformats.org/officeDocument/2006/relationships/hyperlink" Target="http://unctad.org/es/Docs/tdxiii_report_s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ts.oecd.org/OECDStat_Metadata/ShowMetadata.ashx?Dataset=TABLE5&amp;Coords=%5bSECTOR%5d.%5b600%5d&amp;ShowOnWeb=true&amp;Lang=en" TargetMode="External"/><Relationship Id="rId22" Type="http://schemas.openxmlformats.org/officeDocument/2006/relationships/hyperlink" Target="http://www.ilo.org/global/about-the-ilo/decent-work-agenda/social-dialogue/lang--es/index.htm" TargetMode="External"/><Relationship Id="rId27" Type="http://schemas.openxmlformats.org/officeDocument/2006/relationships/hyperlink" Target="http://eur-lex.europa.eu/LexUriServ/LexUriServ.do?uri=COM:2011:0637:FIN:ES:PDF" TargetMode="External"/><Relationship Id="rId30" Type="http://schemas.openxmlformats.org/officeDocument/2006/relationships/hyperlink" Target="http://eurodad.org/wp-content/uploads/2012/08/Private_profit_report_spanish-WEB-version.pdf" TargetMode="External"/><Relationship Id="rId35" Type="http://schemas.openxmlformats.org/officeDocument/2006/relationships/hyperlink" Target="http://www.wri.org/publication/the-next-4-billion" TargetMode="External"/><Relationship Id="rId43" Type="http://schemas.openxmlformats.org/officeDocument/2006/relationships/hyperlink" Target="http://www.oecd.org/gov/budgeting/public-privatepartnershipsinpursuitofrisksharingandvalueformoney.htm" TargetMode="External"/><Relationship Id="rId48" Type="http://schemas.openxmlformats.org/officeDocument/2006/relationships/hyperlink" Target="http://www.ilo.org/global/about-the-ilo/newsroom/news/WCMS_179431/lang--es/index.htm"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tuc.org.uk/international/tuc-21502-f0.cf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peaid/what/development-policies/documents/agenda_for_change_es.pdf" TargetMode="External"/><Relationship Id="rId13" Type="http://schemas.openxmlformats.org/officeDocument/2006/relationships/hyperlink" Target="http://www.ilo.org/wcmsp5/groups/public/---ed_emp/---emp_ent/documents/publication/wcms_176786.pdf" TargetMode="External"/><Relationship Id="rId18" Type="http://schemas.openxmlformats.org/officeDocument/2006/relationships/hyperlink" Target="http://www.ituc-csi.org/IMG/pdf/sector_privado.pdf" TargetMode="External"/><Relationship Id="rId3" Type="http://schemas.openxmlformats.org/officeDocument/2006/relationships/hyperlink" Target="http://www.boell.org/downloads/2-2012_G20_DWG_Seoul_Meeting_DraftParticipants_List_(as_of_mar.docx" TargetMode="External"/><Relationship Id="rId7" Type="http://schemas.openxmlformats.org/officeDocument/2006/relationships/hyperlink" Target="http://www.oecd.org/pcd/theoecdseeksviewsonitsforthcomingstrategyondevelopment.htm" TargetMode="External"/><Relationship Id="rId12" Type="http://schemas.openxmlformats.org/officeDocument/2006/relationships/hyperlink" Target="http://www.norad.no/en/tools-and-publications/publications/norad-reports/publication?key=268452" TargetMode="External"/><Relationship Id="rId17" Type="http://schemas.openxmlformats.org/officeDocument/2006/relationships/hyperlink" Target="http://www.ilo.org/wcmsp5/groups/public/---ed_mas/---eval/documents/publication/wcms_160680.pdf" TargetMode="External"/><Relationship Id="rId2" Type="http://schemas.openxmlformats.org/officeDocument/2006/relationships/hyperlink" Target="http://www.oecd.org/finance/institutionalinvestorsandlong-terminvestment.htm" TargetMode="External"/><Relationship Id="rId16" Type="http://schemas.openxmlformats.org/officeDocument/2006/relationships/hyperlink" Target="http://www.ituc-csi.org/dialogo-social-un-objetivo?lang=es" TargetMode="External"/><Relationship Id="rId1" Type="http://schemas.openxmlformats.org/officeDocument/2006/relationships/hyperlink" Target="http://www.g20.org/events_financial_track/20130215/780960861.html" TargetMode="External"/><Relationship Id="rId6" Type="http://schemas.openxmlformats.org/officeDocument/2006/relationships/hyperlink" Target="http://www.governo.it/GovernoInforma/Dossier/decreto_fare/" TargetMode="External"/><Relationship Id="rId11" Type="http://schemas.openxmlformats.org/officeDocument/2006/relationships/hyperlink" Target="http://www.ilo.org/jobspact/lang--es/index.htm" TargetMode="External"/><Relationship Id="rId5" Type="http://schemas.openxmlformats.org/officeDocument/2006/relationships/hyperlink" Target="http://www.boell.org/downloads/COMMUNIQUE_HLP.pdf" TargetMode="External"/><Relationship Id="rId15" Type="http://schemas.openxmlformats.org/officeDocument/2006/relationships/hyperlink" Target="http://www.osloconference2010.org/" TargetMode="External"/><Relationship Id="rId10" Type="http://schemas.openxmlformats.org/officeDocument/2006/relationships/hyperlink" Target="http://www.ilo.org/public/english/dw/ilo-dw-spanish-web.swf" TargetMode="External"/><Relationship Id="rId4" Type="http://schemas.openxmlformats.org/officeDocument/2006/relationships/hyperlink" Target="http://siteresources.worldbank.org/INTINFRA/Resources/Transformationthroughinfrastructure.pdf" TargetMode="External"/><Relationship Id="rId9" Type="http://schemas.openxmlformats.org/officeDocument/2006/relationships/hyperlink" Target="http://www.ituc-csi.org/development-cooperation?lang=es" TargetMode="External"/><Relationship Id="rId14" Type="http://schemas.openxmlformats.org/officeDocument/2006/relationships/hyperlink" Target="http://www.ilo.org/public/english/bureau/program/dwc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1081-28EE-4E4F-A059-7A6FF0FC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19137</Words>
  <Characters>105259</Characters>
  <Application>Microsoft Office Word</Application>
  <DocSecurity>0</DocSecurity>
  <Lines>877</Lines>
  <Paragraphs>248</Paragraphs>
  <ScaleCrop>false</ScaleCrop>
  <HeadingPairs>
    <vt:vector size="2" baseType="variant">
      <vt:variant>
        <vt:lpstr>Title</vt:lpstr>
      </vt:variant>
      <vt:variant>
        <vt:i4>1</vt:i4>
      </vt:variant>
    </vt:vector>
  </HeadingPairs>
  <TitlesOfParts>
    <vt:vector size="1" baseType="lpstr">
      <vt:lpstr>The Private Sector and its role in Development</vt:lpstr>
    </vt:vector>
  </TitlesOfParts>
  <Company>International Trade Union Confederation</Company>
  <LinksUpToDate>false</LinksUpToDate>
  <CharactersWithSpaces>124148</CharactersWithSpaces>
  <SharedDoc>false</SharedDoc>
  <HLinks>
    <vt:vector size="606" baseType="variant">
      <vt:variant>
        <vt:i4>5898306</vt:i4>
      </vt:variant>
      <vt:variant>
        <vt:i4>381</vt:i4>
      </vt:variant>
      <vt:variant>
        <vt:i4>0</vt:i4>
      </vt:variant>
      <vt:variant>
        <vt:i4>5</vt:i4>
      </vt:variant>
      <vt:variant>
        <vt:lpwstr>http://unctad.org/en/docs/tdxiii_report_en.pdf</vt:lpwstr>
      </vt:variant>
      <vt:variant>
        <vt:lpwstr/>
      </vt:variant>
      <vt:variant>
        <vt:i4>1310805</vt:i4>
      </vt:variant>
      <vt:variant>
        <vt:i4>378</vt:i4>
      </vt:variant>
      <vt:variant>
        <vt:i4>0</vt:i4>
      </vt:variant>
      <vt:variant>
        <vt:i4>5</vt:i4>
      </vt:variant>
      <vt:variant>
        <vt:lpwstr>http://www.tuc.org.uk/international/tuc-21502-f0.cfm</vt:lpwstr>
      </vt:variant>
      <vt:variant>
        <vt:lpwstr/>
      </vt:variant>
      <vt:variant>
        <vt:i4>5505103</vt:i4>
      </vt:variant>
      <vt:variant>
        <vt:i4>375</vt:i4>
      </vt:variant>
      <vt:variant>
        <vt:i4>0</vt:i4>
      </vt:variant>
      <vt:variant>
        <vt:i4>5</vt:i4>
      </vt:variant>
      <vt:variant>
        <vt:lpwstr>http://www.realityofaid.org/</vt:lpwstr>
      </vt:variant>
      <vt:variant>
        <vt:lpwstr/>
      </vt:variant>
      <vt:variant>
        <vt:i4>4784143</vt:i4>
      </vt:variant>
      <vt:variant>
        <vt:i4>372</vt:i4>
      </vt:variant>
      <vt:variant>
        <vt:i4>0</vt:i4>
      </vt:variant>
      <vt:variant>
        <vt:i4>5</vt:i4>
      </vt:variant>
      <vt:variant>
        <vt:lpwstr>http://knowledge.wharton.upenn.edu/article.cfm?articleid=1020</vt:lpwstr>
      </vt:variant>
      <vt:variant>
        <vt:lpwstr/>
      </vt:variant>
      <vt:variant>
        <vt:i4>5308478</vt:i4>
      </vt:variant>
      <vt:variant>
        <vt:i4>369</vt:i4>
      </vt:variant>
      <vt:variant>
        <vt:i4>0</vt:i4>
      </vt:variant>
      <vt:variant>
        <vt:i4>5</vt:i4>
      </vt:variant>
      <vt:variant>
        <vt:lpwstr>http://www.ilo.org/global/about-the-ilo/newsroom/news/WCMS_179431/lang--es/index.htm</vt:lpwstr>
      </vt:variant>
      <vt:variant>
        <vt:lpwstr/>
      </vt:variant>
      <vt:variant>
        <vt:i4>1310772</vt:i4>
      </vt:variant>
      <vt:variant>
        <vt:i4>366</vt:i4>
      </vt:variant>
      <vt:variant>
        <vt:i4>0</vt:i4>
      </vt:variant>
      <vt:variant>
        <vt:i4>5</vt:i4>
      </vt:variant>
      <vt:variant>
        <vt:lpwstr>http://www.oecd.org/ctp/tax-global/TaxMorale_march13.pdf</vt:lpwstr>
      </vt:variant>
      <vt:variant>
        <vt:lpwstr/>
      </vt:variant>
      <vt:variant>
        <vt:i4>4456564</vt:i4>
      </vt:variant>
      <vt:variant>
        <vt:i4>363</vt:i4>
      </vt:variant>
      <vt:variant>
        <vt:i4>0</vt:i4>
      </vt:variant>
      <vt:variant>
        <vt:i4>5</vt:i4>
      </vt:variant>
      <vt:variant>
        <vt:lpwstr>http://www.oecd-ilibrary.org/finance-and-investment/infrastructure-investment-in-new-markets_5k8xff424vln-en</vt:lpwstr>
      </vt:variant>
      <vt:variant>
        <vt:lpwstr/>
      </vt:variant>
      <vt:variant>
        <vt:i4>3604595</vt:i4>
      </vt:variant>
      <vt:variant>
        <vt:i4>360</vt:i4>
      </vt:variant>
      <vt:variant>
        <vt:i4>0</vt:i4>
      </vt:variant>
      <vt:variant>
        <vt:i4>5</vt:i4>
      </vt:variant>
      <vt:variant>
        <vt:lpwstr>http://www.oecd.org/development/effectiveness/49211825.pdf</vt:lpwstr>
      </vt:variant>
      <vt:variant>
        <vt:lpwstr/>
      </vt:variant>
      <vt:variant>
        <vt:i4>3211372</vt:i4>
      </vt:variant>
      <vt:variant>
        <vt:i4>357</vt:i4>
      </vt:variant>
      <vt:variant>
        <vt:i4>0</vt:i4>
      </vt:variant>
      <vt:variant>
        <vt:i4>5</vt:i4>
      </vt:variant>
      <vt:variant>
        <vt:lpwstr>http://www.oecd.org/dac/effectiveness/49650200.pdf</vt:lpwstr>
      </vt:variant>
      <vt:variant>
        <vt:lpwstr/>
      </vt:variant>
      <vt:variant>
        <vt:i4>4128810</vt:i4>
      </vt:variant>
      <vt:variant>
        <vt:i4>354</vt:i4>
      </vt:variant>
      <vt:variant>
        <vt:i4>0</vt:i4>
      </vt:variant>
      <vt:variant>
        <vt:i4>5</vt:i4>
      </vt:variant>
      <vt:variant>
        <vt:lpwstr>http://www.oecd.org/gov/budgeting/public-privatepartnershipsinpursuitofrisksharingandvalueformoney.htm</vt:lpwstr>
      </vt:variant>
      <vt:variant>
        <vt:lpwstr/>
      </vt:variant>
      <vt:variant>
        <vt:i4>2752539</vt:i4>
      </vt:variant>
      <vt:variant>
        <vt:i4>351</vt:i4>
      </vt:variant>
      <vt:variant>
        <vt:i4>0</vt:i4>
      </vt:variant>
      <vt:variant>
        <vt:i4>5</vt:i4>
      </vt:variant>
      <vt:variant>
        <vt:lpwstr>http://www.boell.org/downloads/MDBs_Infrastructure_Action_Plan.pdf</vt:lpwstr>
      </vt:variant>
      <vt:variant>
        <vt:lpwstr/>
      </vt:variant>
      <vt:variant>
        <vt:i4>1638481</vt:i4>
      </vt:variant>
      <vt:variant>
        <vt:i4>348</vt:i4>
      </vt:variant>
      <vt:variant>
        <vt:i4>0</vt:i4>
      </vt:variant>
      <vt:variant>
        <vt:i4>5</vt:i4>
      </vt:variant>
      <vt:variant>
        <vt:lpwstr>http://www.ccic.ca/_files/en/what_we_do/2013-01-11_The Business_of_Development.pdf</vt:lpwstr>
      </vt:variant>
      <vt:variant>
        <vt:lpwstr/>
      </vt:variant>
      <vt:variant>
        <vt:i4>5963903</vt:i4>
      </vt:variant>
      <vt:variant>
        <vt:i4>345</vt:i4>
      </vt:variant>
      <vt:variant>
        <vt:i4>0</vt:i4>
      </vt:variant>
      <vt:variant>
        <vt:i4>5</vt:i4>
      </vt:variant>
      <vt:variant>
        <vt:lpwstr>http://www1.ifc.org/wps/wcm/connect/251803004d19d9ceb933fdf81ee631cc/G20_Challenge_on_Inclusive_Business_Innovation_policy_note.pdf?MOD=AJPERES</vt:lpwstr>
      </vt:variant>
      <vt:variant>
        <vt:lpwstr/>
      </vt:variant>
      <vt:variant>
        <vt:i4>2424841</vt:i4>
      </vt:variant>
      <vt:variant>
        <vt:i4>342</vt:i4>
      </vt:variant>
      <vt:variant>
        <vt:i4>0</vt:i4>
      </vt:variant>
      <vt:variant>
        <vt:i4>5</vt:i4>
      </vt:variant>
      <vt:variant>
        <vt:lpwstr>http://unctad.org/sections/dite_dir/docs//diae_G20_Indicators_Report_en.pdf</vt:lpwstr>
      </vt:variant>
      <vt:variant>
        <vt:lpwstr/>
      </vt:variant>
      <vt:variant>
        <vt:i4>7340113</vt:i4>
      </vt:variant>
      <vt:variant>
        <vt:i4>339</vt:i4>
      </vt:variant>
      <vt:variant>
        <vt:i4>0</vt:i4>
      </vt:variant>
      <vt:variant>
        <vt:i4>5</vt:i4>
      </vt:variant>
      <vt:variant>
        <vt:lpwstr>http://unctad.org/meetings/en/Miscellaneous Documents/diae_g20_Mexico_en.pdf</vt:lpwstr>
      </vt:variant>
      <vt:variant>
        <vt:lpwstr/>
      </vt:variant>
      <vt:variant>
        <vt:i4>7471231</vt:i4>
      </vt:variant>
      <vt:variant>
        <vt:i4>336</vt:i4>
      </vt:variant>
      <vt:variant>
        <vt:i4>0</vt:i4>
      </vt:variant>
      <vt:variant>
        <vt:i4>5</vt:i4>
      </vt:variant>
      <vt:variant>
        <vt:lpwstr>http://unctad.org/sections/dite_dir/docs//diae_G20_CSR_Standards_Report_en.pdf</vt:lpwstr>
      </vt:variant>
      <vt:variant>
        <vt:lpwstr/>
      </vt:variant>
      <vt:variant>
        <vt:i4>7209065</vt:i4>
      </vt:variant>
      <vt:variant>
        <vt:i4>333</vt:i4>
      </vt:variant>
      <vt:variant>
        <vt:i4>0</vt:i4>
      </vt:variant>
      <vt:variant>
        <vt:i4>5</vt:i4>
      </vt:variant>
      <vt:variant>
        <vt:lpwstr>http://www.boell.org/downloads/HPL_Report_on_Infrastructure_10-26-2011.pdf</vt:lpwstr>
      </vt:variant>
      <vt:variant>
        <vt:lpwstr/>
      </vt:variant>
      <vt:variant>
        <vt:i4>5046296</vt:i4>
      </vt:variant>
      <vt:variant>
        <vt:i4>330</vt:i4>
      </vt:variant>
      <vt:variant>
        <vt:i4>0</vt:i4>
      </vt:variant>
      <vt:variant>
        <vt:i4>5</vt:i4>
      </vt:variant>
      <vt:variant>
        <vt:lpwstr>http://www.wri.org/publication/the-next-4-billion</vt:lpwstr>
      </vt:variant>
      <vt:variant>
        <vt:lpwstr/>
      </vt:variant>
      <vt:variant>
        <vt:i4>6291494</vt:i4>
      </vt:variant>
      <vt:variant>
        <vt:i4>327</vt:i4>
      </vt:variant>
      <vt:variant>
        <vt:i4>0</vt:i4>
      </vt:variant>
      <vt:variant>
        <vt:i4>5</vt:i4>
      </vt:variant>
      <vt:variant>
        <vt:lpwstr>http://www.g20mexico.org/images/stories/docs/canalsherpas/binfotrab.pdf</vt:lpwstr>
      </vt:variant>
      <vt:variant>
        <vt:lpwstr/>
      </vt:variant>
      <vt:variant>
        <vt:i4>6619223</vt:i4>
      </vt:variant>
      <vt:variant>
        <vt:i4>324</vt:i4>
      </vt:variant>
      <vt:variant>
        <vt:i4>0</vt:i4>
      </vt:variant>
      <vt:variant>
        <vt:i4>5</vt:i4>
      </vt:variant>
      <vt:variant>
        <vt:lpwstr>http://www.canadainternational.gc.ca/g20/summit-sommet/2011/DWG_20111104.aspx</vt:lpwstr>
      </vt:variant>
      <vt:variant>
        <vt:lpwstr/>
      </vt:variant>
      <vt:variant>
        <vt:i4>4587611</vt:i4>
      </vt:variant>
      <vt:variant>
        <vt:i4>321</vt:i4>
      </vt:variant>
      <vt:variant>
        <vt:i4>0</vt:i4>
      </vt:variant>
      <vt:variant>
        <vt:i4>5</vt:i4>
      </vt:variant>
      <vt:variant>
        <vt:lpwstr>http://www.g20.utoronto.ca/2010/g20seoul-development.html</vt:lpwstr>
      </vt:variant>
      <vt:variant>
        <vt:lpwstr/>
      </vt:variant>
      <vt:variant>
        <vt:i4>4128828</vt:i4>
      </vt:variant>
      <vt:variant>
        <vt:i4>318</vt:i4>
      </vt:variant>
      <vt:variant>
        <vt:i4>0</vt:i4>
      </vt:variant>
      <vt:variant>
        <vt:i4>5</vt:i4>
      </vt:variant>
      <vt:variant>
        <vt:lpwstr>http://www.canadainternational.gc.ca/g20/summit-sommet/2010/g20_seoul_declaration.aspx</vt:lpwstr>
      </vt:variant>
      <vt:variant>
        <vt:lpwstr/>
      </vt:variant>
      <vt:variant>
        <vt:i4>2490445</vt:i4>
      </vt:variant>
      <vt:variant>
        <vt:i4>315</vt:i4>
      </vt:variant>
      <vt:variant>
        <vt:i4>0</vt:i4>
      </vt:variant>
      <vt:variant>
        <vt:i4>5</vt:i4>
      </vt:variant>
      <vt:variant>
        <vt:lpwstr>http://eurodad.org/wp-content/uploads/2012/08/Private_profit_report_spanish-WEB-version.pdf</vt:lpwstr>
      </vt:variant>
      <vt:variant>
        <vt:lpwstr/>
      </vt:variant>
      <vt:variant>
        <vt:i4>2818163</vt:i4>
      </vt:variant>
      <vt:variant>
        <vt:i4>312</vt:i4>
      </vt:variant>
      <vt:variant>
        <vt:i4>0</vt:i4>
      </vt:variant>
      <vt:variant>
        <vt:i4>5</vt:i4>
      </vt:variant>
      <vt:variant>
        <vt:lpwstr>http://www.ecdpm.org/dp131</vt:lpwstr>
      </vt:variant>
      <vt:variant>
        <vt:lpwstr/>
      </vt:variant>
      <vt:variant>
        <vt:i4>589847</vt:i4>
      </vt:variant>
      <vt:variant>
        <vt:i4>309</vt:i4>
      </vt:variant>
      <vt:variant>
        <vt:i4>0</vt:i4>
      </vt:variant>
      <vt:variant>
        <vt:i4>5</vt:i4>
      </vt:variant>
      <vt:variant>
        <vt:lpwstr>http://www.oecd.org/dac/49266238.pdf</vt:lpwstr>
      </vt:variant>
      <vt:variant>
        <vt:lpwstr/>
      </vt:variant>
      <vt:variant>
        <vt:i4>7929982</vt:i4>
      </vt:variant>
      <vt:variant>
        <vt:i4>306</vt:i4>
      </vt:variant>
      <vt:variant>
        <vt:i4>0</vt:i4>
      </vt:variant>
      <vt:variant>
        <vt:i4>5</vt:i4>
      </vt:variant>
      <vt:variant>
        <vt:lpwstr>http://eur-lex.europa.eu/LexUriServ/LexUriServ.do?uri=COM:2011:0637:FIN:ES:PDF</vt:lpwstr>
      </vt:variant>
      <vt:variant>
        <vt:lpwstr/>
      </vt:variant>
      <vt:variant>
        <vt:i4>7929977</vt:i4>
      </vt:variant>
      <vt:variant>
        <vt:i4>303</vt:i4>
      </vt:variant>
      <vt:variant>
        <vt:i4>0</vt:i4>
      </vt:variant>
      <vt:variant>
        <vt:i4>5</vt:i4>
      </vt:variant>
      <vt:variant>
        <vt:lpwstr>http://www.strategie.gouv.fr/system/files/2012-11-27-bop-na-307.pdf</vt:lpwstr>
      </vt:variant>
      <vt:variant>
        <vt:lpwstr/>
      </vt:variant>
      <vt:variant>
        <vt:i4>2031618</vt:i4>
      </vt:variant>
      <vt:variant>
        <vt:i4>300</vt:i4>
      </vt:variant>
      <vt:variant>
        <vt:i4>0</vt:i4>
      </vt:variant>
      <vt:variant>
        <vt:i4>5</vt:i4>
      </vt:variant>
      <vt:variant>
        <vt:lpwstr>http://www.brettonwoodsproject.org/art-572062</vt:lpwstr>
      </vt:variant>
      <vt:variant>
        <vt:lpwstr/>
      </vt:variant>
      <vt:variant>
        <vt:i4>262159</vt:i4>
      </vt:variant>
      <vt:variant>
        <vt:i4>297</vt:i4>
      </vt:variant>
      <vt:variant>
        <vt:i4>0</vt:i4>
      </vt:variant>
      <vt:variant>
        <vt:i4>5</vt:i4>
      </vt:variant>
      <vt:variant>
        <vt:lpwstr>http://www.boell.org/downloads/Alexander_G20_spanish.pdf</vt:lpwstr>
      </vt:variant>
      <vt:variant>
        <vt:lpwstr/>
      </vt:variant>
      <vt:variant>
        <vt:i4>2162807</vt:i4>
      </vt:variant>
      <vt:variant>
        <vt:i4>294</vt:i4>
      </vt:variant>
      <vt:variant>
        <vt:i4>0</vt:i4>
      </vt:variant>
      <vt:variant>
        <vt:i4>5</vt:i4>
      </vt:variant>
      <vt:variant>
        <vt:lpwstr>http://www.businesscalltoaction.org/wp-content/uploads/2011/11/Enhancing-Value-through-IB-Event-Report-11.2011.pdf</vt:lpwstr>
      </vt:variant>
      <vt:variant>
        <vt:lpwstr/>
      </vt:variant>
      <vt:variant>
        <vt:i4>262224</vt:i4>
      </vt:variant>
      <vt:variant>
        <vt:i4>291</vt:i4>
      </vt:variant>
      <vt:variant>
        <vt:i4>0</vt:i4>
      </vt:variant>
      <vt:variant>
        <vt:i4>5</vt:i4>
      </vt:variant>
      <vt:variant>
        <vt:lpwstr>http://www.ilo.org/global/about-the-ilo/decent-work-agenda/social-dialogue/lang--es/index.htm</vt:lpwstr>
      </vt:variant>
      <vt:variant>
        <vt:lpwstr/>
      </vt:variant>
      <vt:variant>
        <vt:i4>6357038</vt:i4>
      </vt:variant>
      <vt:variant>
        <vt:i4>288</vt:i4>
      </vt:variant>
      <vt:variant>
        <vt:i4>0</vt:i4>
      </vt:variant>
      <vt:variant>
        <vt:i4>5</vt:i4>
      </vt:variant>
      <vt:variant>
        <vt:lpwstr>http://www.ilo.org/global/about-the-ilo/decent-work-agenda/social-protection/lang--es/index.htm</vt:lpwstr>
      </vt:variant>
      <vt:variant>
        <vt:lpwstr/>
      </vt:variant>
      <vt:variant>
        <vt:i4>5308481</vt:i4>
      </vt:variant>
      <vt:variant>
        <vt:i4>285</vt:i4>
      </vt:variant>
      <vt:variant>
        <vt:i4>0</vt:i4>
      </vt:variant>
      <vt:variant>
        <vt:i4>5</vt:i4>
      </vt:variant>
      <vt:variant>
        <vt:lpwstr>http://www.ilo.org/global/about-the-ilo/decent-work-agenda/rights-at-work/lang--es/index.htm</vt:lpwstr>
      </vt:variant>
      <vt:variant>
        <vt:lpwstr/>
      </vt:variant>
      <vt:variant>
        <vt:i4>2031697</vt:i4>
      </vt:variant>
      <vt:variant>
        <vt:i4>282</vt:i4>
      </vt:variant>
      <vt:variant>
        <vt:i4>0</vt:i4>
      </vt:variant>
      <vt:variant>
        <vt:i4>5</vt:i4>
      </vt:variant>
      <vt:variant>
        <vt:lpwstr>http://www.ilo.org/global/about-the-ilo/decent-work-agenda/employment-creation/lang--es/index.htm</vt:lpwstr>
      </vt:variant>
      <vt:variant>
        <vt:lpwstr/>
      </vt:variant>
      <vt:variant>
        <vt:i4>1835118</vt:i4>
      </vt:variant>
      <vt:variant>
        <vt:i4>279</vt:i4>
      </vt:variant>
      <vt:variant>
        <vt:i4>0</vt:i4>
      </vt:variant>
      <vt:variant>
        <vt:i4>5</vt:i4>
      </vt:variant>
      <vt:variant>
        <vt:lpwstr>http://stats.oecd.org/OECDStat_Metadata/ShowMetadata.ashx?Dataset=TABLE5&amp;Coords=%5bSECTOR%5d.%5b998%5d&amp;ShowOnWeb=true&amp;Lang=en</vt:lpwstr>
      </vt:variant>
      <vt:variant>
        <vt:lpwstr/>
      </vt:variant>
      <vt:variant>
        <vt:i4>1376360</vt:i4>
      </vt:variant>
      <vt:variant>
        <vt:i4>276</vt:i4>
      </vt:variant>
      <vt:variant>
        <vt:i4>0</vt:i4>
      </vt:variant>
      <vt:variant>
        <vt:i4>5</vt:i4>
      </vt:variant>
      <vt:variant>
        <vt:lpwstr>http://stats.oecd.org/OECDStat_Metadata/ShowMetadata.ashx?Dataset=TABLE5&amp;Coords=%5bSECTOR%5d.%5b700%5d&amp;ShowOnWeb=true&amp;Lang=en</vt:lpwstr>
      </vt:variant>
      <vt:variant>
        <vt:lpwstr/>
      </vt:variant>
      <vt:variant>
        <vt:i4>1376361</vt:i4>
      </vt:variant>
      <vt:variant>
        <vt:i4>273</vt:i4>
      </vt:variant>
      <vt:variant>
        <vt:i4>0</vt:i4>
      </vt:variant>
      <vt:variant>
        <vt:i4>5</vt:i4>
      </vt:variant>
      <vt:variant>
        <vt:lpwstr>http://stats.oecd.org/OECDStat_Metadata/ShowMetadata.ashx?Dataset=TABLE5&amp;Coords=%5bSECTOR%5d.%5b600%5d&amp;ShowOnWeb=true&amp;Lang=en</vt:lpwstr>
      </vt:variant>
      <vt:variant>
        <vt:lpwstr/>
      </vt:variant>
      <vt:variant>
        <vt:i4>1376363</vt:i4>
      </vt:variant>
      <vt:variant>
        <vt:i4>270</vt:i4>
      </vt:variant>
      <vt:variant>
        <vt:i4>0</vt:i4>
      </vt:variant>
      <vt:variant>
        <vt:i4>5</vt:i4>
      </vt:variant>
      <vt:variant>
        <vt:lpwstr>http://stats.oecd.org/OECDStat_Metadata/ShowMetadata.ashx?Dataset=TABLE5&amp;Coords=%5bSECTOR%5d.%5b400%5d&amp;ShowOnWeb=true&amp;Lang=en</vt:lpwstr>
      </vt:variant>
      <vt:variant>
        <vt:lpwstr/>
      </vt:variant>
      <vt:variant>
        <vt:i4>1376364</vt:i4>
      </vt:variant>
      <vt:variant>
        <vt:i4>267</vt:i4>
      </vt:variant>
      <vt:variant>
        <vt:i4>0</vt:i4>
      </vt:variant>
      <vt:variant>
        <vt:i4>5</vt:i4>
      </vt:variant>
      <vt:variant>
        <vt:lpwstr>http://stats.oecd.org/OECDStat_Metadata/ShowMetadata.ashx?Dataset=TABLE5&amp;Coords=%5bSECTOR%5d.%5b300%5d&amp;ShowOnWeb=true&amp;Lang=en</vt:lpwstr>
      </vt:variant>
      <vt:variant>
        <vt:lpwstr/>
      </vt:variant>
      <vt:variant>
        <vt:i4>1376365</vt:i4>
      </vt:variant>
      <vt:variant>
        <vt:i4>264</vt:i4>
      </vt:variant>
      <vt:variant>
        <vt:i4>0</vt:i4>
      </vt:variant>
      <vt:variant>
        <vt:i4>5</vt:i4>
      </vt:variant>
      <vt:variant>
        <vt:lpwstr>http://stats.oecd.org/OECDStat_Metadata/ShowMetadata.ashx?Dataset=TABLE5&amp;Coords=%5bSECTOR%5d.%5b200%5d&amp;ShowOnWeb=true&amp;Lang=en</vt:lpwstr>
      </vt:variant>
      <vt:variant>
        <vt:lpwstr/>
      </vt:variant>
      <vt:variant>
        <vt:i4>1376366</vt:i4>
      </vt:variant>
      <vt:variant>
        <vt:i4>261</vt:i4>
      </vt:variant>
      <vt:variant>
        <vt:i4>0</vt:i4>
      </vt:variant>
      <vt:variant>
        <vt:i4>5</vt:i4>
      </vt:variant>
      <vt:variant>
        <vt:lpwstr>http://stats.oecd.org/OECDStat_Metadata/ShowMetadata.ashx?Dataset=TABLE5&amp;Coords=%5bSECTOR%5d.%5b100%5d&amp;ShowOnWeb=true&amp;Lang=en</vt:lpwstr>
      </vt:variant>
      <vt:variant>
        <vt:lpwstr/>
      </vt:variant>
      <vt:variant>
        <vt:i4>1441847</vt:i4>
      </vt:variant>
      <vt:variant>
        <vt:i4>254</vt:i4>
      </vt:variant>
      <vt:variant>
        <vt:i4>0</vt:i4>
      </vt:variant>
      <vt:variant>
        <vt:i4>5</vt:i4>
      </vt:variant>
      <vt:variant>
        <vt:lpwstr/>
      </vt:variant>
      <vt:variant>
        <vt:lpwstr>_Toc364431329</vt:lpwstr>
      </vt:variant>
      <vt:variant>
        <vt:i4>1441847</vt:i4>
      </vt:variant>
      <vt:variant>
        <vt:i4>248</vt:i4>
      </vt:variant>
      <vt:variant>
        <vt:i4>0</vt:i4>
      </vt:variant>
      <vt:variant>
        <vt:i4>5</vt:i4>
      </vt:variant>
      <vt:variant>
        <vt:lpwstr/>
      </vt:variant>
      <vt:variant>
        <vt:lpwstr>_Toc364431328</vt:lpwstr>
      </vt:variant>
      <vt:variant>
        <vt:i4>1441847</vt:i4>
      </vt:variant>
      <vt:variant>
        <vt:i4>242</vt:i4>
      </vt:variant>
      <vt:variant>
        <vt:i4>0</vt:i4>
      </vt:variant>
      <vt:variant>
        <vt:i4>5</vt:i4>
      </vt:variant>
      <vt:variant>
        <vt:lpwstr/>
      </vt:variant>
      <vt:variant>
        <vt:lpwstr>_Toc364431327</vt:lpwstr>
      </vt:variant>
      <vt:variant>
        <vt:i4>1441847</vt:i4>
      </vt:variant>
      <vt:variant>
        <vt:i4>236</vt:i4>
      </vt:variant>
      <vt:variant>
        <vt:i4>0</vt:i4>
      </vt:variant>
      <vt:variant>
        <vt:i4>5</vt:i4>
      </vt:variant>
      <vt:variant>
        <vt:lpwstr/>
      </vt:variant>
      <vt:variant>
        <vt:lpwstr>_Toc364431326</vt:lpwstr>
      </vt:variant>
      <vt:variant>
        <vt:i4>1441847</vt:i4>
      </vt:variant>
      <vt:variant>
        <vt:i4>230</vt:i4>
      </vt:variant>
      <vt:variant>
        <vt:i4>0</vt:i4>
      </vt:variant>
      <vt:variant>
        <vt:i4>5</vt:i4>
      </vt:variant>
      <vt:variant>
        <vt:lpwstr/>
      </vt:variant>
      <vt:variant>
        <vt:lpwstr>_Toc364431325</vt:lpwstr>
      </vt:variant>
      <vt:variant>
        <vt:i4>1441847</vt:i4>
      </vt:variant>
      <vt:variant>
        <vt:i4>224</vt:i4>
      </vt:variant>
      <vt:variant>
        <vt:i4>0</vt:i4>
      </vt:variant>
      <vt:variant>
        <vt:i4>5</vt:i4>
      </vt:variant>
      <vt:variant>
        <vt:lpwstr/>
      </vt:variant>
      <vt:variant>
        <vt:lpwstr>_Toc364431324</vt:lpwstr>
      </vt:variant>
      <vt:variant>
        <vt:i4>1441847</vt:i4>
      </vt:variant>
      <vt:variant>
        <vt:i4>218</vt:i4>
      </vt:variant>
      <vt:variant>
        <vt:i4>0</vt:i4>
      </vt:variant>
      <vt:variant>
        <vt:i4>5</vt:i4>
      </vt:variant>
      <vt:variant>
        <vt:lpwstr/>
      </vt:variant>
      <vt:variant>
        <vt:lpwstr>_Toc364431323</vt:lpwstr>
      </vt:variant>
      <vt:variant>
        <vt:i4>1441847</vt:i4>
      </vt:variant>
      <vt:variant>
        <vt:i4>212</vt:i4>
      </vt:variant>
      <vt:variant>
        <vt:i4>0</vt:i4>
      </vt:variant>
      <vt:variant>
        <vt:i4>5</vt:i4>
      </vt:variant>
      <vt:variant>
        <vt:lpwstr/>
      </vt:variant>
      <vt:variant>
        <vt:lpwstr>_Toc364431322</vt:lpwstr>
      </vt:variant>
      <vt:variant>
        <vt:i4>1441847</vt:i4>
      </vt:variant>
      <vt:variant>
        <vt:i4>206</vt:i4>
      </vt:variant>
      <vt:variant>
        <vt:i4>0</vt:i4>
      </vt:variant>
      <vt:variant>
        <vt:i4>5</vt:i4>
      </vt:variant>
      <vt:variant>
        <vt:lpwstr/>
      </vt:variant>
      <vt:variant>
        <vt:lpwstr>_Toc364431321</vt:lpwstr>
      </vt:variant>
      <vt:variant>
        <vt:i4>1441847</vt:i4>
      </vt:variant>
      <vt:variant>
        <vt:i4>200</vt:i4>
      </vt:variant>
      <vt:variant>
        <vt:i4>0</vt:i4>
      </vt:variant>
      <vt:variant>
        <vt:i4>5</vt:i4>
      </vt:variant>
      <vt:variant>
        <vt:lpwstr/>
      </vt:variant>
      <vt:variant>
        <vt:lpwstr>_Toc364431320</vt:lpwstr>
      </vt:variant>
      <vt:variant>
        <vt:i4>1376311</vt:i4>
      </vt:variant>
      <vt:variant>
        <vt:i4>194</vt:i4>
      </vt:variant>
      <vt:variant>
        <vt:i4>0</vt:i4>
      </vt:variant>
      <vt:variant>
        <vt:i4>5</vt:i4>
      </vt:variant>
      <vt:variant>
        <vt:lpwstr/>
      </vt:variant>
      <vt:variant>
        <vt:lpwstr>_Toc364431319</vt:lpwstr>
      </vt:variant>
      <vt:variant>
        <vt:i4>1376311</vt:i4>
      </vt:variant>
      <vt:variant>
        <vt:i4>188</vt:i4>
      </vt:variant>
      <vt:variant>
        <vt:i4>0</vt:i4>
      </vt:variant>
      <vt:variant>
        <vt:i4>5</vt:i4>
      </vt:variant>
      <vt:variant>
        <vt:lpwstr/>
      </vt:variant>
      <vt:variant>
        <vt:lpwstr>_Toc364431318</vt:lpwstr>
      </vt:variant>
      <vt:variant>
        <vt:i4>1376311</vt:i4>
      </vt:variant>
      <vt:variant>
        <vt:i4>182</vt:i4>
      </vt:variant>
      <vt:variant>
        <vt:i4>0</vt:i4>
      </vt:variant>
      <vt:variant>
        <vt:i4>5</vt:i4>
      </vt:variant>
      <vt:variant>
        <vt:lpwstr/>
      </vt:variant>
      <vt:variant>
        <vt:lpwstr>_Toc364431317</vt:lpwstr>
      </vt:variant>
      <vt:variant>
        <vt:i4>1376311</vt:i4>
      </vt:variant>
      <vt:variant>
        <vt:i4>176</vt:i4>
      </vt:variant>
      <vt:variant>
        <vt:i4>0</vt:i4>
      </vt:variant>
      <vt:variant>
        <vt:i4>5</vt:i4>
      </vt:variant>
      <vt:variant>
        <vt:lpwstr/>
      </vt:variant>
      <vt:variant>
        <vt:lpwstr>_Toc364431316</vt:lpwstr>
      </vt:variant>
      <vt:variant>
        <vt:i4>1376311</vt:i4>
      </vt:variant>
      <vt:variant>
        <vt:i4>170</vt:i4>
      </vt:variant>
      <vt:variant>
        <vt:i4>0</vt:i4>
      </vt:variant>
      <vt:variant>
        <vt:i4>5</vt:i4>
      </vt:variant>
      <vt:variant>
        <vt:lpwstr/>
      </vt:variant>
      <vt:variant>
        <vt:lpwstr>_Toc364431315</vt:lpwstr>
      </vt:variant>
      <vt:variant>
        <vt:i4>1376311</vt:i4>
      </vt:variant>
      <vt:variant>
        <vt:i4>164</vt:i4>
      </vt:variant>
      <vt:variant>
        <vt:i4>0</vt:i4>
      </vt:variant>
      <vt:variant>
        <vt:i4>5</vt:i4>
      </vt:variant>
      <vt:variant>
        <vt:lpwstr/>
      </vt:variant>
      <vt:variant>
        <vt:lpwstr>_Toc364431314</vt:lpwstr>
      </vt:variant>
      <vt:variant>
        <vt:i4>1376311</vt:i4>
      </vt:variant>
      <vt:variant>
        <vt:i4>158</vt:i4>
      </vt:variant>
      <vt:variant>
        <vt:i4>0</vt:i4>
      </vt:variant>
      <vt:variant>
        <vt:i4>5</vt:i4>
      </vt:variant>
      <vt:variant>
        <vt:lpwstr/>
      </vt:variant>
      <vt:variant>
        <vt:lpwstr>_Toc364431313</vt:lpwstr>
      </vt:variant>
      <vt:variant>
        <vt:i4>1376311</vt:i4>
      </vt:variant>
      <vt:variant>
        <vt:i4>152</vt:i4>
      </vt:variant>
      <vt:variant>
        <vt:i4>0</vt:i4>
      </vt:variant>
      <vt:variant>
        <vt:i4>5</vt:i4>
      </vt:variant>
      <vt:variant>
        <vt:lpwstr/>
      </vt:variant>
      <vt:variant>
        <vt:lpwstr>_Toc364431312</vt:lpwstr>
      </vt:variant>
      <vt:variant>
        <vt:i4>1376311</vt:i4>
      </vt:variant>
      <vt:variant>
        <vt:i4>146</vt:i4>
      </vt:variant>
      <vt:variant>
        <vt:i4>0</vt:i4>
      </vt:variant>
      <vt:variant>
        <vt:i4>5</vt:i4>
      </vt:variant>
      <vt:variant>
        <vt:lpwstr/>
      </vt:variant>
      <vt:variant>
        <vt:lpwstr>_Toc364431311</vt:lpwstr>
      </vt:variant>
      <vt:variant>
        <vt:i4>1376311</vt:i4>
      </vt:variant>
      <vt:variant>
        <vt:i4>140</vt:i4>
      </vt:variant>
      <vt:variant>
        <vt:i4>0</vt:i4>
      </vt:variant>
      <vt:variant>
        <vt:i4>5</vt:i4>
      </vt:variant>
      <vt:variant>
        <vt:lpwstr/>
      </vt:variant>
      <vt:variant>
        <vt:lpwstr>_Toc364431310</vt:lpwstr>
      </vt:variant>
      <vt:variant>
        <vt:i4>1310775</vt:i4>
      </vt:variant>
      <vt:variant>
        <vt:i4>134</vt:i4>
      </vt:variant>
      <vt:variant>
        <vt:i4>0</vt:i4>
      </vt:variant>
      <vt:variant>
        <vt:i4>5</vt:i4>
      </vt:variant>
      <vt:variant>
        <vt:lpwstr/>
      </vt:variant>
      <vt:variant>
        <vt:lpwstr>_Toc364431309</vt:lpwstr>
      </vt:variant>
      <vt:variant>
        <vt:i4>1310775</vt:i4>
      </vt:variant>
      <vt:variant>
        <vt:i4>128</vt:i4>
      </vt:variant>
      <vt:variant>
        <vt:i4>0</vt:i4>
      </vt:variant>
      <vt:variant>
        <vt:i4>5</vt:i4>
      </vt:variant>
      <vt:variant>
        <vt:lpwstr/>
      </vt:variant>
      <vt:variant>
        <vt:lpwstr>_Toc364431308</vt:lpwstr>
      </vt:variant>
      <vt:variant>
        <vt:i4>1310775</vt:i4>
      </vt:variant>
      <vt:variant>
        <vt:i4>122</vt:i4>
      </vt:variant>
      <vt:variant>
        <vt:i4>0</vt:i4>
      </vt:variant>
      <vt:variant>
        <vt:i4>5</vt:i4>
      </vt:variant>
      <vt:variant>
        <vt:lpwstr/>
      </vt:variant>
      <vt:variant>
        <vt:lpwstr>_Toc364431307</vt:lpwstr>
      </vt:variant>
      <vt:variant>
        <vt:i4>1310775</vt:i4>
      </vt:variant>
      <vt:variant>
        <vt:i4>116</vt:i4>
      </vt:variant>
      <vt:variant>
        <vt:i4>0</vt:i4>
      </vt:variant>
      <vt:variant>
        <vt:i4>5</vt:i4>
      </vt:variant>
      <vt:variant>
        <vt:lpwstr/>
      </vt:variant>
      <vt:variant>
        <vt:lpwstr>_Toc364431306</vt:lpwstr>
      </vt:variant>
      <vt:variant>
        <vt:i4>1310775</vt:i4>
      </vt:variant>
      <vt:variant>
        <vt:i4>110</vt:i4>
      </vt:variant>
      <vt:variant>
        <vt:i4>0</vt:i4>
      </vt:variant>
      <vt:variant>
        <vt:i4>5</vt:i4>
      </vt:variant>
      <vt:variant>
        <vt:lpwstr/>
      </vt:variant>
      <vt:variant>
        <vt:lpwstr>_Toc364431305</vt:lpwstr>
      </vt:variant>
      <vt:variant>
        <vt:i4>1310775</vt:i4>
      </vt:variant>
      <vt:variant>
        <vt:i4>104</vt:i4>
      </vt:variant>
      <vt:variant>
        <vt:i4>0</vt:i4>
      </vt:variant>
      <vt:variant>
        <vt:i4>5</vt:i4>
      </vt:variant>
      <vt:variant>
        <vt:lpwstr/>
      </vt:variant>
      <vt:variant>
        <vt:lpwstr>_Toc364431304</vt:lpwstr>
      </vt:variant>
      <vt:variant>
        <vt:i4>1310775</vt:i4>
      </vt:variant>
      <vt:variant>
        <vt:i4>98</vt:i4>
      </vt:variant>
      <vt:variant>
        <vt:i4>0</vt:i4>
      </vt:variant>
      <vt:variant>
        <vt:i4>5</vt:i4>
      </vt:variant>
      <vt:variant>
        <vt:lpwstr/>
      </vt:variant>
      <vt:variant>
        <vt:lpwstr>_Toc364431303</vt:lpwstr>
      </vt:variant>
      <vt:variant>
        <vt:i4>1310775</vt:i4>
      </vt:variant>
      <vt:variant>
        <vt:i4>92</vt:i4>
      </vt:variant>
      <vt:variant>
        <vt:i4>0</vt:i4>
      </vt:variant>
      <vt:variant>
        <vt:i4>5</vt:i4>
      </vt:variant>
      <vt:variant>
        <vt:lpwstr/>
      </vt:variant>
      <vt:variant>
        <vt:lpwstr>_Toc364431302</vt:lpwstr>
      </vt:variant>
      <vt:variant>
        <vt:i4>1310775</vt:i4>
      </vt:variant>
      <vt:variant>
        <vt:i4>86</vt:i4>
      </vt:variant>
      <vt:variant>
        <vt:i4>0</vt:i4>
      </vt:variant>
      <vt:variant>
        <vt:i4>5</vt:i4>
      </vt:variant>
      <vt:variant>
        <vt:lpwstr/>
      </vt:variant>
      <vt:variant>
        <vt:lpwstr>_Toc364431301</vt:lpwstr>
      </vt:variant>
      <vt:variant>
        <vt:i4>1310775</vt:i4>
      </vt:variant>
      <vt:variant>
        <vt:i4>80</vt:i4>
      </vt:variant>
      <vt:variant>
        <vt:i4>0</vt:i4>
      </vt:variant>
      <vt:variant>
        <vt:i4>5</vt:i4>
      </vt:variant>
      <vt:variant>
        <vt:lpwstr/>
      </vt:variant>
      <vt:variant>
        <vt:lpwstr>_Toc364431300</vt:lpwstr>
      </vt:variant>
      <vt:variant>
        <vt:i4>1900598</vt:i4>
      </vt:variant>
      <vt:variant>
        <vt:i4>74</vt:i4>
      </vt:variant>
      <vt:variant>
        <vt:i4>0</vt:i4>
      </vt:variant>
      <vt:variant>
        <vt:i4>5</vt:i4>
      </vt:variant>
      <vt:variant>
        <vt:lpwstr/>
      </vt:variant>
      <vt:variant>
        <vt:lpwstr>_Toc364431299</vt:lpwstr>
      </vt:variant>
      <vt:variant>
        <vt:i4>1900598</vt:i4>
      </vt:variant>
      <vt:variant>
        <vt:i4>68</vt:i4>
      </vt:variant>
      <vt:variant>
        <vt:i4>0</vt:i4>
      </vt:variant>
      <vt:variant>
        <vt:i4>5</vt:i4>
      </vt:variant>
      <vt:variant>
        <vt:lpwstr/>
      </vt:variant>
      <vt:variant>
        <vt:lpwstr>_Toc364431298</vt:lpwstr>
      </vt:variant>
      <vt:variant>
        <vt:i4>1900598</vt:i4>
      </vt:variant>
      <vt:variant>
        <vt:i4>62</vt:i4>
      </vt:variant>
      <vt:variant>
        <vt:i4>0</vt:i4>
      </vt:variant>
      <vt:variant>
        <vt:i4>5</vt:i4>
      </vt:variant>
      <vt:variant>
        <vt:lpwstr/>
      </vt:variant>
      <vt:variant>
        <vt:lpwstr>_Toc364431297</vt:lpwstr>
      </vt:variant>
      <vt:variant>
        <vt:i4>1900598</vt:i4>
      </vt:variant>
      <vt:variant>
        <vt:i4>56</vt:i4>
      </vt:variant>
      <vt:variant>
        <vt:i4>0</vt:i4>
      </vt:variant>
      <vt:variant>
        <vt:i4>5</vt:i4>
      </vt:variant>
      <vt:variant>
        <vt:lpwstr/>
      </vt:variant>
      <vt:variant>
        <vt:lpwstr>_Toc364431296</vt:lpwstr>
      </vt:variant>
      <vt:variant>
        <vt:i4>1900598</vt:i4>
      </vt:variant>
      <vt:variant>
        <vt:i4>50</vt:i4>
      </vt:variant>
      <vt:variant>
        <vt:i4>0</vt:i4>
      </vt:variant>
      <vt:variant>
        <vt:i4>5</vt:i4>
      </vt:variant>
      <vt:variant>
        <vt:lpwstr/>
      </vt:variant>
      <vt:variant>
        <vt:lpwstr>_Toc364431295</vt:lpwstr>
      </vt:variant>
      <vt:variant>
        <vt:i4>1900598</vt:i4>
      </vt:variant>
      <vt:variant>
        <vt:i4>44</vt:i4>
      </vt:variant>
      <vt:variant>
        <vt:i4>0</vt:i4>
      </vt:variant>
      <vt:variant>
        <vt:i4>5</vt:i4>
      </vt:variant>
      <vt:variant>
        <vt:lpwstr/>
      </vt:variant>
      <vt:variant>
        <vt:lpwstr>_Toc364431294</vt:lpwstr>
      </vt:variant>
      <vt:variant>
        <vt:i4>1900598</vt:i4>
      </vt:variant>
      <vt:variant>
        <vt:i4>38</vt:i4>
      </vt:variant>
      <vt:variant>
        <vt:i4>0</vt:i4>
      </vt:variant>
      <vt:variant>
        <vt:i4>5</vt:i4>
      </vt:variant>
      <vt:variant>
        <vt:lpwstr/>
      </vt:variant>
      <vt:variant>
        <vt:lpwstr>_Toc364431293</vt:lpwstr>
      </vt:variant>
      <vt:variant>
        <vt:i4>1900598</vt:i4>
      </vt:variant>
      <vt:variant>
        <vt:i4>32</vt:i4>
      </vt:variant>
      <vt:variant>
        <vt:i4>0</vt:i4>
      </vt:variant>
      <vt:variant>
        <vt:i4>5</vt:i4>
      </vt:variant>
      <vt:variant>
        <vt:lpwstr/>
      </vt:variant>
      <vt:variant>
        <vt:lpwstr>_Toc364431292</vt:lpwstr>
      </vt:variant>
      <vt:variant>
        <vt:i4>1900598</vt:i4>
      </vt:variant>
      <vt:variant>
        <vt:i4>26</vt:i4>
      </vt:variant>
      <vt:variant>
        <vt:i4>0</vt:i4>
      </vt:variant>
      <vt:variant>
        <vt:i4>5</vt:i4>
      </vt:variant>
      <vt:variant>
        <vt:lpwstr/>
      </vt:variant>
      <vt:variant>
        <vt:lpwstr>_Toc364431291</vt:lpwstr>
      </vt:variant>
      <vt:variant>
        <vt:i4>1900598</vt:i4>
      </vt:variant>
      <vt:variant>
        <vt:i4>20</vt:i4>
      </vt:variant>
      <vt:variant>
        <vt:i4>0</vt:i4>
      </vt:variant>
      <vt:variant>
        <vt:i4>5</vt:i4>
      </vt:variant>
      <vt:variant>
        <vt:lpwstr/>
      </vt:variant>
      <vt:variant>
        <vt:lpwstr>_Toc364431290</vt:lpwstr>
      </vt:variant>
      <vt:variant>
        <vt:i4>1835062</vt:i4>
      </vt:variant>
      <vt:variant>
        <vt:i4>14</vt:i4>
      </vt:variant>
      <vt:variant>
        <vt:i4>0</vt:i4>
      </vt:variant>
      <vt:variant>
        <vt:i4>5</vt:i4>
      </vt:variant>
      <vt:variant>
        <vt:lpwstr/>
      </vt:variant>
      <vt:variant>
        <vt:lpwstr>_Toc364431289</vt:lpwstr>
      </vt:variant>
      <vt:variant>
        <vt:i4>1835062</vt:i4>
      </vt:variant>
      <vt:variant>
        <vt:i4>8</vt:i4>
      </vt:variant>
      <vt:variant>
        <vt:i4>0</vt:i4>
      </vt:variant>
      <vt:variant>
        <vt:i4>5</vt:i4>
      </vt:variant>
      <vt:variant>
        <vt:lpwstr/>
      </vt:variant>
      <vt:variant>
        <vt:lpwstr>_Toc364431288</vt:lpwstr>
      </vt:variant>
      <vt:variant>
        <vt:i4>1835062</vt:i4>
      </vt:variant>
      <vt:variant>
        <vt:i4>2</vt:i4>
      </vt:variant>
      <vt:variant>
        <vt:i4>0</vt:i4>
      </vt:variant>
      <vt:variant>
        <vt:i4>5</vt:i4>
      </vt:variant>
      <vt:variant>
        <vt:lpwstr/>
      </vt:variant>
      <vt:variant>
        <vt:lpwstr>_Toc364431287</vt:lpwstr>
      </vt:variant>
      <vt:variant>
        <vt:i4>7405655</vt:i4>
      </vt:variant>
      <vt:variant>
        <vt:i4>48</vt:i4>
      </vt:variant>
      <vt:variant>
        <vt:i4>0</vt:i4>
      </vt:variant>
      <vt:variant>
        <vt:i4>5</vt:i4>
      </vt:variant>
      <vt:variant>
        <vt:lpwstr>http://www.ituc-csi.org/IMG/pdf/sector_privado.pdf</vt:lpwstr>
      </vt:variant>
      <vt:variant>
        <vt:lpwstr/>
      </vt:variant>
      <vt:variant>
        <vt:i4>1441864</vt:i4>
      </vt:variant>
      <vt:variant>
        <vt:i4>45</vt:i4>
      </vt:variant>
      <vt:variant>
        <vt:i4>0</vt:i4>
      </vt:variant>
      <vt:variant>
        <vt:i4>5</vt:i4>
      </vt:variant>
      <vt:variant>
        <vt:lpwstr>http://www.ilo.org/wcmsp5/groups/public/---ed_mas/---eval/documents/publication/wcms_160680.pdf</vt:lpwstr>
      </vt:variant>
      <vt:variant>
        <vt:lpwstr/>
      </vt:variant>
      <vt:variant>
        <vt:i4>2752553</vt:i4>
      </vt:variant>
      <vt:variant>
        <vt:i4>42</vt:i4>
      </vt:variant>
      <vt:variant>
        <vt:i4>0</vt:i4>
      </vt:variant>
      <vt:variant>
        <vt:i4>5</vt:i4>
      </vt:variant>
      <vt:variant>
        <vt:lpwstr>http://www.ituc-csi.org/dialogo-social-un-objetivo?lang=es</vt:lpwstr>
      </vt:variant>
      <vt:variant>
        <vt:lpwstr/>
      </vt:variant>
      <vt:variant>
        <vt:i4>3538996</vt:i4>
      </vt:variant>
      <vt:variant>
        <vt:i4>39</vt:i4>
      </vt:variant>
      <vt:variant>
        <vt:i4>0</vt:i4>
      </vt:variant>
      <vt:variant>
        <vt:i4>5</vt:i4>
      </vt:variant>
      <vt:variant>
        <vt:lpwstr>http://www.osloconference2010.org/</vt:lpwstr>
      </vt:variant>
      <vt:variant>
        <vt:lpwstr/>
      </vt:variant>
      <vt:variant>
        <vt:i4>3342377</vt:i4>
      </vt:variant>
      <vt:variant>
        <vt:i4>36</vt:i4>
      </vt:variant>
      <vt:variant>
        <vt:i4>0</vt:i4>
      </vt:variant>
      <vt:variant>
        <vt:i4>5</vt:i4>
      </vt:variant>
      <vt:variant>
        <vt:lpwstr>http://www.ilo.org/public/english/bureau/program/dwcp/index.htm</vt:lpwstr>
      </vt:variant>
      <vt:variant>
        <vt:lpwstr/>
      </vt:variant>
      <vt:variant>
        <vt:i4>3342410</vt:i4>
      </vt:variant>
      <vt:variant>
        <vt:i4>33</vt:i4>
      </vt:variant>
      <vt:variant>
        <vt:i4>0</vt:i4>
      </vt:variant>
      <vt:variant>
        <vt:i4>5</vt:i4>
      </vt:variant>
      <vt:variant>
        <vt:lpwstr>http://www.ilo.org/wcmsp5/groups/public/---ed_emp/---emp_ent/documents/publication/wcms_176786.pdf</vt:lpwstr>
      </vt:variant>
      <vt:variant>
        <vt:lpwstr/>
      </vt:variant>
      <vt:variant>
        <vt:i4>7995502</vt:i4>
      </vt:variant>
      <vt:variant>
        <vt:i4>30</vt:i4>
      </vt:variant>
      <vt:variant>
        <vt:i4>0</vt:i4>
      </vt:variant>
      <vt:variant>
        <vt:i4>5</vt:i4>
      </vt:variant>
      <vt:variant>
        <vt:lpwstr>http://www.norad.no/en/tools-and-publications/publications/norad-reports/publication?key=268452</vt:lpwstr>
      </vt:variant>
      <vt:variant>
        <vt:lpwstr/>
      </vt:variant>
      <vt:variant>
        <vt:i4>3735666</vt:i4>
      </vt:variant>
      <vt:variant>
        <vt:i4>27</vt:i4>
      </vt:variant>
      <vt:variant>
        <vt:i4>0</vt:i4>
      </vt:variant>
      <vt:variant>
        <vt:i4>5</vt:i4>
      </vt:variant>
      <vt:variant>
        <vt:lpwstr>http://www.ilo.org/jobspact/lang--es/index.htm</vt:lpwstr>
      </vt:variant>
      <vt:variant>
        <vt:lpwstr/>
      </vt:variant>
      <vt:variant>
        <vt:i4>7012414</vt:i4>
      </vt:variant>
      <vt:variant>
        <vt:i4>24</vt:i4>
      </vt:variant>
      <vt:variant>
        <vt:i4>0</vt:i4>
      </vt:variant>
      <vt:variant>
        <vt:i4>5</vt:i4>
      </vt:variant>
      <vt:variant>
        <vt:lpwstr>http://www.ilo.org/public/english/dw/ilo-dw-spanish-web.swf</vt:lpwstr>
      </vt:variant>
      <vt:variant>
        <vt:lpwstr/>
      </vt:variant>
      <vt:variant>
        <vt:i4>7405674</vt:i4>
      </vt:variant>
      <vt:variant>
        <vt:i4>21</vt:i4>
      </vt:variant>
      <vt:variant>
        <vt:i4>0</vt:i4>
      </vt:variant>
      <vt:variant>
        <vt:i4>5</vt:i4>
      </vt:variant>
      <vt:variant>
        <vt:lpwstr>http://www.ituc-csi.org/development-cooperation?lang=es</vt:lpwstr>
      </vt:variant>
      <vt:variant>
        <vt:lpwstr/>
      </vt:variant>
      <vt:variant>
        <vt:i4>5832804</vt:i4>
      </vt:variant>
      <vt:variant>
        <vt:i4>18</vt:i4>
      </vt:variant>
      <vt:variant>
        <vt:i4>0</vt:i4>
      </vt:variant>
      <vt:variant>
        <vt:i4>5</vt:i4>
      </vt:variant>
      <vt:variant>
        <vt:lpwstr>http://ec.europa.eu/europeaid/what/development-policies/documents/agenda_for_change_es.pdf</vt:lpwstr>
      </vt:variant>
      <vt:variant>
        <vt:lpwstr/>
      </vt:variant>
      <vt:variant>
        <vt:i4>7209061</vt:i4>
      </vt:variant>
      <vt:variant>
        <vt:i4>15</vt:i4>
      </vt:variant>
      <vt:variant>
        <vt:i4>0</vt:i4>
      </vt:variant>
      <vt:variant>
        <vt:i4>5</vt:i4>
      </vt:variant>
      <vt:variant>
        <vt:lpwstr>http://www.oecd.org/pcd/theoecdseeksviewsonitsforthcomingstrategyondevelopment.htm</vt:lpwstr>
      </vt:variant>
      <vt:variant>
        <vt:lpwstr/>
      </vt:variant>
      <vt:variant>
        <vt:i4>3866645</vt:i4>
      </vt:variant>
      <vt:variant>
        <vt:i4>12</vt:i4>
      </vt:variant>
      <vt:variant>
        <vt:i4>0</vt:i4>
      </vt:variant>
      <vt:variant>
        <vt:i4>5</vt:i4>
      </vt:variant>
      <vt:variant>
        <vt:lpwstr>http://www.boell.org/downloads/COMMUNIQUE_HLP.pdf</vt:lpwstr>
      </vt:variant>
      <vt:variant>
        <vt:lpwstr/>
      </vt:variant>
      <vt:variant>
        <vt:i4>1704020</vt:i4>
      </vt:variant>
      <vt:variant>
        <vt:i4>9</vt:i4>
      </vt:variant>
      <vt:variant>
        <vt:i4>0</vt:i4>
      </vt:variant>
      <vt:variant>
        <vt:i4>5</vt:i4>
      </vt:variant>
      <vt:variant>
        <vt:lpwstr>http://siteresources.worldbank.org/INTINFRA/Resources/Transformationthroughinfrastructure.pdf</vt:lpwstr>
      </vt:variant>
      <vt:variant>
        <vt:lpwstr/>
      </vt:variant>
      <vt:variant>
        <vt:i4>1245282</vt:i4>
      </vt:variant>
      <vt:variant>
        <vt:i4>6</vt:i4>
      </vt:variant>
      <vt:variant>
        <vt:i4>0</vt:i4>
      </vt:variant>
      <vt:variant>
        <vt:i4>5</vt:i4>
      </vt:variant>
      <vt:variant>
        <vt:lpwstr>http://www.boell.org/downloads/2-2012_G20_DWG_Seoul_Meeting_DraftParticipants_List_(as_of_mar.docx</vt:lpwstr>
      </vt:variant>
      <vt:variant>
        <vt:lpwstr/>
      </vt:variant>
      <vt:variant>
        <vt:i4>5636100</vt:i4>
      </vt:variant>
      <vt:variant>
        <vt:i4>3</vt:i4>
      </vt:variant>
      <vt:variant>
        <vt:i4>0</vt:i4>
      </vt:variant>
      <vt:variant>
        <vt:i4>5</vt:i4>
      </vt:variant>
      <vt:variant>
        <vt:lpwstr>http://www.oecd.org/finance/institutionalinvestorsandlong-terminvestment.htm</vt:lpwstr>
      </vt:variant>
      <vt:variant>
        <vt:lpwstr/>
      </vt:variant>
      <vt:variant>
        <vt:i4>851991</vt:i4>
      </vt:variant>
      <vt:variant>
        <vt:i4>0</vt:i4>
      </vt:variant>
      <vt:variant>
        <vt:i4>0</vt:i4>
      </vt:variant>
      <vt:variant>
        <vt:i4>5</vt:i4>
      </vt:variant>
      <vt:variant>
        <vt:lpwstr>http://www.g20.org/events_financial_track/20130215/780960861.html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Sector and its role in Development</dc:title>
  <dc:subject>Elopement A trade union perspective</dc:subject>
  <dc:creator>Pierre HABBARD, TUAC;en cooperation avec Matt SIMONDS and Jan DEREYMAEKER</dc:creator>
  <cp:lastModifiedBy>Marion Levillain</cp:lastModifiedBy>
  <cp:revision>2</cp:revision>
  <cp:lastPrinted>2013-10-11T13:16:00Z</cp:lastPrinted>
  <dcterms:created xsi:type="dcterms:W3CDTF">2013-10-17T09:28:00Z</dcterms:created>
  <dcterms:modified xsi:type="dcterms:W3CDTF">2013-10-17T09:28:00Z</dcterms:modified>
</cp:coreProperties>
</file>